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October 24, 2013</w:t>
      </w:r>
    </w:p>
    <w:p>
      <w:pPr>
        <w:spacing w:after="0" w:line="27" w:lineRule="exact"/>
        <w:rPr>
          <w:sz w:val="24"/>
          <w:szCs w:val="24"/>
          <w:color w:val="auto"/>
        </w:rPr>
      </w:pPr>
    </w:p>
    <w:p>
      <w:pPr>
        <w:ind w:left="9160"/>
        <w:spacing w:after="0"/>
        <w:rPr>
          <w:sz w:val="20"/>
          <w:szCs w:val="20"/>
          <w:color w:val="auto"/>
        </w:rPr>
      </w:pPr>
      <w:r>
        <w:rPr>
          <w:rFonts w:ascii="Arial" w:cs="Arial" w:eastAsia="Arial" w:hAnsi="Arial"/>
          <w:sz w:val="16"/>
          <w:szCs w:val="16"/>
          <w:b w:val="1"/>
          <w:bCs w:val="1"/>
          <w:color w:val="auto"/>
        </w:rPr>
        <w:t>Registration No. 333-_______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F-1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7"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3060" w:type="dxa"/>
            <w:vAlign w:val="bottom"/>
          </w:tcPr>
          <w:p>
            <w:pPr>
              <w:jc w:val="center"/>
              <w:ind w:right="750"/>
              <w:spacing w:after="0"/>
              <w:rPr>
                <w:sz w:val="20"/>
                <w:szCs w:val="20"/>
                <w:color w:val="auto"/>
              </w:rPr>
            </w:pPr>
            <w:r>
              <w:rPr>
                <w:rFonts w:ascii="Arial" w:cs="Arial" w:eastAsia="Arial" w:hAnsi="Arial"/>
                <w:sz w:val="18"/>
                <w:szCs w:val="18"/>
                <w:b w:val="1"/>
                <w:bCs w:val="1"/>
                <w:color w:val="auto"/>
                <w:w w:val="89"/>
              </w:rPr>
              <w:t>State of Israel</w:t>
            </w:r>
          </w:p>
        </w:tc>
        <w:tc>
          <w:tcPr>
            <w:tcW w:w="39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2834</w:t>
            </w:r>
          </w:p>
        </w:tc>
        <w:tc>
          <w:tcPr>
            <w:tcW w:w="264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Not Applicable</w:t>
            </w:r>
          </w:p>
        </w:tc>
      </w:tr>
      <w:tr>
        <w:trPr>
          <w:trHeight w:val="418"/>
        </w:trPr>
        <w:tc>
          <w:tcPr>
            <w:tcW w:w="3060" w:type="dxa"/>
            <w:vAlign w:val="bottom"/>
          </w:tcPr>
          <w:p>
            <w:pPr>
              <w:jc w:val="center"/>
              <w:ind w:right="750"/>
              <w:spacing w:after="0"/>
              <w:rPr>
                <w:sz w:val="20"/>
                <w:szCs w:val="20"/>
                <w:color w:val="auto"/>
              </w:rPr>
            </w:pPr>
            <w:r>
              <w:rPr>
                <w:rFonts w:ascii="Arial" w:cs="Arial" w:eastAsia="Arial" w:hAnsi="Arial"/>
                <w:sz w:val="18"/>
                <w:szCs w:val="18"/>
                <w:i w:val="1"/>
                <w:iCs w:val="1"/>
                <w:color w:val="auto"/>
                <w:w w:val="93"/>
              </w:rPr>
              <w:t>(State or other jurisdiction of</w:t>
            </w:r>
          </w:p>
        </w:tc>
        <w:tc>
          <w:tcPr>
            <w:tcW w:w="3900" w:type="dxa"/>
            <w:vAlign w:val="bottom"/>
          </w:tcPr>
          <w:p>
            <w:pPr>
              <w:jc w:val="center"/>
              <w:ind w:right="50"/>
              <w:spacing w:after="0"/>
              <w:rPr>
                <w:sz w:val="20"/>
                <w:szCs w:val="20"/>
                <w:color w:val="auto"/>
              </w:rPr>
            </w:pPr>
            <w:r>
              <w:rPr>
                <w:rFonts w:ascii="Arial" w:cs="Arial" w:eastAsia="Arial" w:hAnsi="Arial"/>
                <w:sz w:val="18"/>
                <w:szCs w:val="18"/>
                <w:i w:val="1"/>
                <w:iCs w:val="1"/>
                <w:color w:val="auto"/>
                <w:w w:val="94"/>
              </w:rPr>
              <w:t>(Primary Standard Industrial</w:t>
            </w:r>
          </w:p>
        </w:tc>
        <w:tc>
          <w:tcPr>
            <w:tcW w:w="2640" w:type="dxa"/>
            <w:vAlign w:val="bottom"/>
          </w:tcPr>
          <w:p>
            <w:pPr>
              <w:jc w:val="center"/>
              <w:ind w:left="87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3060" w:type="dxa"/>
            <w:vAlign w:val="bottom"/>
          </w:tcPr>
          <w:p>
            <w:pPr>
              <w:jc w:val="center"/>
              <w:ind w:right="750"/>
              <w:spacing w:after="0"/>
              <w:rPr>
                <w:sz w:val="20"/>
                <w:szCs w:val="20"/>
                <w:color w:val="auto"/>
              </w:rPr>
            </w:pPr>
            <w:r>
              <w:rPr>
                <w:rFonts w:ascii="Arial" w:cs="Arial" w:eastAsia="Arial" w:hAnsi="Arial"/>
                <w:sz w:val="18"/>
                <w:szCs w:val="18"/>
                <w:i w:val="1"/>
                <w:iCs w:val="1"/>
                <w:color w:val="auto"/>
                <w:w w:val="94"/>
              </w:rPr>
              <w:t>incorporation or organization)</w:t>
            </w:r>
          </w:p>
        </w:tc>
        <w:tc>
          <w:tcPr>
            <w:tcW w:w="3900" w:type="dxa"/>
            <w:vAlign w:val="bottom"/>
          </w:tcPr>
          <w:p>
            <w:pPr>
              <w:jc w:val="center"/>
              <w:ind w:right="50"/>
              <w:spacing w:after="0"/>
              <w:rPr>
                <w:sz w:val="20"/>
                <w:szCs w:val="20"/>
                <w:color w:val="auto"/>
              </w:rPr>
            </w:pPr>
            <w:r>
              <w:rPr>
                <w:rFonts w:ascii="Arial" w:cs="Arial" w:eastAsia="Arial" w:hAnsi="Arial"/>
                <w:sz w:val="18"/>
                <w:szCs w:val="18"/>
                <w:i w:val="1"/>
                <w:iCs w:val="1"/>
                <w:color w:val="auto"/>
                <w:w w:val="92"/>
              </w:rPr>
              <w:t>Classification Code Number)</w:t>
            </w:r>
          </w:p>
        </w:tc>
        <w:tc>
          <w:tcPr>
            <w:tcW w:w="2640" w:type="dxa"/>
            <w:vAlign w:val="bottom"/>
          </w:tcPr>
          <w:p>
            <w:pPr>
              <w:jc w:val="center"/>
              <w:ind w:left="890"/>
              <w:spacing w:after="0"/>
              <w:rPr>
                <w:sz w:val="20"/>
                <w:szCs w:val="20"/>
                <w:color w:val="auto"/>
              </w:rPr>
            </w:pPr>
            <w:r>
              <w:rPr>
                <w:rFonts w:ascii="Arial" w:cs="Arial" w:eastAsia="Arial" w:hAnsi="Arial"/>
                <w:sz w:val="18"/>
                <w:szCs w:val="18"/>
                <w:i w:val="1"/>
                <w:iCs w:val="1"/>
                <w:color w:val="auto"/>
                <w:w w:val="94"/>
              </w:rPr>
              <w:t>Identification Number)</w:t>
            </w:r>
          </w:p>
        </w:tc>
      </w:tr>
    </w:tbl>
    <w:p>
      <w:pPr>
        <w:spacing w:after="0" w:line="198" w:lineRule="exact"/>
        <w:rPr>
          <w:sz w:val="24"/>
          <w:szCs w:val="24"/>
          <w:color w:val="auto"/>
        </w:rPr>
      </w:pPr>
    </w:p>
    <w:p>
      <w:pPr>
        <w:sectPr>
          <w:pgSz w:w="11900" w:h="16838" w:orient="portrait"/>
          <w:cols w:equalWidth="0" w:num="1">
            <w:col w:w="11420"/>
          </w:cols>
          <w:pgMar w:left="240" w:top="688" w:right="239" w:bottom="1440" w:gutter="0" w:footer="0" w:header="0"/>
        </w:sectPr>
      </w:pPr>
    </w:p>
    <w:p>
      <w:pPr>
        <w:jc w:val="center"/>
        <w:ind w:right="300"/>
        <w:spacing w:after="0"/>
        <w:rPr>
          <w:sz w:val="20"/>
          <w:szCs w:val="20"/>
          <w:color w:val="auto"/>
        </w:rPr>
      </w:pPr>
      <w:r>
        <w:rPr>
          <w:rFonts w:ascii="Arial" w:cs="Arial" w:eastAsia="Arial" w:hAnsi="Arial"/>
          <w:sz w:val="18"/>
          <w:szCs w:val="18"/>
          <w:b w:val="1"/>
          <w:bCs w:val="1"/>
          <w:color w:val="auto"/>
        </w:rPr>
        <w:t>Dr. Yaron Daniely</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Alcobra Ltd.</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Amot Investment Building</w:t>
      </w:r>
    </w:p>
    <w:p>
      <w:pPr>
        <w:ind w:left="1920"/>
        <w:spacing w:after="0" w:line="186" w:lineRule="auto"/>
        <w:rPr>
          <w:sz w:val="20"/>
          <w:szCs w:val="20"/>
          <w:color w:val="auto"/>
        </w:rPr>
      </w:pPr>
      <w:r>
        <w:rPr>
          <w:rFonts w:ascii="Arial" w:cs="Arial" w:eastAsia="Arial" w:hAnsi="Arial"/>
          <w:sz w:val="18"/>
          <w:szCs w:val="18"/>
          <w:b w:val="1"/>
          <w:bCs w:val="1"/>
          <w:color w:val="auto"/>
        </w:rPr>
        <w:t>2 Weizman St. 9</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ind w:left="1940"/>
        <w:spacing w:after="0"/>
        <w:rPr>
          <w:sz w:val="20"/>
          <w:szCs w:val="20"/>
          <w:color w:val="auto"/>
        </w:rPr>
      </w:pPr>
      <w:r>
        <w:rPr>
          <w:rFonts w:ascii="Arial" w:cs="Arial" w:eastAsia="Arial" w:hAnsi="Arial"/>
          <w:sz w:val="18"/>
          <w:szCs w:val="18"/>
          <w:b w:val="1"/>
          <w:bCs w:val="1"/>
          <w:color w:val="auto"/>
        </w:rPr>
        <w:t>Tel-Aviv, Israel 6423902</w:t>
      </w:r>
    </w:p>
    <w:p>
      <w:pPr>
        <w:spacing w:after="0" w:line="7" w:lineRule="exact"/>
        <w:rPr>
          <w:sz w:val="24"/>
          <w:szCs w:val="24"/>
          <w:color w:val="auto"/>
        </w:rPr>
      </w:pPr>
    </w:p>
    <w:p>
      <w:pPr>
        <w:ind w:left="2020"/>
        <w:spacing w:after="0"/>
        <w:rPr>
          <w:sz w:val="20"/>
          <w:szCs w:val="20"/>
          <w:color w:val="auto"/>
        </w:rPr>
      </w:pPr>
      <w:r>
        <w:rPr>
          <w:rFonts w:ascii="Arial" w:cs="Arial" w:eastAsia="Arial" w:hAnsi="Arial"/>
          <w:sz w:val="18"/>
          <w:szCs w:val="18"/>
          <w:b w:val="1"/>
          <w:bCs w:val="1"/>
          <w:color w:val="auto"/>
        </w:rPr>
        <w:t>Tel: +972.72.220.4661</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6"/>
          <w:szCs w:val="16"/>
          <w:i w:val="1"/>
          <w:iCs w:val="1"/>
          <w:color w:val="auto"/>
        </w:rPr>
        <w:t>(Address, including zip code, and telephone</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6"/>
          <w:szCs w:val="16"/>
          <w:i w:val="1"/>
          <w:iCs w:val="1"/>
          <w:color w:val="auto"/>
        </w:rPr>
        <w:t>number, including area code, of registrant’s</w:t>
      </w:r>
    </w:p>
    <w:p>
      <w:pPr>
        <w:spacing w:after="0" w:line="32" w:lineRule="exact"/>
        <w:rPr>
          <w:sz w:val="24"/>
          <w:szCs w:val="24"/>
          <w:color w:val="auto"/>
        </w:rPr>
      </w:pPr>
    </w:p>
    <w:p>
      <w:pPr>
        <w:ind w:left="1920"/>
        <w:spacing w:after="0"/>
        <w:rPr>
          <w:sz w:val="20"/>
          <w:szCs w:val="20"/>
          <w:color w:val="auto"/>
        </w:rPr>
      </w:pPr>
      <w:r>
        <w:rPr>
          <w:rFonts w:ascii="Arial" w:cs="Arial" w:eastAsia="Arial" w:hAnsi="Arial"/>
          <w:sz w:val="18"/>
          <w:szCs w:val="18"/>
          <w:i w:val="1"/>
          <w:iCs w:val="1"/>
          <w:color w:val="auto"/>
        </w:rPr>
        <w:t>principal executive offices)</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8"/>
          <w:szCs w:val="18"/>
          <w:b w:val="1"/>
          <w:bCs w:val="1"/>
          <w:color w:val="auto"/>
        </w:rPr>
        <w:t>Zysman, Aharoni, Gayer &amp;</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Sullivan &amp; Worcester LLP</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1633 Broadway</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New York, NY 10019</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Tel: 212.660.3000</w:t>
      </w:r>
    </w:p>
    <w:p>
      <w:pPr>
        <w:spacing w:after="0" w:line="9" w:lineRule="exact"/>
        <w:rPr>
          <w:sz w:val="24"/>
          <w:szCs w:val="24"/>
          <w:color w:val="auto"/>
        </w:rPr>
      </w:pPr>
    </w:p>
    <w:p>
      <w:pPr>
        <w:jc w:val="both"/>
        <w:ind w:left="20" w:right="1040" w:hanging="19"/>
        <w:spacing w:after="0" w:line="323" w:lineRule="auto"/>
        <w:rPr>
          <w:sz w:val="20"/>
          <w:szCs w:val="20"/>
          <w:color w:val="auto"/>
        </w:rPr>
      </w:pPr>
      <w:r>
        <w:rPr>
          <w:rFonts w:ascii="Arial" w:cs="Arial" w:eastAsia="Arial" w:hAnsi="Arial"/>
          <w:sz w:val="16"/>
          <w:szCs w:val="16"/>
          <w:i w:val="1"/>
          <w:iCs w:val="1"/>
          <w:color w:val="auto"/>
        </w:rPr>
        <w:t>(Name, address, including zip code, and telephone number, including area code, of agent for service)</w:t>
      </w:r>
    </w:p>
    <w:p>
      <w:pPr>
        <w:spacing w:after="0" w:line="600" w:lineRule="exact"/>
        <w:rPr>
          <w:sz w:val="24"/>
          <w:szCs w:val="24"/>
          <w:color w:val="auto"/>
        </w:rPr>
      </w:pPr>
    </w:p>
    <w:p>
      <w:pPr>
        <w:sectPr>
          <w:pgSz w:w="11900" w:h="16838" w:orient="portrait"/>
          <w:cols w:equalWidth="0" w:num="2">
            <w:col w:w="6040" w:space="720"/>
            <w:col w:w="4660"/>
          </w:cols>
          <w:pgMar w:left="240" w:top="688" w:right="239" w:bottom="1440" w:gutter="0" w:footer="0" w:header="0"/>
          <w:type w:val="continuous"/>
        </w:sectPr>
      </w:pPr>
    </w:p>
    <w:p>
      <w:pPr>
        <w:spacing w:after="0" w:line="200" w:lineRule="exact"/>
        <w:rPr>
          <w:sz w:val="24"/>
          <w:szCs w:val="24"/>
          <w:color w:val="auto"/>
        </w:rPr>
      </w:pPr>
    </w:p>
    <w:p>
      <w:pPr>
        <w:spacing w:after="0" w:line="243" w:lineRule="exact"/>
        <w:rPr>
          <w:sz w:val="24"/>
          <w:szCs w:val="24"/>
          <w:color w:val="auto"/>
        </w:rPr>
      </w:pPr>
    </w:p>
    <w:tbl>
      <w:tblPr>
        <w:tblLayout w:type="fixed"/>
        <w:tblInd w:w="640" w:type="dxa"/>
        <w:tblCellMar>
          <w:top w:w="0" w:type="dxa"/>
          <w:left w:w="0" w:type="dxa"/>
          <w:bottom w:w="0" w:type="dxa"/>
          <w:right w:w="0" w:type="dxa"/>
        </w:tblCellMar>
      </w:tblPr>
      <w:tr>
        <w:trPr>
          <w:trHeight w:val="212"/>
        </w:trPr>
        <w:tc>
          <w:tcPr>
            <w:tcW w:w="2020" w:type="dxa"/>
            <w:vAlign w:val="bottom"/>
          </w:tcPr>
          <w:p>
            <w:pPr>
              <w:spacing w:after="0"/>
              <w:rPr>
                <w:sz w:val="18"/>
                <w:szCs w:val="18"/>
                <w:color w:val="auto"/>
              </w:rPr>
            </w:pPr>
          </w:p>
        </w:tc>
        <w:tc>
          <w:tcPr>
            <w:tcW w:w="3500" w:type="dxa"/>
            <w:vAlign w:val="bottom"/>
          </w:tcPr>
          <w:p>
            <w:pPr>
              <w:ind w:left="2680"/>
              <w:spacing w:after="0"/>
              <w:rPr>
                <w:sz w:val="20"/>
                <w:szCs w:val="20"/>
                <w:color w:val="auto"/>
              </w:rPr>
            </w:pPr>
            <w:r>
              <w:rPr>
                <w:rFonts w:ascii="Arial" w:cs="Arial" w:eastAsia="Arial" w:hAnsi="Arial"/>
                <w:sz w:val="18"/>
                <w:szCs w:val="18"/>
                <w:b w:val="1"/>
                <w:bCs w:val="1"/>
                <w:i w:val="1"/>
                <w:iCs w:val="1"/>
                <w:color w:val="auto"/>
                <w:w w:val="90"/>
              </w:rPr>
              <w:t>Copies to:</w:t>
            </w:r>
          </w:p>
        </w:tc>
        <w:tc>
          <w:tcPr>
            <w:tcW w:w="248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20" w:type="dxa"/>
            <w:vAlign w:val="bottom"/>
          </w:tcPr>
          <w:p>
            <w:pPr>
              <w:jc w:val="center"/>
              <w:ind w:right="330"/>
              <w:spacing w:after="0"/>
              <w:rPr>
                <w:sz w:val="20"/>
                <w:szCs w:val="20"/>
                <w:color w:val="auto"/>
              </w:rPr>
            </w:pPr>
            <w:r>
              <w:rPr>
                <w:rFonts w:ascii="Arial" w:cs="Arial" w:eastAsia="Arial" w:hAnsi="Arial"/>
                <w:sz w:val="18"/>
                <w:szCs w:val="18"/>
                <w:b w:val="1"/>
                <w:bCs w:val="1"/>
                <w:color w:val="auto"/>
                <w:w w:val="96"/>
              </w:rPr>
              <w:t>Edwin L. Miller Jr.</w:t>
            </w:r>
          </w:p>
        </w:tc>
        <w:tc>
          <w:tcPr>
            <w:tcW w:w="350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Eran Ben-Dor</w:t>
            </w:r>
          </w:p>
        </w:tc>
        <w:tc>
          <w:tcPr>
            <w:tcW w:w="2480" w:type="dxa"/>
            <w:vAlign w:val="bottom"/>
          </w:tcPr>
          <w:p>
            <w:pPr>
              <w:jc w:val="center"/>
              <w:ind w:right="410"/>
              <w:spacing w:after="0"/>
              <w:rPr>
                <w:sz w:val="20"/>
                <w:szCs w:val="20"/>
                <w:color w:val="auto"/>
              </w:rPr>
            </w:pPr>
            <w:r>
              <w:rPr>
                <w:rFonts w:ascii="Arial" w:cs="Arial" w:eastAsia="Arial" w:hAnsi="Arial"/>
                <w:sz w:val="18"/>
                <w:szCs w:val="18"/>
                <w:b w:val="1"/>
                <w:bCs w:val="1"/>
                <w:color w:val="auto"/>
                <w:w w:val="95"/>
              </w:rPr>
              <w:t>Henry I. Rothman</w:t>
            </w:r>
          </w:p>
        </w:tc>
        <w:tc>
          <w:tcPr>
            <w:tcW w:w="2140" w:type="dxa"/>
            <w:vAlign w:val="bottom"/>
          </w:tcPr>
          <w:p>
            <w:pPr>
              <w:jc w:val="center"/>
              <w:ind w:left="470"/>
              <w:spacing w:after="0"/>
              <w:rPr>
                <w:sz w:val="20"/>
                <w:szCs w:val="20"/>
                <w:color w:val="auto"/>
              </w:rPr>
            </w:pPr>
            <w:r>
              <w:rPr>
                <w:rFonts w:ascii="Arial" w:cs="Arial" w:eastAsia="Arial" w:hAnsi="Arial"/>
                <w:sz w:val="18"/>
                <w:szCs w:val="18"/>
                <w:b w:val="1"/>
                <w:bCs w:val="1"/>
                <w:color w:val="auto"/>
                <w:w w:val="92"/>
              </w:rPr>
              <w:t>Barry Levenfeld</w:t>
            </w:r>
          </w:p>
        </w:tc>
      </w:tr>
      <w:tr>
        <w:trPr>
          <w:trHeight w:val="216"/>
        </w:trPr>
        <w:tc>
          <w:tcPr>
            <w:tcW w:w="202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Oded Har-Even</w:t>
            </w:r>
          </w:p>
        </w:tc>
        <w:tc>
          <w:tcPr>
            <w:tcW w:w="350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Zysman, Aharoni, Gayer &amp; Co.</w:t>
            </w:r>
          </w:p>
        </w:tc>
        <w:tc>
          <w:tcPr>
            <w:tcW w:w="2480" w:type="dxa"/>
            <w:vAlign w:val="bottom"/>
          </w:tcPr>
          <w:p>
            <w:pPr>
              <w:jc w:val="center"/>
              <w:ind w:right="410"/>
              <w:spacing w:after="0"/>
              <w:rPr>
                <w:sz w:val="20"/>
                <w:szCs w:val="20"/>
                <w:color w:val="auto"/>
              </w:rPr>
            </w:pPr>
            <w:r>
              <w:rPr>
                <w:rFonts w:ascii="Arial" w:cs="Arial" w:eastAsia="Arial" w:hAnsi="Arial"/>
                <w:sz w:val="18"/>
                <w:szCs w:val="18"/>
                <w:b w:val="1"/>
                <w:bCs w:val="1"/>
                <w:color w:val="auto"/>
                <w:w w:val="87"/>
              </w:rPr>
              <w:t>Joseph Walsh</w:t>
            </w:r>
          </w:p>
        </w:tc>
        <w:tc>
          <w:tcPr>
            <w:tcW w:w="2140" w:type="dxa"/>
            <w:vAlign w:val="bottom"/>
          </w:tcPr>
          <w:p>
            <w:pPr>
              <w:jc w:val="center"/>
              <w:ind w:left="490"/>
              <w:spacing w:after="0"/>
              <w:rPr>
                <w:sz w:val="20"/>
                <w:szCs w:val="20"/>
                <w:color w:val="auto"/>
              </w:rPr>
            </w:pPr>
            <w:r>
              <w:rPr>
                <w:rFonts w:ascii="Arial" w:cs="Arial" w:eastAsia="Arial" w:hAnsi="Arial"/>
                <w:sz w:val="18"/>
                <w:szCs w:val="18"/>
                <w:b w:val="1"/>
                <w:bCs w:val="1"/>
                <w:color w:val="auto"/>
                <w:w w:val="92"/>
              </w:rPr>
              <w:t>Eric Spindel</w:t>
            </w:r>
          </w:p>
        </w:tc>
      </w:tr>
      <w:tr>
        <w:trPr>
          <w:trHeight w:val="216"/>
        </w:trPr>
        <w:tc>
          <w:tcPr>
            <w:tcW w:w="202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Shy S. Baranov</w:t>
            </w:r>
          </w:p>
        </w:tc>
        <w:tc>
          <w:tcPr>
            <w:tcW w:w="35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41-45 Rothschild Blvd.</w:t>
            </w:r>
          </w:p>
        </w:tc>
        <w:tc>
          <w:tcPr>
            <w:tcW w:w="2480" w:type="dxa"/>
            <w:vAlign w:val="bottom"/>
          </w:tcPr>
          <w:p>
            <w:pPr>
              <w:jc w:val="center"/>
              <w:ind w:right="430"/>
              <w:spacing w:after="0"/>
              <w:rPr>
                <w:sz w:val="20"/>
                <w:szCs w:val="20"/>
                <w:color w:val="auto"/>
              </w:rPr>
            </w:pPr>
            <w:r>
              <w:rPr>
                <w:rFonts w:ascii="Arial" w:cs="Arial" w:eastAsia="Arial" w:hAnsi="Arial"/>
                <w:sz w:val="18"/>
                <w:szCs w:val="18"/>
                <w:b w:val="1"/>
                <w:bCs w:val="1"/>
                <w:color w:val="auto"/>
                <w:w w:val="92"/>
              </w:rPr>
              <w:t>Troutman Sanders LLP</w:t>
            </w:r>
          </w:p>
        </w:tc>
        <w:tc>
          <w:tcPr>
            <w:tcW w:w="2140" w:type="dxa"/>
            <w:vAlign w:val="bottom"/>
          </w:tcPr>
          <w:p>
            <w:pPr>
              <w:jc w:val="center"/>
              <w:ind w:left="470"/>
              <w:spacing w:after="0"/>
              <w:rPr>
                <w:sz w:val="20"/>
                <w:szCs w:val="20"/>
                <w:color w:val="auto"/>
              </w:rPr>
            </w:pPr>
            <w:r>
              <w:rPr>
                <w:rFonts w:ascii="Arial" w:cs="Arial" w:eastAsia="Arial" w:hAnsi="Arial"/>
                <w:sz w:val="18"/>
                <w:szCs w:val="18"/>
                <w:b w:val="1"/>
                <w:bCs w:val="1"/>
                <w:color w:val="auto"/>
                <w:w w:val="95"/>
              </w:rPr>
              <w:t>Yigal Arnon &amp; Co.</w:t>
            </w:r>
          </w:p>
        </w:tc>
      </w:tr>
      <w:tr>
        <w:trPr>
          <w:trHeight w:val="216"/>
        </w:trPr>
        <w:tc>
          <w:tcPr>
            <w:tcW w:w="2020" w:type="dxa"/>
            <w:vAlign w:val="bottom"/>
          </w:tcPr>
          <w:p>
            <w:pPr>
              <w:jc w:val="center"/>
              <w:ind w:right="330"/>
              <w:spacing w:after="0"/>
              <w:rPr>
                <w:sz w:val="20"/>
                <w:szCs w:val="20"/>
                <w:color w:val="auto"/>
              </w:rPr>
            </w:pPr>
            <w:r>
              <w:rPr>
                <w:rFonts w:ascii="Arial" w:cs="Arial" w:eastAsia="Arial" w:hAnsi="Arial"/>
                <w:sz w:val="18"/>
                <w:szCs w:val="18"/>
                <w:b w:val="1"/>
                <w:bCs w:val="1"/>
                <w:color w:val="auto"/>
              </w:rPr>
              <w:t>ZAG/S&amp;W LLP</w:t>
            </w:r>
          </w:p>
        </w:tc>
        <w:tc>
          <w:tcPr>
            <w:tcW w:w="35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Beit Zion</w:t>
            </w:r>
          </w:p>
        </w:tc>
        <w:tc>
          <w:tcPr>
            <w:tcW w:w="2480" w:type="dxa"/>
            <w:vAlign w:val="bottom"/>
          </w:tcPr>
          <w:p>
            <w:pPr>
              <w:jc w:val="center"/>
              <w:ind w:right="410"/>
              <w:spacing w:after="0"/>
              <w:rPr>
                <w:sz w:val="20"/>
                <w:szCs w:val="20"/>
                <w:color w:val="auto"/>
              </w:rPr>
            </w:pPr>
            <w:r>
              <w:rPr>
                <w:rFonts w:ascii="Arial" w:cs="Arial" w:eastAsia="Arial" w:hAnsi="Arial"/>
                <w:sz w:val="18"/>
                <w:szCs w:val="18"/>
                <w:b w:val="1"/>
                <w:bCs w:val="1"/>
                <w:color w:val="auto"/>
                <w:w w:val="93"/>
              </w:rPr>
              <w:t>The Chrysler Building</w:t>
            </w:r>
          </w:p>
        </w:tc>
        <w:tc>
          <w:tcPr>
            <w:tcW w:w="2140" w:type="dxa"/>
            <w:vAlign w:val="bottom"/>
          </w:tcPr>
          <w:p>
            <w:pPr>
              <w:jc w:val="center"/>
              <w:ind w:left="490"/>
              <w:spacing w:after="0"/>
              <w:rPr>
                <w:sz w:val="20"/>
                <w:szCs w:val="20"/>
                <w:color w:val="auto"/>
              </w:rPr>
            </w:pPr>
            <w:r>
              <w:rPr>
                <w:rFonts w:ascii="Arial" w:cs="Arial" w:eastAsia="Arial" w:hAnsi="Arial"/>
                <w:sz w:val="18"/>
                <w:szCs w:val="18"/>
                <w:b w:val="1"/>
                <w:bCs w:val="1"/>
                <w:color w:val="auto"/>
                <w:w w:val="94"/>
              </w:rPr>
              <w:t>1 Azrieli Center</w:t>
            </w:r>
          </w:p>
        </w:tc>
      </w:tr>
      <w:tr>
        <w:trPr>
          <w:trHeight w:val="216"/>
        </w:trPr>
        <w:tc>
          <w:tcPr>
            <w:tcW w:w="202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1633 Broadway</w:t>
            </w:r>
          </w:p>
        </w:tc>
        <w:tc>
          <w:tcPr>
            <w:tcW w:w="35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Tel-Aviv, Israel 65784</w:t>
            </w:r>
          </w:p>
        </w:tc>
        <w:tc>
          <w:tcPr>
            <w:tcW w:w="2480" w:type="dxa"/>
            <w:vAlign w:val="bottom"/>
          </w:tcPr>
          <w:p>
            <w:pPr>
              <w:jc w:val="center"/>
              <w:ind w:right="410"/>
              <w:spacing w:after="0"/>
              <w:rPr>
                <w:sz w:val="20"/>
                <w:szCs w:val="20"/>
                <w:color w:val="auto"/>
              </w:rPr>
            </w:pPr>
            <w:r>
              <w:rPr>
                <w:rFonts w:ascii="Arial" w:cs="Arial" w:eastAsia="Arial" w:hAnsi="Arial"/>
                <w:sz w:val="18"/>
                <w:szCs w:val="18"/>
                <w:b w:val="1"/>
                <w:bCs w:val="1"/>
                <w:color w:val="auto"/>
                <w:w w:val="88"/>
              </w:rPr>
              <w:t>405 Lexington Avenue</w:t>
            </w:r>
          </w:p>
        </w:tc>
        <w:tc>
          <w:tcPr>
            <w:tcW w:w="2140" w:type="dxa"/>
            <w:vAlign w:val="bottom"/>
          </w:tcPr>
          <w:p>
            <w:pPr>
              <w:jc w:val="center"/>
              <w:ind w:left="450"/>
              <w:spacing w:after="0"/>
              <w:rPr>
                <w:sz w:val="20"/>
                <w:szCs w:val="20"/>
                <w:color w:val="auto"/>
              </w:rPr>
            </w:pPr>
            <w:r>
              <w:rPr>
                <w:rFonts w:ascii="Arial" w:cs="Arial" w:eastAsia="Arial" w:hAnsi="Arial"/>
                <w:sz w:val="18"/>
                <w:szCs w:val="18"/>
                <w:b w:val="1"/>
                <w:bCs w:val="1"/>
                <w:color w:val="auto"/>
                <w:w w:val="91"/>
              </w:rPr>
              <w:t>Tel-Aviv, Israel</w:t>
            </w:r>
          </w:p>
        </w:tc>
      </w:tr>
      <w:tr>
        <w:trPr>
          <w:trHeight w:val="216"/>
        </w:trPr>
        <w:tc>
          <w:tcPr>
            <w:tcW w:w="202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New York, NY 10019</w:t>
            </w:r>
          </w:p>
        </w:tc>
        <w:tc>
          <w:tcPr>
            <w:tcW w:w="35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Tel: +972.3.795.5555</w:t>
            </w:r>
          </w:p>
        </w:tc>
        <w:tc>
          <w:tcPr>
            <w:tcW w:w="2480" w:type="dxa"/>
            <w:vAlign w:val="bottom"/>
          </w:tcPr>
          <w:p>
            <w:pPr>
              <w:jc w:val="center"/>
              <w:ind w:right="410"/>
              <w:spacing w:after="0"/>
              <w:rPr>
                <w:sz w:val="20"/>
                <w:szCs w:val="20"/>
                <w:color w:val="auto"/>
              </w:rPr>
            </w:pPr>
            <w:r>
              <w:rPr>
                <w:rFonts w:ascii="Arial" w:cs="Arial" w:eastAsia="Arial" w:hAnsi="Arial"/>
                <w:sz w:val="18"/>
                <w:szCs w:val="18"/>
                <w:b w:val="1"/>
                <w:bCs w:val="1"/>
                <w:color w:val="auto"/>
                <w:w w:val="94"/>
              </w:rPr>
              <w:t>New York, NY 10174</w:t>
            </w:r>
          </w:p>
        </w:tc>
        <w:tc>
          <w:tcPr>
            <w:tcW w:w="2140" w:type="dxa"/>
            <w:vAlign w:val="bottom"/>
          </w:tcPr>
          <w:p>
            <w:pPr>
              <w:jc w:val="center"/>
              <w:ind w:left="490"/>
              <w:spacing w:after="0"/>
              <w:rPr>
                <w:sz w:val="20"/>
                <w:szCs w:val="20"/>
                <w:color w:val="auto"/>
              </w:rPr>
            </w:pPr>
            <w:r>
              <w:rPr>
                <w:rFonts w:ascii="Arial" w:cs="Arial" w:eastAsia="Arial" w:hAnsi="Arial"/>
                <w:sz w:val="18"/>
                <w:szCs w:val="18"/>
                <w:b w:val="1"/>
                <w:bCs w:val="1"/>
                <w:color w:val="auto"/>
                <w:w w:val="90"/>
              </w:rPr>
              <w:t>Tel: +972.3.608.7868</w:t>
            </w:r>
          </w:p>
        </w:tc>
      </w:tr>
      <w:tr>
        <w:trPr>
          <w:trHeight w:val="234"/>
        </w:trPr>
        <w:tc>
          <w:tcPr>
            <w:tcW w:w="202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Tel: 212.660.3000</w:t>
            </w:r>
          </w:p>
        </w:tc>
        <w:tc>
          <w:tcPr>
            <w:tcW w:w="3500" w:type="dxa"/>
            <w:vAlign w:val="bottom"/>
          </w:tcPr>
          <w:p>
            <w:pPr>
              <w:spacing w:after="0"/>
              <w:rPr>
                <w:sz w:val="20"/>
                <w:szCs w:val="20"/>
                <w:color w:val="auto"/>
              </w:rPr>
            </w:pPr>
          </w:p>
        </w:tc>
        <w:tc>
          <w:tcPr>
            <w:tcW w:w="248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Tel: 212.704.6000</w:t>
            </w:r>
          </w:p>
        </w:tc>
        <w:tc>
          <w:tcPr>
            <w:tcW w:w="214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w:t>
      </w:r>
    </w:p>
    <w:p>
      <w:pPr>
        <w:spacing w:after="0" w:line="229" w:lineRule="exact"/>
        <w:rPr>
          <w:sz w:val="24"/>
          <w:szCs w:val="24"/>
          <w:color w:val="auto"/>
        </w:rPr>
      </w:pPr>
    </w:p>
    <w:p>
      <w:pPr>
        <w:spacing w:after="0" w:line="224"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16"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r>
        <w:rPr>
          <w:rFonts w:ascii="Arial" w:cs="Arial" w:eastAsia="Arial" w:hAnsi="Arial"/>
          <w:sz w:val="18"/>
          <w:szCs w:val="18"/>
          <w:color w:val="auto"/>
        </w:rPr>
        <w:t xml:space="preserve"> 333-191714</w:t>
      </w:r>
    </w:p>
    <w:p>
      <w:pPr>
        <w:spacing w:after="0" w:line="1" w:lineRule="exact"/>
        <w:rPr>
          <w:sz w:val="24"/>
          <w:szCs w:val="24"/>
          <w:color w:val="auto"/>
        </w:rPr>
      </w:pPr>
    </w:p>
    <w:p>
      <w:pPr>
        <w:ind w:right="20"/>
        <w:spacing w:after="0" w:line="216"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740"/>
        <w:spacing w:after="0" w:line="226"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00" w:type="dxa"/>
            <w:vAlign w:val="bottom"/>
            <w:gridSpan w:val="7"/>
          </w:tcPr>
          <w:p>
            <w:pPr>
              <w:ind w:left="3960"/>
              <w:spacing w:after="0"/>
              <w:rPr>
                <w:sz w:val="20"/>
                <w:szCs w:val="20"/>
                <w:color w:val="auto"/>
              </w:rPr>
            </w:pPr>
            <w:r>
              <w:rPr>
                <w:rFonts w:ascii="Arial" w:cs="Arial" w:eastAsia="Arial" w:hAnsi="Arial"/>
                <w:sz w:val="18"/>
                <w:szCs w:val="18"/>
                <w:b w:val="1"/>
                <w:bCs w:val="1"/>
                <w:color w:val="auto"/>
              </w:rPr>
              <w:t>CALCULATION OF REGISTRATION FEE</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Proposed</w:t>
            </w:r>
          </w:p>
        </w:tc>
        <w:tc>
          <w:tcPr>
            <w:tcW w:w="140" w:type="dxa"/>
            <w:vAlign w:val="bottom"/>
          </w:tcPr>
          <w:p>
            <w:pPr>
              <w:spacing w:after="0"/>
              <w:rPr>
                <w:sz w:val="24"/>
                <w:szCs w:val="24"/>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Proposed</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Maximum</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Maximum</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Amount to</w:t>
            </w:r>
          </w:p>
        </w:tc>
        <w:tc>
          <w:tcPr>
            <w:tcW w:w="14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Offering</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Aggregate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be</w:t>
            </w:r>
          </w:p>
        </w:tc>
        <w:tc>
          <w:tcPr>
            <w:tcW w:w="14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Price Per</w:t>
            </w:r>
          </w:p>
        </w:tc>
        <w:tc>
          <w:tcPr>
            <w:tcW w:w="14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Offering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Registration</w:t>
            </w:r>
          </w:p>
        </w:tc>
      </w:tr>
      <w:tr>
        <w:trPr>
          <w:trHeight w:val="234"/>
        </w:trPr>
        <w:tc>
          <w:tcPr>
            <w:tcW w:w="20" w:type="dxa"/>
            <w:vAlign w:val="bottom"/>
          </w:tcPr>
          <w:p>
            <w:pPr>
              <w:spacing w:after="0"/>
              <w:rPr>
                <w:sz w:val="20"/>
                <w:szCs w:val="20"/>
                <w:color w:val="auto"/>
              </w:rPr>
            </w:pPr>
          </w:p>
        </w:tc>
        <w:tc>
          <w:tcPr>
            <w:tcW w:w="5560" w:type="dxa"/>
            <w:vAlign w:val="bottom"/>
            <w:gridSpan w:val="2"/>
          </w:tcPr>
          <w:p>
            <w:pPr>
              <w:ind w:left="860"/>
              <w:spacing w:after="0"/>
              <w:rPr>
                <w:sz w:val="20"/>
                <w:szCs w:val="20"/>
                <w:color w:val="auto"/>
              </w:rPr>
            </w:pPr>
            <w:r>
              <w:rPr>
                <w:rFonts w:ascii="Arial" w:cs="Arial" w:eastAsia="Arial" w:hAnsi="Arial"/>
                <w:sz w:val="18"/>
                <w:szCs w:val="18"/>
                <w:b w:val="1"/>
                <w:bCs w:val="1"/>
                <w:color w:val="auto"/>
              </w:rPr>
              <w:t>Title of Each Class of Securities to be Registered</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Registered(1)</w:t>
            </w:r>
          </w:p>
        </w:tc>
        <w:tc>
          <w:tcPr>
            <w:tcW w:w="14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Share(2)</w:t>
            </w:r>
          </w:p>
        </w:tc>
        <w:tc>
          <w:tcPr>
            <w:tcW w:w="14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Price(2)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Fee(3)</w:t>
            </w:r>
          </w:p>
        </w:tc>
      </w:tr>
      <w:tr>
        <w:trPr>
          <w:trHeight w:val="176"/>
        </w:trPr>
        <w:tc>
          <w:tcPr>
            <w:tcW w:w="20" w:type="dxa"/>
            <w:vAlign w:val="bottom"/>
          </w:tcPr>
          <w:p>
            <w:pPr>
              <w:spacing w:after="0"/>
              <w:rPr>
                <w:sz w:val="15"/>
                <w:szCs w:val="15"/>
                <w:color w:val="auto"/>
              </w:rPr>
            </w:pPr>
          </w:p>
        </w:tc>
        <w:tc>
          <w:tcPr>
            <w:tcW w:w="5480" w:type="dxa"/>
            <w:vAlign w:val="bottom"/>
            <w:tcBorders>
              <w:bottom w:val="single" w:sz="8" w:color="auto"/>
            </w:tcBorders>
          </w:tcPr>
          <w:p>
            <w:pPr>
              <w:spacing w:after="0"/>
              <w:rPr>
                <w:sz w:val="15"/>
                <w:szCs w:val="15"/>
                <w:color w:val="auto"/>
              </w:rPr>
            </w:pPr>
          </w:p>
        </w:tc>
        <w:tc>
          <w:tcPr>
            <w:tcW w:w="80" w:type="dxa"/>
            <w:vAlign w:val="bottom"/>
            <w:tcBorders>
              <w:bottom w:val="single" w:sz="8" w:color="CCFFCC"/>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40" w:type="dxa"/>
            <w:vAlign w:val="bottom"/>
            <w:tcBorders>
              <w:bottom w:val="single" w:sz="8" w:color="CCFFC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 w:type="dxa"/>
            <w:vAlign w:val="bottom"/>
            <w:tcBorders>
              <w:bottom w:val="single" w:sz="8" w:color="CCFFC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 w:type="dxa"/>
            <w:vAlign w:val="bottom"/>
            <w:tcBorders>
              <w:bottom w:val="single" w:sz="8" w:color="CCFFC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CCFFCC"/>
            </w:tcBorders>
          </w:tcPr>
          <w:p>
            <w:pPr>
              <w:spacing w:after="0"/>
              <w:rPr>
                <w:sz w:val="15"/>
                <w:szCs w:val="15"/>
                <w:color w:val="auto"/>
              </w:rPr>
            </w:pPr>
          </w:p>
        </w:tc>
      </w:tr>
      <w:tr>
        <w:trPr>
          <w:trHeight w:val="224"/>
        </w:trPr>
        <w:tc>
          <w:tcPr>
            <w:tcW w:w="20" w:type="dxa"/>
            <w:vAlign w:val="bottom"/>
          </w:tcPr>
          <w:p>
            <w:pPr>
              <w:spacing w:after="0"/>
              <w:rPr>
                <w:sz w:val="19"/>
                <w:szCs w:val="19"/>
                <w:color w:val="auto"/>
              </w:rPr>
            </w:pPr>
          </w:p>
        </w:tc>
        <w:tc>
          <w:tcPr>
            <w:tcW w:w="5480" w:type="dxa"/>
            <w:vAlign w:val="bottom"/>
            <w:shd w:val="clear" w:color="auto" w:fill="CCFFCC"/>
          </w:tcPr>
          <w:p>
            <w:pPr>
              <w:spacing w:after="0"/>
              <w:rPr>
                <w:sz w:val="20"/>
                <w:szCs w:val="20"/>
                <w:color w:val="auto"/>
              </w:rPr>
            </w:pPr>
            <w:r>
              <w:rPr>
                <w:rFonts w:ascii="Arial" w:cs="Arial" w:eastAsia="Arial" w:hAnsi="Arial"/>
                <w:sz w:val="18"/>
                <w:szCs w:val="18"/>
                <w:color w:val="auto"/>
              </w:rPr>
              <w:t>Ordinary shares, par value NIS 0.01 per share</w:t>
            </w:r>
          </w:p>
        </w:tc>
        <w:tc>
          <w:tcPr>
            <w:tcW w:w="80" w:type="dxa"/>
            <w:vAlign w:val="bottom"/>
            <w:shd w:val="clear" w:color="auto" w:fill="CCFFCC"/>
          </w:tcPr>
          <w:p>
            <w:pPr>
              <w:spacing w:after="0"/>
              <w:rPr>
                <w:sz w:val="19"/>
                <w:szCs w:val="19"/>
                <w:color w:val="auto"/>
              </w:rPr>
            </w:pPr>
          </w:p>
        </w:tc>
        <w:tc>
          <w:tcPr>
            <w:tcW w:w="1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209,091</w:t>
            </w:r>
          </w:p>
        </w:tc>
        <w:tc>
          <w:tcPr>
            <w:tcW w:w="140" w:type="dxa"/>
            <w:vAlign w:val="bottom"/>
            <w:shd w:val="clear" w:color="auto" w:fill="CCFFCC"/>
          </w:tcPr>
          <w:p>
            <w:pPr>
              <w:spacing w:after="0"/>
              <w:rPr>
                <w:sz w:val="19"/>
                <w:szCs w:val="19"/>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FFCC"/>
          </w:tcPr>
          <w:p>
            <w:pPr>
              <w:spacing w:after="0"/>
              <w:rPr>
                <w:sz w:val="19"/>
                <w:szCs w:val="19"/>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3,450,000</w:t>
            </w: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444.36</w:t>
            </w:r>
          </w:p>
        </w:tc>
        <w:tc>
          <w:tcPr>
            <w:tcW w:w="100" w:type="dxa"/>
            <w:vAlign w:val="bottom"/>
            <w:shd w:val="clear" w:color="auto" w:fill="CCFFCC"/>
          </w:tcPr>
          <w:p>
            <w:pPr>
              <w:spacing w:after="0"/>
              <w:rPr>
                <w:sz w:val="19"/>
                <w:szCs w:val="19"/>
                <w:color w:val="auto"/>
              </w:rPr>
            </w:pPr>
          </w:p>
        </w:tc>
      </w:tr>
      <w:tr>
        <w:trPr>
          <w:trHeight w:val="161"/>
        </w:trPr>
        <w:tc>
          <w:tcPr>
            <w:tcW w:w="20" w:type="dxa"/>
            <w:vAlign w:val="bottom"/>
          </w:tcPr>
          <w:p>
            <w:pPr>
              <w:spacing w:after="0"/>
              <w:rPr>
                <w:sz w:val="14"/>
                <w:szCs w:val="14"/>
                <w:color w:val="auto"/>
              </w:rPr>
            </w:pPr>
          </w:p>
        </w:tc>
        <w:tc>
          <w:tcPr>
            <w:tcW w:w="54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4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10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2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r>
    </w:tbl>
    <w:p>
      <w:pPr>
        <w:spacing w:after="0" w:line="200" w:lineRule="exact"/>
        <w:rPr>
          <w:sz w:val="20"/>
          <w:szCs w:val="20"/>
          <w:color w:val="auto"/>
        </w:rPr>
      </w:pPr>
    </w:p>
    <w:p>
      <w:pPr>
        <w:spacing w:after="0" w:line="218" w:lineRule="exact"/>
        <w:rPr>
          <w:sz w:val="20"/>
          <w:szCs w:val="20"/>
          <w:color w:val="auto"/>
        </w:rPr>
      </w:pPr>
    </w:p>
    <w:p>
      <w:pPr>
        <w:ind w:left="720" w:hanging="65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27,273 Ordinary Shares that the underwriters have the option to purchase to cover over-allotments, if any.</w:t>
      </w:r>
    </w:p>
    <w:p>
      <w:pPr>
        <w:spacing w:after="0" w:line="184" w:lineRule="exact"/>
        <w:rPr>
          <w:rFonts w:ascii="Arial" w:cs="Arial" w:eastAsia="Arial" w:hAnsi="Arial"/>
          <w:sz w:val="18"/>
          <w:szCs w:val="18"/>
          <w:color w:val="auto"/>
        </w:rPr>
      </w:pPr>
    </w:p>
    <w:p>
      <w:pPr>
        <w:ind w:left="720" w:hanging="65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457(a) under the Securities Act of 1933.</w:t>
      </w:r>
    </w:p>
    <w:p>
      <w:pPr>
        <w:spacing w:after="0" w:line="184" w:lineRule="exact"/>
        <w:rPr>
          <w:rFonts w:ascii="Arial" w:cs="Arial" w:eastAsia="Arial" w:hAnsi="Arial"/>
          <w:sz w:val="18"/>
          <w:szCs w:val="18"/>
          <w:color w:val="auto"/>
        </w:rPr>
      </w:pPr>
    </w:p>
    <w:p>
      <w:pPr>
        <w:jc w:val="both"/>
        <w:ind w:left="720" w:hanging="658"/>
        <w:spacing w:after="0" w:line="257"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hereby certifies to the Securities and Exchange Commission (the “Commission”) that (i) the registrant has instructed its bank to pay the Commission the filing fee of $444.36 for the additional securities being registered under this registration statement as soon as practicable but no later than the close of business on October 24, 2013; (ii) the registrant will not revoke such instructions; (iii) the registrant has sufficient funds in the relevant account to cover the amount of the filing fee; and (iv) the registrant undertakes to confirm receipt of such instructions by the bank on October 25, 2013.</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This Registration Statement on Form F-1 is being filed pursuant to Rule 462(b) under the Securities Act of 1933, as amended. Alcobra, Ltd. (the “Company”) hereby incorporates by reference into this Registration Statement on Form F-1 the Registration Statement on Form F-1 (File No. 333-191714), as amended, in its entirety, registering up to $34,500,000 worth of shares for sale by it and declared effective on October 24, 2013 by the Securities and Exchange Commission (the “Commission”), including each of the documents filed by the Company with the Commission and incorporated or deemed to be incorporated by reference in such Registration Statement and all exhibits thereto.</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All the exhibits filed with or incorporated by reference in Registration Statement No. 333-191714 are incorporated by reference into, and shall be deemed part of, this Registration Statement, except the following, which are filed herewith:</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920" w:type="dxa"/>
            <w:vAlign w:val="bottom"/>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76"/>
        </w:trPr>
        <w:tc>
          <w:tcPr>
            <w:tcW w:w="1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Borders>
              <w:bottom w:val="single" w:sz="8" w:color="auto"/>
            </w:tcBorders>
          </w:tcPr>
          <w:p>
            <w:pPr>
              <w:spacing w:after="0"/>
              <w:rPr>
                <w:sz w:val="15"/>
                <w:szCs w:val="15"/>
                <w:color w:val="auto"/>
              </w:rPr>
            </w:pPr>
          </w:p>
        </w:tc>
      </w:tr>
      <w:tr>
        <w:trPr>
          <w:trHeight w:val="587"/>
        </w:trPr>
        <w:tc>
          <w:tcPr>
            <w:tcW w:w="1380" w:type="dxa"/>
            <w:vAlign w:val="bottom"/>
          </w:tcPr>
          <w:p>
            <w:pPr>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7"/>
              </w:rPr>
              <w:t>Opinion of Zysman, Aharoni, Gayer &amp; Co., Israeli counsel to the Company, as to the validity of the ordinary shares being offered</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(including consent).</w:t>
            </w:r>
          </w:p>
        </w:tc>
      </w:tr>
      <w:tr>
        <w:trPr>
          <w:trHeight w:val="783"/>
        </w:trPr>
        <w:tc>
          <w:tcPr>
            <w:tcW w:w="1380" w:type="dxa"/>
            <w:vAlign w:val="bottom"/>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Consent of Kost Forer Gabbay &amp; Kasierer (a Member of Ernst &amp; Young Global).</w:t>
            </w:r>
          </w:p>
        </w:tc>
      </w:tr>
      <w:tr>
        <w:trPr>
          <w:trHeight w:val="783"/>
        </w:trPr>
        <w:tc>
          <w:tcPr>
            <w:tcW w:w="1380" w:type="dxa"/>
            <w:vAlign w:val="bottom"/>
          </w:tcPr>
          <w:p>
            <w:pPr>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Consent of Zysman, Aharoni, Gayer, &amp; Co. (included in Exhibit 5.1).</w:t>
            </w:r>
          </w:p>
        </w:tc>
      </w:tr>
      <w:tr>
        <w:trPr>
          <w:trHeight w:val="783"/>
        </w:trPr>
        <w:tc>
          <w:tcPr>
            <w:tcW w:w="1380" w:type="dxa"/>
            <w:vAlign w:val="bottom"/>
          </w:tcPr>
          <w:p>
            <w:pPr>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Power of Attorney.</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 Previously filed as part of the Registrant’s Registration Statement on Form F-1 (File No. 333-191714) filed with the Commission on October 15,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amendment to the registration statement on Form F-1 to be signed on its behalf by the undersigned, thereunto duly authorized, in Tel Aviv, Israel on October 24, 2013.</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ALCOBRA LTD.</w:t>
      </w:r>
    </w:p>
    <w:p>
      <w:pPr>
        <w:spacing w:after="0" w:line="200" w:lineRule="exact"/>
        <w:rPr>
          <w:sz w:val="20"/>
          <w:szCs w:val="20"/>
          <w:color w:val="auto"/>
        </w:rPr>
      </w:pPr>
    </w:p>
    <w:p>
      <w:pPr>
        <w:spacing w:after="0" w:line="37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Dr. Yaron Daniely</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01" w:lineRule="exact"/>
        <w:rPr>
          <w:sz w:val="20"/>
          <w:szCs w:val="20"/>
          <w:color w:val="auto"/>
        </w:rPr>
      </w:pPr>
    </w:p>
    <w:p>
      <w:pPr>
        <w:ind w:firstLine="47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F-1 has been signed by the following persons in the capacities and on the dates indicated.</w:t>
      </w:r>
    </w:p>
    <w:p>
      <w:pPr>
        <w:spacing w:after="0" w:line="383" w:lineRule="exact"/>
        <w:rPr>
          <w:sz w:val="20"/>
          <w:szCs w:val="20"/>
          <w:color w:val="auto"/>
        </w:rPr>
      </w:pPr>
    </w:p>
    <w:p>
      <w:pPr>
        <w:ind w:left="1520"/>
        <w:spacing w:after="0"/>
        <w:tabs>
          <w:tab w:leader="none" w:pos="6380" w:val="left"/>
          <w:tab w:leader="none" w:pos="102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gridSpan w:val="4"/>
          </w:tcPr>
          <w:p>
            <w:pPr>
              <w:spacing w:after="0"/>
              <w:rPr>
                <w:sz w:val="20"/>
                <w:szCs w:val="20"/>
                <w:color w:val="auto"/>
              </w:rPr>
            </w:pPr>
            <w:r>
              <w:rPr>
                <w:rFonts w:ascii="Arial" w:cs="Arial" w:eastAsia="Arial" w:hAnsi="Arial"/>
                <w:sz w:val="18"/>
                <w:szCs w:val="18"/>
                <w:color w:val="auto"/>
              </w:rPr>
              <w:t>/s/ Dr. Yaron Daniely</w:t>
            </w:r>
          </w:p>
        </w:tc>
        <w:tc>
          <w:tcPr>
            <w:tcW w:w="4480" w:type="dxa"/>
            <w:vAlign w:val="bottom"/>
          </w:tcPr>
          <w:p>
            <w:pPr>
              <w:ind w:left="120"/>
              <w:spacing w:after="0"/>
              <w:rPr>
                <w:sz w:val="20"/>
                <w:szCs w:val="20"/>
                <w:color w:val="auto"/>
              </w:rPr>
            </w:pPr>
            <w:r>
              <w:rPr>
                <w:rFonts w:ascii="Arial" w:cs="Arial" w:eastAsia="Arial" w:hAnsi="Arial"/>
                <w:sz w:val="18"/>
                <w:szCs w:val="18"/>
                <w:color w:val="auto"/>
              </w:rPr>
              <w:t>Chief Executive Officer and President</w:t>
            </w:r>
          </w:p>
        </w:tc>
        <w:tc>
          <w:tcPr>
            <w:tcW w:w="2360" w:type="dxa"/>
            <w:vAlign w:val="bottom"/>
          </w:tcPr>
          <w:p>
            <w:pPr>
              <w:ind w:left="1100"/>
              <w:spacing w:after="0"/>
              <w:rPr>
                <w:sz w:val="20"/>
                <w:szCs w:val="20"/>
                <w:color w:val="auto"/>
              </w:rPr>
            </w:pPr>
            <w:r>
              <w:rPr>
                <w:rFonts w:ascii="Arial" w:cs="Arial" w:eastAsia="Arial" w:hAnsi="Arial"/>
                <w:sz w:val="18"/>
                <w:szCs w:val="18"/>
                <w:color w:val="auto"/>
                <w:w w:val="89"/>
              </w:rPr>
              <w:t>October 24, 2013</w:t>
            </w:r>
          </w:p>
        </w:tc>
        <w:tc>
          <w:tcPr>
            <w:tcW w:w="0" w:type="dxa"/>
            <w:vAlign w:val="bottom"/>
          </w:tcPr>
          <w:p>
            <w:pPr>
              <w:spacing w:after="0"/>
              <w:rPr>
                <w:sz w:val="1"/>
                <w:szCs w:val="1"/>
                <w:color w:val="auto"/>
              </w:rPr>
            </w:pPr>
          </w:p>
        </w:tc>
      </w:tr>
      <w:tr>
        <w:trPr>
          <w:trHeight w:val="176"/>
        </w:trPr>
        <w:tc>
          <w:tcPr>
            <w:tcW w:w="2160" w:type="dxa"/>
            <w:vAlign w:val="bottom"/>
            <w:tcBorders>
              <w:bottom w:val="single" w:sz="8" w:color="auto"/>
            </w:tcBorders>
            <w:gridSpan w:val="3"/>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4480" w:type="dxa"/>
            <w:vAlign w:val="bottom"/>
            <w:vMerge w:val="restart"/>
          </w:tcPr>
          <w:p>
            <w:pPr>
              <w:ind w:left="120"/>
              <w:spacing w:after="0"/>
              <w:rPr>
                <w:sz w:val="20"/>
                <w:szCs w:val="20"/>
                <w:color w:val="auto"/>
              </w:rPr>
            </w:pPr>
            <w:r>
              <w:rPr>
                <w:rFonts w:ascii="Arial" w:cs="Arial" w:eastAsia="Arial" w:hAnsi="Arial"/>
                <w:sz w:val="18"/>
                <w:szCs w:val="18"/>
                <w:color w:val="auto"/>
              </w:rPr>
              <w:t>(Principal Executive Officer) and Director</w:t>
            </w: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780" w:type="dxa"/>
            <w:vAlign w:val="bottom"/>
            <w:gridSpan w:val="4"/>
          </w:tcPr>
          <w:p>
            <w:pPr>
              <w:spacing w:after="0"/>
              <w:rPr>
                <w:sz w:val="20"/>
                <w:szCs w:val="20"/>
                <w:color w:val="auto"/>
              </w:rPr>
            </w:pPr>
            <w:r>
              <w:rPr>
                <w:rFonts w:ascii="Arial" w:cs="Arial" w:eastAsia="Arial" w:hAnsi="Arial"/>
                <w:sz w:val="18"/>
                <w:szCs w:val="18"/>
                <w:color w:val="auto"/>
              </w:rPr>
              <w:t>Dr. Yaron Daniely</w:t>
            </w:r>
          </w:p>
        </w:tc>
        <w:tc>
          <w:tcPr>
            <w:tcW w:w="448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9"/>
        </w:trPr>
        <w:tc>
          <w:tcPr>
            <w:tcW w:w="3780" w:type="dxa"/>
            <w:vAlign w:val="bottom"/>
            <w:gridSpan w:val="4"/>
          </w:tcPr>
          <w:p>
            <w:pPr>
              <w:spacing w:after="0"/>
              <w:rPr>
                <w:sz w:val="20"/>
                <w:szCs w:val="20"/>
                <w:color w:val="auto"/>
              </w:rPr>
            </w:pPr>
            <w:r>
              <w:rPr>
                <w:rFonts w:ascii="Arial" w:cs="Arial" w:eastAsia="Arial" w:hAnsi="Arial"/>
                <w:sz w:val="18"/>
                <w:szCs w:val="18"/>
                <w:color w:val="auto"/>
              </w:rPr>
              <w:t>/s/ Udi Gilboa*</w:t>
            </w:r>
          </w:p>
        </w:tc>
        <w:tc>
          <w:tcPr>
            <w:tcW w:w="4480" w:type="dxa"/>
            <w:vAlign w:val="bottom"/>
          </w:tcPr>
          <w:p>
            <w:pPr>
              <w:ind w:left="120"/>
              <w:spacing w:after="0"/>
              <w:rPr>
                <w:sz w:val="20"/>
                <w:szCs w:val="20"/>
                <w:color w:val="auto"/>
              </w:rPr>
            </w:pPr>
            <w:r>
              <w:rPr>
                <w:rFonts w:ascii="Arial" w:cs="Arial" w:eastAsia="Arial" w:hAnsi="Arial"/>
                <w:sz w:val="18"/>
                <w:szCs w:val="18"/>
                <w:color w:val="auto"/>
              </w:rPr>
              <w:t>Chief Financial Officer (Principal Financial</w:t>
            </w:r>
          </w:p>
        </w:tc>
        <w:tc>
          <w:tcPr>
            <w:tcW w:w="2360" w:type="dxa"/>
            <w:vAlign w:val="bottom"/>
          </w:tcPr>
          <w:p>
            <w:pPr>
              <w:ind w:left="1100"/>
              <w:spacing w:after="0"/>
              <w:rPr>
                <w:sz w:val="20"/>
                <w:szCs w:val="20"/>
                <w:color w:val="auto"/>
              </w:rPr>
            </w:pPr>
            <w:r>
              <w:rPr>
                <w:rFonts w:ascii="Arial" w:cs="Arial" w:eastAsia="Arial" w:hAnsi="Arial"/>
                <w:sz w:val="18"/>
                <w:szCs w:val="18"/>
                <w:color w:val="auto"/>
                <w:w w:val="89"/>
              </w:rPr>
              <w:t>October 24, 2013</w:t>
            </w:r>
          </w:p>
        </w:tc>
        <w:tc>
          <w:tcPr>
            <w:tcW w:w="0" w:type="dxa"/>
            <w:vAlign w:val="bottom"/>
          </w:tcPr>
          <w:p>
            <w:pPr>
              <w:spacing w:after="0"/>
              <w:rPr>
                <w:sz w:val="1"/>
                <w:szCs w:val="1"/>
                <w:color w:val="auto"/>
              </w:rPr>
            </w:pPr>
          </w:p>
        </w:tc>
      </w:tr>
      <w:tr>
        <w:trPr>
          <w:trHeight w:val="176"/>
        </w:trPr>
        <w:tc>
          <w:tcPr>
            <w:tcW w:w="2160" w:type="dxa"/>
            <w:vAlign w:val="bottom"/>
            <w:tcBorders>
              <w:bottom w:val="single" w:sz="8" w:color="auto"/>
            </w:tcBorders>
            <w:gridSpan w:val="3"/>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4480" w:type="dxa"/>
            <w:vAlign w:val="bottom"/>
            <w:vMerge w:val="restart"/>
          </w:tcPr>
          <w:p>
            <w:pPr>
              <w:ind w:left="120"/>
              <w:spacing w:after="0"/>
              <w:rPr>
                <w:sz w:val="20"/>
                <w:szCs w:val="20"/>
                <w:color w:val="auto"/>
              </w:rPr>
            </w:pPr>
            <w:r>
              <w:rPr>
                <w:rFonts w:ascii="Arial" w:cs="Arial" w:eastAsia="Arial" w:hAnsi="Arial"/>
                <w:sz w:val="18"/>
                <w:szCs w:val="18"/>
                <w:color w:val="auto"/>
              </w:rPr>
              <w:t>and Accounting Officer) and Director</w:t>
            </w: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780" w:type="dxa"/>
            <w:vAlign w:val="bottom"/>
            <w:gridSpan w:val="4"/>
          </w:tcPr>
          <w:p>
            <w:pPr>
              <w:spacing w:after="0"/>
              <w:rPr>
                <w:sz w:val="20"/>
                <w:szCs w:val="20"/>
                <w:color w:val="auto"/>
              </w:rPr>
            </w:pPr>
            <w:r>
              <w:rPr>
                <w:rFonts w:ascii="Arial" w:cs="Arial" w:eastAsia="Arial" w:hAnsi="Arial"/>
                <w:sz w:val="18"/>
                <w:szCs w:val="18"/>
                <w:color w:val="auto"/>
              </w:rPr>
              <w:t>Udi Gilboa</w:t>
            </w:r>
          </w:p>
        </w:tc>
        <w:tc>
          <w:tcPr>
            <w:tcW w:w="448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9"/>
        </w:trPr>
        <w:tc>
          <w:tcPr>
            <w:tcW w:w="20" w:type="dxa"/>
            <w:vAlign w:val="bottom"/>
          </w:tcPr>
          <w:p>
            <w:pPr>
              <w:spacing w:after="0"/>
              <w:rPr>
                <w:sz w:val="24"/>
                <w:szCs w:val="24"/>
                <w:color w:val="auto"/>
              </w:rPr>
            </w:pPr>
          </w:p>
        </w:tc>
        <w:tc>
          <w:tcPr>
            <w:tcW w:w="3760" w:type="dxa"/>
            <w:vAlign w:val="bottom"/>
            <w:gridSpan w:val="3"/>
          </w:tcPr>
          <w:p>
            <w:pPr>
              <w:ind w:left="40"/>
              <w:spacing w:after="0"/>
              <w:rPr>
                <w:sz w:val="20"/>
                <w:szCs w:val="20"/>
                <w:color w:val="auto"/>
              </w:rPr>
            </w:pPr>
            <w:r>
              <w:rPr>
                <w:rFonts w:ascii="Arial" w:cs="Arial" w:eastAsia="Arial" w:hAnsi="Arial"/>
                <w:sz w:val="18"/>
                <w:szCs w:val="18"/>
                <w:color w:val="auto"/>
              </w:rPr>
              <w:t>/s/ Dr. Aharon Schwartz*</w:t>
            </w:r>
          </w:p>
        </w:tc>
        <w:tc>
          <w:tcPr>
            <w:tcW w:w="4480" w:type="dxa"/>
            <w:vAlign w:val="bottom"/>
          </w:tcPr>
          <w:p>
            <w:pPr>
              <w:ind w:left="120"/>
              <w:spacing w:after="0"/>
              <w:rPr>
                <w:sz w:val="20"/>
                <w:szCs w:val="20"/>
                <w:color w:val="auto"/>
              </w:rPr>
            </w:pPr>
            <w:r>
              <w:rPr>
                <w:rFonts w:ascii="Arial" w:cs="Arial" w:eastAsia="Arial" w:hAnsi="Arial"/>
                <w:sz w:val="18"/>
                <w:szCs w:val="18"/>
                <w:color w:val="auto"/>
              </w:rPr>
              <w:t>Director, Chairman of the Board of Directors</w:t>
            </w:r>
          </w:p>
        </w:tc>
        <w:tc>
          <w:tcPr>
            <w:tcW w:w="2360" w:type="dxa"/>
            <w:vAlign w:val="bottom"/>
          </w:tcPr>
          <w:p>
            <w:pPr>
              <w:ind w:left="1100"/>
              <w:spacing w:after="0"/>
              <w:rPr>
                <w:sz w:val="20"/>
                <w:szCs w:val="20"/>
                <w:color w:val="auto"/>
              </w:rPr>
            </w:pPr>
            <w:r>
              <w:rPr>
                <w:rFonts w:ascii="Arial" w:cs="Arial" w:eastAsia="Arial" w:hAnsi="Arial"/>
                <w:sz w:val="18"/>
                <w:szCs w:val="18"/>
                <w:color w:val="auto"/>
                <w:w w:val="89"/>
              </w:rPr>
              <w:t>October 24, 2013</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140" w:type="dxa"/>
            <w:vAlign w:val="bottom"/>
            <w:tcBorders>
              <w:bottom w:val="single" w:sz="8" w:color="auto"/>
            </w:tcBorders>
            <w:gridSpan w:val="2"/>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44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Dr. Aharon Schwartz</w:t>
            </w:r>
          </w:p>
        </w:tc>
        <w:tc>
          <w:tcPr>
            <w:tcW w:w="44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9"/>
        </w:trPr>
        <w:tc>
          <w:tcPr>
            <w:tcW w:w="3780" w:type="dxa"/>
            <w:vAlign w:val="bottom"/>
            <w:gridSpan w:val="4"/>
          </w:tcPr>
          <w:p>
            <w:pPr>
              <w:spacing w:after="0"/>
              <w:rPr>
                <w:sz w:val="20"/>
                <w:szCs w:val="20"/>
                <w:color w:val="auto"/>
              </w:rPr>
            </w:pPr>
            <w:r>
              <w:rPr>
                <w:rFonts w:ascii="Arial" w:cs="Arial" w:eastAsia="Arial" w:hAnsi="Arial"/>
                <w:sz w:val="18"/>
                <w:szCs w:val="18"/>
                <w:color w:val="auto"/>
              </w:rPr>
              <w:t>/s/ Dr. Dalia Megiddo*</w:t>
            </w:r>
          </w:p>
        </w:tc>
        <w:tc>
          <w:tcPr>
            <w:tcW w:w="44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360" w:type="dxa"/>
            <w:vAlign w:val="bottom"/>
          </w:tcPr>
          <w:p>
            <w:pPr>
              <w:ind w:left="1100"/>
              <w:spacing w:after="0"/>
              <w:rPr>
                <w:sz w:val="20"/>
                <w:szCs w:val="20"/>
                <w:color w:val="auto"/>
              </w:rPr>
            </w:pPr>
            <w:r>
              <w:rPr>
                <w:rFonts w:ascii="Arial" w:cs="Arial" w:eastAsia="Arial" w:hAnsi="Arial"/>
                <w:sz w:val="18"/>
                <w:szCs w:val="18"/>
                <w:color w:val="auto"/>
                <w:w w:val="89"/>
              </w:rPr>
              <w:t>October 24, 2013</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2"/>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44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780" w:type="dxa"/>
            <w:vAlign w:val="bottom"/>
            <w:gridSpan w:val="4"/>
          </w:tcPr>
          <w:p>
            <w:pPr>
              <w:spacing w:after="0"/>
              <w:rPr>
                <w:sz w:val="20"/>
                <w:szCs w:val="20"/>
                <w:color w:val="auto"/>
              </w:rPr>
            </w:pPr>
            <w:r>
              <w:rPr>
                <w:rFonts w:ascii="Arial" w:cs="Arial" w:eastAsia="Arial" w:hAnsi="Arial"/>
                <w:sz w:val="18"/>
                <w:szCs w:val="18"/>
                <w:color w:val="auto"/>
              </w:rPr>
              <w:t>Dalia Megiddo</w:t>
            </w:r>
          </w:p>
        </w:tc>
        <w:tc>
          <w:tcPr>
            <w:tcW w:w="44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3780" w:type="dxa"/>
            <w:vAlign w:val="bottom"/>
            <w:gridSpan w:val="4"/>
          </w:tcPr>
          <w:p>
            <w:pPr>
              <w:spacing w:after="0"/>
              <w:rPr>
                <w:sz w:val="20"/>
                <w:szCs w:val="20"/>
                <w:color w:val="auto"/>
              </w:rPr>
            </w:pPr>
            <w:r>
              <w:rPr>
                <w:rFonts w:ascii="Arial" w:cs="Arial" w:eastAsia="Arial" w:hAnsi="Arial"/>
                <w:sz w:val="18"/>
                <w:szCs w:val="18"/>
                <w:color w:val="auto"/>
              </w:rPr>
              <w:t>/s/ Howard B. Rosen*</w:t>
            </w:r>
          </w:p>
        </w:tc>
        <w:tc>
          <w:tcPr>
            <w:tcW w:w="44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360" w:type="dxa"/>
            <w:vAlign w:val="bottom"/>
          </w:tcPr>
          <w:p>
            <w:pPr>
              <w:ind w:left="1100"/>
              <w:spacing w:after="0"/>
              <w:rPr>
                <w:sz w:val="20"/>
                <w:szCs w:val="20"/>
                <w:color w:val="auto"/>
              </w:rPr>
            </w:pPr>
            <w:r>
              <w:rPr>
                <w:rFonts w:ascii="Arial" w:cs="Arial" w:eastAsia="Arial" w:hAnsi="Arial"/>
                <w:sz w:val="18"/>
                <w:szCs w:val="18"/>
                <w:color w:val="auto"/>
                <w:w w:val="89"/>
              </w:rPr>
              <w:t>October 24, 2013</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2"/>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44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780" w:type="dxa"/>
            <w:vAlign w:val="bottom"/>
            <w:gridSpan w:val="4"/>
          </w:tcPr>
          <w:p>
            <w:pPr>
              <w:spacing w:after="0"/>
              <w:rPr>
                <w:sz w:val="20"/>
                <w:szCs w:val="20"/>
                <w:color w:val="auto"/>
              </w:rPr>
            </w:pPr>
            <w:r>
              <w:rPr>
                <w:rFonts w:ascii="Arial" w:cs="Arial" w:eastAsia="Arial" w:hAnsi="Arial"/>
                <w:sz w:val="18"/>
                <w:szCs w:val="18"/>
                <w:color w:val="auto"/>
              </w:rPr>
              <w:t>Howard B. Rosen</w:t>
            </w:r>
          </w:p>
        </w:tc>
        <w:tc>
          <w:tcPr>
            <w:tcW w:w="44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3780" w:type="dxa"/>
            <w:vAlign w:val="bottom"/>
            <w:gridSpan w:val="4"/>
          </w:tcPr>
          <w:p>
            <w:pPr>
              <w:spacing w:after="0"/>
              <w:rPr>
                <w:sz w:val="20"/>
                <w:szCs w:val="20"/>
                <w:color w:val="auto"/>
              </w:rPr>
            </w:pPr>
            <w:r>
              <w:rPr>
                <w:rFonts w:ascii="Arial" w:cs="Arial" w:eastAsia="Arial" w:hAnsi="Arial"/>
                <w:sz w:val="18"/>
                <w:szCs w:val="18"/>
                <w:color w:val="auto"/>
              </w:rPr>
              <w:t>/s/ Daniel E. Geffken*</w:t>
            </w:r>
          </w:p>
        </w:tc>
        <w:tc>
          <w:tcPr>
            <w:tcW w:w="44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360" w:type="dxa"/>
            <w:vAlign w:val="bottom"/>
          </w:tcPr>
          <w:p>
            <w:pPr>
              <w:ind w:left="1100"/>
              <w:spacing w:after="0"/>
              <w:rPr>
                <w:sz w:val="20"/>
                <w:szCs w:val="20"/>
                <w:color w:val="auto"/>
              </w:rPr>
            </w:pPr>
            <w:r>
              <w:rPr>
                <w:rFonts w:ascii="Arial" w:cs="Arial" w:eastAsia="Arial" w:hAnsi="Arial"/>
                <w:sz w:val="18"/>
                <w:szCs w:val="18"/>
                <w:color w:val="auto"/>
                <w:w w:val="89"/>
              </w:rPr>
              <w:t>October 24, 2013</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2"/>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44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780" w:type="dxa"/>
            <w:vAlign w:val="bottom"/>
            <w:gridSpan w:val="4"/>
          </w:tcPr>
          <w:p>
            <w:pPr>
              <w:spacing w:after="0"/>
              <w:rPr>
                <w:sz w:val="20"/>
                <w:szCs w:val="20"/>
                <w:color w:val="auto"/>
              </w:rPr>
            </w:pPr>
            <w:r>
              <w:rPr>
                <w:rFonts w:ascii="Arial" w:cs="Arial" w:eastAsia="Arial" w:hAnsi="Arial"/>
                <w:sz w:val="18"/>
                <w:szCs w:val="18"/>
                <w:color w:val="auto"/>
              </w:rPr>
              <w:t>Daniel E. Geffken*</w:t>
            </w:r>
          </w:p>
        </w:tc>
        <w:tc>
          <w:tcPr>
            <w:tcW w:w="44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3780" w:type="dxa"/>
            <w:vAlign w:val="bottom"/>
            <w:gridSpan w:val="4"/>
          </w:tcPr>
          <w:p>
            <w:pPr>
              <w:spacing w:after="0"/>
              <w:rPr>
                <w:sz w:val="20"/>
                <w:szCs w:val="20"/>
                <w:color w:val="auto"/>
              </w:rPr>
            </w:pPr>
            <w:r>
              <w:rPr>
                <w:rFonts w:ascii="Arial" w:cs="Arial" w:eastAsia="Arial" w:hAnsi="Arial"/>
                <w:sz w:val="18"/>
                <w:szCs w:val="18"/>
                <w:color w:val="auto"/>
              </w:rPr>
              <w:t>/s/ Ori Mor *</w:t>
            </w:r>
          </w:p>
        </w:tc>
        <w:tc>
          <w:tcPr>
            <w:tcW w:w="44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360" w:type="dxa"/>
            <w:vAlign w:val="bottom"/>
          </w:tcPr>
          <w:p>
            <w:pPr>
              <w:ind w:left="1100"/>
              <w:spacing w:after="0"/>
              <w:rPr>
                <w:sz w:val="20"/>
                <w:szCs w:val="20"/>
                <w:color w:val="auto"/>
              </w:rPr>
            </w:pPr>
            <w:r>
              <w:rPr>
                <w:rFonts w:ascii="Arial" w:cs="Arial" w:eastAsia="Arial" w:hAnsi="Arial"/>
                <w:sz w:val="18"/>
                <w:szCs w:val="18"/>
                <w:color w:val="auto"/>
                <w:w w:val="89"/>
              </w:rPr>
              <w:t>October 24, 2013</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44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40" w:type="dxa"/>
            <w:vAlign w:val="bottom"/>
            <w:gridSpan w:val="2"/>
          </w:tcPr>
          <w:p>
            <w:pPr>
              <w:spacing w:after="0"/>
              <w:rPr>
                <w:sz w:val="20"/>
                <w:szCs w:val="20"/>
                <w:color w:val="auto"/>
              </w:rPr>
            </w:pPr>
            <w:r>
              <w:rPr>
                <w:rFonts w:ascii="Arial" w:cs="Arial" w:eastAsia="Arial" w:hAnsi="Arial"/>
                <w:sz w:val="18"/>
                <w:szCs w:val="18"/>
                <w:color w:val="auto"/>
              </w:rPr>
              <w:t>Ori Mor</w:t>
            </w:r>
          </w:p>
        </w:tc>
        <w:tc>
          <w:tcPr>
            <w:tcW w:w="15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3780" w:type="dxa"/>
            <w:vAlign w:val="bottom"/>
            <w:gridSpan w:val="4"/>
          </w:tcPr>
          <w:p>
            <w:pPr>
              <w:spacing w:after="0"/>
              <w:rPr>
                <w:sz w:val="20"/>
                <w:szCs w:val="20"/>
                <w:color w:val="auto"/>
              </w:rPr>
            </w:pPr>
            <w:r>
              <w:rPr>
                <w:rFonts w:ascii="Arial" w:cs="Arial" w:eastAsia="Arial" w:hAnsi="Arial"/>
                <w:sz w:val="18"/>
                <w:szCs w:val="18"/>
                <w:color w:val="auto"/>
              </w:rPr>
              <w:t>/s/ Dr. Hadas Gelander*</w:t>
            </w:r>
          </w:p>
        </w:tc>
        <w:tc>
          <w:tcPr>
            <w:tcW w:w="44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360" w:type="dxa"/>
            <w:vAlign w:val="bottom"/>
          </w:tcPr>
          <w:p>
            <w:pPr>
              <w:ind w:left="1100"/>
              <w:spacing w:after="0"/>
              <w:rPr>
                <w:sz w:val="20"/>
                <w:szCs w:val="20"/>
                <w:color w:val="auto"/>
              </w:rPr>
            </w:pPr>
            <w:r>
              <w:rPr>
                <w:rFonts w:ascii="Arial" w:cs="Arial" w:eastAsia="Arial" w:hAnsi="Arial"/>
                <w:sz w:val="18"/>
                <w:szCs w:val="18"/>
                <w:color w:val="auto"/>
                <w:w w:val="89"/>
              </w:rPr>
              <w:t>October 24, 2013</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2"/>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44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780" w:type="dxa"/>
            <w:vAlign w:val="bottom"/>
            <w:gridSpan w:val="4"/>
          </w:tcPr>
          <w:p>
            <w:pPr>
              <w:spacing w:after="0"/>
              <w:rPr>
                <w:sz w:val="20"/>
                <w:szCs w:val="20"/>
                <w:color w:val="auto"/>
              </w:rPr>
            </w:pPr>
            <w:r>
              <w:rPr>
                <w:rFonts w:ascii="Arial" w:cs="Arial" w:eastAsia="Arial" w:hAnsi="Arial"/>
                <w:sz w:val="18"/>
                <w:szCs w:val="18"/>
                <w:color w:val="auto"/>
              </w:rPr>
              <w:t>Dr. Hadas Gelander</w:t>
            </w:r>
          </w:p>
        </w:tc>
        <w:tc>
          <w:tcPr>
            <w:tcW w:w="44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3"/>
        </w:trPr>
        <w:tc>
          <w:tcPr>
            <w:tcW w:w="640" w:type="dxa"/>
            <w:vAlign w:val="bottom"/>
            <w:gridSpan w:val="2"/>
          </w:tcPr>
          <w:p>
            <w:pPr>
              <w:spacing w:after="0"/>
              <w:rPr>
                <w:sz w:val="20"/>
                <w:szCs w:val="20"/>
                <w:color w:val="auto"/>
              </w:rPr>
            </w:pPr>
            <w:r>
              <w:rPr>
                <w:rFonts w:ascii="Arial" w:cs="Arial" w:eastAsia="Arial" w:hAnsi="Arial"/>
                <w:sz w:val="18"/>
                <w:szCs w:val="18"/>
                <w:color w:val="auto"/>
              </w:rPr>
              <w:t>*</w:t>
            </w:r>
          </w:p>
        </w:tc>
        <w:tc>
          <w:tcPr>
            <w:tcW w:w="3140" w:type="dxa"/>
            <w:vAlign w:val="bottom"/>
            <w:gridSpan w:val="2"/>
          </w:tcPr>
          <w:p>
            <w:pPr>
              <w:spacing w:after="0"/>
              <w:rPr>
                <w:sz w:val="20"/>
                <w:szCs w:val="20"/>
                <w:color w:val="auto"/>
              </w:rPr>
            </w:pPr>
            <w:r>
              <w:rPr>
                <w:rFonts w:ascii="Arial" w:cs="Arial" w:eastAsia="Arial" w:hAnsi="Arial"/>
                <w:sz w:val="18"/>
                <w:szCs w:val="18"/>
                <w:color w:val="auto"/>
              </w:rPr>
              <w:t>/s/ Dr. Yaron Daniely</w:t>
            </w:r>
          </w:p>
        </w:tc>
        <w:tc>
          <w:tcPr>
            <w:tcW w:w="4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gridSpan w:val="2"/>
          </w:tcPr>
          <w:p>
            <w:pPr>
              <w:spacing w:after="0"/>
              <w:rPr>
                <w:sz w:val="20"/>
                <w:szCs w:val="20"/>
                <w:color w:val="auto"/>
              </w:rPr>
            </w:pPr>
            <w:r>
              <w:rPr>
                <w:rFonts w:ascii="Arial" w:cs="Arial" w:eastAsia="Arial" w:hAnsi="Arial"/>
                <w:sz w:val="18"/>
                <w:szCs w:val="18"/>
                <w:color w:val="auto"/>
              </w:rPr>
              <w:t>By:</w:t>
            </w:r>
          </w:p>
        </w:tc>
        <w:tc>
          <w:tcPr>
            <w:tcW w:w="1520" w:type="dxa"/>
            <w:vAlign w:val="bottom"/>
            <w:tcBorders>
              <w:top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Dr. Yaron Daniely,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904" w:right="639" w:bottom="694" w:gutter="0" w:footer="0" w:header="0"/>
        </w:sectPr>
      </w:pPr>
    </w:p>
    <w:bookmarkStart w:id="3" w:name="page4"/>
    <w:bookmarkEnd w:id="3"/>
    <w:p>
      <w:pPr>
        <w:ind w:left="2500"/>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Securities Act of 1933, as amended, the undersigned, Zysman, Aharoni, Gayer &amp; Sullivan &amp; Worcester LLP, the duly authorized representative in the United States of Alcobra Ltd., has signed this registration statement on October 24, 2013.</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ZYSMAN, AHARONI, GAYER AND</w:t>
      </w:r>
    </w:p>
    <w:p>
      <w:pPr>
        <w:spacing w:after="0" w:line="18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SULLIVAN &amp; WORCESTER LLP</w:t>
      </w:r>
    </w:p>
    <w:p>
      <w:pPr>
        <w:spacing w:after="0" w:line="200" w:lineRule="exact"/>
        <w:rPr>
          <w:sz w:val="20"/>
          <w:szCs w:val="20"/>
          <w:color w:val="auto"/>
        </w:rPr>
      </w:pPr>
    </w:p>
    <w:p>
      <w:pPr>
        <w:spacing w:after="0" w:line="376" w:lineRule="exact"/>
        <w:rPr>
          <w:sz w:val="20"/>
          <w:szCs w:val="20"/>
          <w:color w:val="auto"/>
        </w:rPr>
      </w:pPr>
    </w:p>
    <w:p>
      <w:pPr>
        <w:ind w:left="5720"/>
        <w:spacing w:after="0"/>
        <w:tabs>
          <w:tab w:leader="none" w:pos="6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Edwin L. Miller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126365</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683895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240" w:top="904" w:right="9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Zysman, Aharoni, Gayer and Co.</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24,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Amot Investment Building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 Weizman St. 9th Floor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 Aviv 6423902 Israel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u w:val="single" w:color="auto"/>
          <w:color w:val="auto"/>
        </w:rPr>
        <w:t>Registration Statement on Form F-1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We have acted as Israeli counsel for Alcobra Ltd., an Israeli company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underwritten public offering (the “</w:t>
      </w:r>
      <w:r>
        <w:rPr>
          <w:rFonts w:ascii="Arial" w:cs="Arial" w:eastAsia="Arial" w:hAnsi="Arial"/>
          <w:sz w:val="16"/>
          <w:szCs w:val="16"/>
          <w:b w:val="1"/>
          <w:bCs w:val="1"/>
          <w:color w:val="auto"/>
        </w:rPr>
        <w:t>Offering</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by the Company of up to an aggregate of 2,300,000 shares (the “</w:t>
      </w:r>
      <w:r>
        <w:rPr>
          <w:rFonts w:ascii="Arial" w:cs="Arial" w:eastAsia="Arial" w:hAnsi="Arial"/>
          <w:sz w:val="16"/>
          <w:szCs w:val="16"/>
          <w:b w:val="1"/>
          <w:bCs w:val="1"/>
          <w:color w:val="auto"/>
        </w:rPr>
        <w:t>Offered Shares</w:t>
      </w:r>
      <w:r>
        <w:rPr>
          <w:rFonts w:ascii="Arial" w:cs="Arial" w:eastAsia="Arial" w:hAnsi="Arial"/>
          <w:sz w:val="16"/>
          <w:szCs w:val="16"/>
          <w:color w:val="auto"/>
        </w:rPr>
        <w:t>”) of the Company’s ordinary shares, par value NIS 0.01 per share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Ordinary Shares</w:t>
      </w:r>
      <w:r>
        <w:rPr>
          <w:rFonts w:ascii="Arial" w:cs="Arial" w:eastAsia="Arial" w:hAnsi="Arial"/>
          <w:sz w:val="16"/>
          <w:szCs w:val="16"/>
          <w:color w:val="auto"/>
        </w:rPr>
        <w:t>”), including Shares issuable upon exercise of the underwriters’ over-allotment option. This opinion letter is rendered pursuant to Item 8(a)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Form F-1 of the United States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and Item 601(b)(5) of the SEC’s Regulation S-K under the 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w:t>
      </w:r>
    </w:p>
    <w:p>
      <w:pPr>
        <w:spacing w:after="0" w:line="21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connection herewith, we have examined the originals, photocopies or copies, certified or otherwise identified to our satisfaction, of: (i) the form of the registration statement on Form F-1 , filed by the Company with the SEC and to which this opinion is attached as an exhibit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w:t>
      </w:r>
    </w:p>
    <w:p>
      <w:pPr>
        <w:ind w:right="60" w:firstLine="8"/>
        <w:spacing w:after="0" w:line="290" w:lineRule="auto"/>
        <w:tabs>
          <w:tab w:leader="none" w:pos="26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exhibits to the Registration Statement including the form of Underwriting Agreement between the Company, on the one hand, and Stifel, Nicolaus &amp; Company, Incorporated and Aegis Capital Corp., as representatives of the several underwriters, on the other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(iii) copies of the articles of association of the Company, as currently in effect; (iv) resolutions of the board of directors of the Company, approved heretofore, which relate to the Registration Statement and the actions to be taken in connection with the Offering; and (v) such other corporate records, agreements, documents and other instruments, and such certificates or comparable documents of public officials and of officers and representatives of the Company, and have made inquiries of such officers and representatives as we have deemed relevant and necessary as a basis for the opinions hereafter set forth.</w:t>
      </w:r>
    </w:p>
    <w:p>
      <w:pPr>
        <w:spacing w:after="0" w:line="16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confirmed as photostatic copies and the authenticity of the originals of such latter documents. As to all questions of fact material to these opinions that have not been independently established, we have relied upon certificates or comparable documents of officers and representatives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5" w:name="page6"/>
    <w:bookmarkEnd w:id="5"/>
    <w:p>
      <w:pPr>
        <w:ind w:right="40"/>
        <w:spacing w:after="0" w:line="259" w:lineRule="auto"/>
        <w:rPr>
          <w:sz w:val="20"/>
          <w:szCs w:val="20"/>
          <w:color w:val="auto"/>
        </w:rPr>
      </w:pPr>
      <w:r>
        <w:rPr>
          <w:rFonts w:ascii="Arial" w:cs="Arial" w:eastAsia="Arial" w:hAnsi="Arial"/>
          <w:sz w:val="18"/>
          <w:szCs w:val="18"/>
          <w:color w:val="auto"/>
        </w:rPr>
        <w:t>Based upon and subject to the foregoing, we are of the opinion that (i) the Offered Shares have been duly authorized for issuance by all necessary corporate action by the Company; and (ii) upon payment to the Company of the consideration in such amount and form as shall be determined by the board of directors of the Company or an authorized committee thereof, the Offered Shares, when issued and sold in the Offering as described in the Registration Statement, will be validly issued, fully paid and non-assessable .</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are members of the Bar of the State of Israel and we do not express any opinion as to the laws of any other jurisdiction other than those of the State of Israel.</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consent to the filing of this opinion as an exhibit to the Registration Statement and to the reference to our firm appearing under the caption “Legal Matters” and “Enforceability of Civil Liabilities” in the prospectus forming part of the Registration Statement. In giving this consent, we do not thereby admit that we are within the category of persons whose consent is required under Section 7 of the Act or the rules and regulations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Zysman, Aharoni, Gayer&amp; Co.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January 14, 2013 (Except for Note 9.a and Note 13 to which the date is May 21, 2013 and Note 1(b) to which the date is October 15, 2013) with respect to the financial statements of Alcobra Ltd. Included in the Registration Statement on Form F-1 and related Prospectus of Alcobra Ltd., dated October 24, 2013.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7920" w:type="dxa"/>
            <w:vAlign w:val="bottom"/>
          </w:tcPr>
          <w:p>
            <w:pPr>
              <w:ind w:left="2220"/>
              <w:spacing w:after="0"/>
              <w:rPr>
                <w:sz w:val="20"/>
                <w:szCs w:val="20"/>
                <w:color w:val="auto"/>
              </w:rPr>
            </w:pPr>
            <w:r>
              <w:rPr>
                <w:rFonts w:ascii="Arial" w:cs="Arial" w:eastAsia="Arial" w:hAnsi="Arial"/>
                <w:sz w:val="18"/>
                <w:szCs w:val="18"/>
                <w:color w:val="auto"/>
              </w:rPr>
              <w:t>/s/ KOST, FORER, GABBAY &amp;</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Tel-Aviv, Israel</w:t>
            </w:r>
          </w:p>
        </w:tc>
        <w:tc>
          <w:tcPr>
            <w:tcW w:w="7920" w:type="dxa"/>
            <w:vAlign w:val="bottom"/>
          </w:tcPr>
          <w:p>
            <w:pPr>
              <w:ind w:left="2220"/>
              <w:spacing w:after="0"/>
              <w:rPr>
                <w:sz w:val="20"/>
                <w:szCs w:val="20"/>
                <w:color w:val="auto"/>
              </w:rPr>
            </w:pPr>
            <w:r>
              <w:rPr>
                <w:rFonts w:ascii="Arial" w:cs="Arial" w:eastAsia="Arial" w:hAnsi="Arial"/>
                <w:sz w:val="18"/>
                <w:szCs w:val="18"/>
                <w:color w:val="auto"/>
              </w:rPr>
              <w:t>KASIERER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October 24, 2013</w:t>
            </w:r>
          </w:p>
        </w:tc>
        <w:tc>
          <w:tcPr>
            <w:tcW w:w="7920" w:type="dxa"/>
            <w:vAlign w:val="bottom"/>
          </w:tcPr>
          <w:p>
            <w:pPr>
              <w:ind w:left="2220"/>
              <w:spacing w:after="0"/>
              <w:rPr>
                <w:sz w:val="20"/>
                <w:szCs w:val="20"/>
                <w:color w:val="auto"/>
              </w:rPr>
            </w:pPr>
            <w:r>
              <w:rPr>
                <w:rFonts w:ascii="Arial" w:cs="Arial" w:eastAsia="Arial" w:hAnsi="Arial"/>
                <w:sz w:val="18"/>
                <w:szCs w:val="18"/>
                <w:color w:val="auto"/>
              </w:rPr>
              <w:t>A member of Ernst &amp; Young Global</w:t>
            </w:r>
          </w:p>
        </w:tc>
      </w:tr>
      <w:tr>
        <w:trPr>
          <w:trHeight w:val="1080"/>
        </w:trPr>
        <w:tc>
          <w:tcPr>
            <w:tcW w:w="35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2019-12-08T04:12:36Z</dcterms:created>
  <dcterms:modified xsi:type="dcterms:W3CDTF">2019-12-08T04:12:36Z</dcterms:modified>
</cp:coreProperties>
</file>