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2017 (Report No. 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the Annual and Extraordinary General Meeting of Shareholders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At the annual and extraordinary general meeting of shareholders held on October 19, 2017, the shareholders of Alcobra Ltd. voted on the following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items:</w:t>
      </w:r>
    </w:p>
    <w:p>
      <w:pPr>
        <w:spacing w:after="0" w:line="211" w:lineRule="exact"/>
        <w:rPr>
          <w:sz w:val="24"/>
          <w:szCs w:val="24"/>
          <w:color w:val="auto"/>
        </w:rPr>
      </w:pPr>
    </w:p>
    <w:p>
      <w:pPr>
        <w:ind w:left="380" w:hanging="183"/>
        <w:spacing w:after="0" w:line="342"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Alcobra’s independent registered public accounting firm until the next Annual Meeting and to authorize Alcobra’s Board of Directors to determine its compensation for the fiscal year ending December 31, 2017.</w:t>
      </w:r>
    </w:p>
    <w:p>
      <w:pPr>
        <w:spacing w:after="0" w:line="123" w:lineRule="exact"/>
        <w:rPr>
          <w:rFonts w:ascii="Arial" w:cs="Arial" w:eastAsia="Arial" w:hAnsi="Arial"/>
          <w:sz w:val="16"/>
          <w:szCs w:val="16"/>
          <w:color w:val="auto"/>
        </w:rPr>
      </w:pPr>
    </w:p>
    <w:p>
      <w:pPr>
        <w:ind w:left="380" w:hanging="183"/>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the following Alcobra’s currently serving directors: Mr. Howard B. Rosen, Dr. Yaron Daniely, Mr. Daniel E. Geffken, Dr. Aharon Schwartz, Mr. Arieh Ben Yosef, Mr. Ofer Segev and Ms. Orli Tori.</w:t>
      </w:r>
    </w:p>
    <w:p>
      <w:pPr>
        <w:spacing w:after="0" w:line="170" w:lineRule="exact"/>
        <w:rPr>
          <w:rFonts w:ascii="Arial" w:cs="Arial" w:eastAsia="Arial" w:hAnsi="Arial"/>
          <w:sz w:val="18"/>
          <w:szCs w:val="18"/>
          <w:color w:val="auto"/>
        </w:rPr>
      </w:pPr>
    </w:p>
    <w:p>
      <w:pPr>
        <w:ind w:left="380" w:hanging="18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Yuval Yanai as a Director and approval of his terms of compensation.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Amir Efrati as a Director.</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Alcobra’s Option Plan.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terms of compensation of Mr. David Baker, as interim Chief Executive Officer of the Company.</w:t>
      </w:r>
    </w:p>
    <w:p>
      <w:pPr>
        <w:spacing w:after="0" w:line="225" w:lineRule="exact"/>
        <w:rPr>
          <w:rFonts w:ascii="Arial" w:cs="Arial" w:eastAsia="Arial" w:hAnsi="Arial"/>
          <w:sz w:val="18"/>
          <w:szCs w:val="18"/>
          <w:color w:val="auto"/>
        </w:rPr>
      </w:pPr>
    </w:p>
    <w:p>
      <w:pPr>
        <w:ind w:left="380" w:hanging="183"/>
        <w:spacing w:after="0" w:line="277"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grant of options to Dr. Yaron Daniely for his services as Alcobra’s Chairperson of Board of Directors and past services as former Chief Executive Officer.</w:t>
      </w:r>
    </w:p>
    <w:p>
      <w:pPr>
        <w:spacing w:after="0" w:line="170" w:lineRule="exact"/>
        <w:rPr>
          <w:rFonts w:ascii="Arial" w:cs="Arial" w:eastAsia="Arial" w:hAnsi="Arial"/>
          <w:sz w:val="18"/>
          <w:szCs w:val="18"/>
          <w:color w:val="auto"/>
        </w:rPr>
      </w:pPr>
    </w:p>
    <w:p>
      <w:pPr>
        <w:ind w:left="380" w:hanging="18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grant of options to certain directors of Alcobra, as follows:</w:t>
      </w:r>
    </w:p>
    <w:p>
      <w:pPr>
        <w:spacing w:after="0" w:line="23" w:lineRule="exact"/>
        <w:rPr>
          <w:rFonts w:ascii="Arial" w:cs="Arial" w:eastAsia="Arial" w:hAnsi="Arial"/>
          <w:sz w:val="18"/>
          <w:szCs w:val="18"/>
          <w:color w:val="auto"/>
        </w:rPr>
      </w:pPr>
    </w:p>
    <w:p>
      <w:pPr>
        <w:ind w:left="640" w:hanging="243"/>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Mr. Howard B. Rosen.</w:t>
      </w:r>
    </w:p>
    <w:p>
      <w:pPr>
        <w:spacing w:after="0" w:line="9" w:lineRule="exact"/>
        <w:rPr>
          <w:rFonts w:ascii="Arial" w:cs="Arial" w:eastAsia="Arial" w:hAnsi="Arial"/>
          <w:sz w:val="18"/>
          <w:szCs w:val="18"/>
          <w:color w:val="auto"/>
        </w:rPr>
      </w:pPr>
    </w:p>
    <w:p>
      <w:pPr>
        <w:ind w:left="660" w:hanging="263"/>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Dr. Aharon Schwartz.</w:t>
      </w:r>
    </w:p>
    <w:p>
      <w:pPr>
        <w:spacing w:after="0" w:line="9" w:lineRule="exact"/>
        <w:rPr>
          <w:rFonts w:ascii="Arial" w:cs="Arial" w:eastAsia="Arial" w:hAnsi="Arial"/>
          <w:sz w:val="18"/>
          <w:szCs w:val="18"/>
          <w:color w:val="auto"/>
        </w:rPr>
      </w:pPr>
    </w:p>
    <w:p>
      <w:pPr>
        <w:ind w:left="640" w:hanging="243"/>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Mr. Daniel E. Geffken.</w:t>
      </w:r>
    </w:p>
    <w:p>
      <w:pPr>
        <w:spacing w:after="0" w:line="9" w:lineRule="exact"/>
        <w:rPr>
          <w:rFonts w:ascii="Arial" w:cs="Arial" w:eastAsia="Arial" w:hAnsi="Arial"/>
          <w:sz w:val="18"/>
          <w:szCs w:val="18"/>
          <w:color w:val="auto"/>
        </w:rPr>
      </w:pPr>
    </w:p>
    <w:p>
      <w:pPr>
        <w:ind w:left="660" w:hanging="263"/>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Mr. Arieh Ben Yosef.</w:t>
      </w:r>
    </w:p>
    <w:p>
      <w:pPr>
        <w:spacing w:after="0" w:line="9" w:lineRule="exact"/>
        <w:rPr>
          <w:rFonts w:ascii="Arial" w:cs="Arial" w:eastAsia="Arial" w:hAnsi="Arial"/>
          <w:sz w:val="18"/>
          <w:szCs w:val="18"/>
          <w:color w:val="auto"/>
        </w:rPr>
      </w:pPr>
    </w:p>
    <w:p>
      <w:pPr>
        <w:ind w:left="640" w:hanging="243"/>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Mr. Ofer Segev.</w:t>
      </w:r>
    </w:p>
    <w:p>
      <w:pPr>
        <w:spacing w:after="0" w:line="9" w:lineRule="exact"/>
        <w:rPr>
          <w:rFonts w:ascii="Arial" w:cs="Arial" w:eastAsia="Arial" w:hAnsi="Arial"/>
          <w:sz w:val="18"/>
          <w:szCs w:val="18"/>
          <w:color w:val="auto"/>
        </w:rPr>
      </w:pPr>
    </w:p>
    <w:p>
      <w:pPr>
        <w:ind w:left="620" w:hanging="223"/>
        <w:spacing w:after="0"/>
        <w:tabs>
          <w:tab w:leader="none" w:pos="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Grant of options to Ms. Orli Tori.</w:t>
      </w:r>
    </w:p>
    <w:p>
      <w:pPr>
        <w:spacing w:after="0" w:line="211"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Items 1, 2, 3, 4, 5, 7, 8.b and 8.f were approved. Items 6, 8.a, 8.c, 8.d and 8.e were not approved by the requisite majority of the shareholders voting on the matter. In connection with the above, Mr. Baker will resume his full time role as Chief Commercial Officer, effective immediately. Until further notice, the Board of Directors of Alcobra will assume the responsibilities of the Company’s Chief Executive Officer.</w:t>
      </w:r>
    </w:p>
    <w:p>
      <w:pPr>
        <w:spacing w:after="0" w:line="181" w:lineRule="exact"/>
        <w:rPr>
          <w:sz w:val="24"/>
          <w:szCs w:val="24"/>
          <w:color w:val="auto"/>
        </w:rPr>
      </w:pPr>
    </w:p>
    <w:p>
      <w:pPr>
        <w:ind w:right="160" w:firstLine="648"/>
        <w:spacing w:after="0" w:line="286" w:lineRule="auto"/>
        <w:rPr>
          <w:sz w:val="20"/>
          <w:szCs w:val="20"/>
          <w:color w:val="auto"/>
        </w:rPr>
      </w:pPr>
      <w:r>
        <w:rPr>
          <w:rFonts w:ascii="Arial" w:cs="Arial" w:eastAsia="Arial" w:hAnsi="Arial"/>
          <w:sz w:val="17"/>
          <w:szCs w:val="17"/>
          <w:color w:val="auto"/>
        </w:rPr>
        <w:t>This Form 6-K is incorporated by reference into the Registration Statements on Form F-3 (File No. 333- 209960) and Form S-8 (File No. 333-194875, 333-202394, 333-209947 and 333-217556)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661"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Tomer Berkovitz</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60"/>
      </w:cols>
      <w:pgMar w:left="24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2019-12-07T18:40:40Z</dcterms:created>
  <dcterms:modified xsi:type="dcterms:W3CDTF">2019-12-07T18:40:40Z</dcterms:modified>
</cp:coreProperties>
</file>