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00" w:lineRule="exact"/>
        <w:rPr>
          <w:sz w:val="24"/>
          <w:szCs w:val="24"/>
          <w:color w:val="auto"/>
        </w:rPr>
      </w:pPr>
    </w:p>
    <w:p>
      <w:pPr>
        <w:spacing w:after="0" w:line="241"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August 13, 2015, announcing its financial results for the second quarter ended June 30, 2015.</w:t>
      </w:r>
    </w:p>
    <w:p>
      <w:pPr>
        <w:spacing w:after="0" w:line="170" w:lineRule="exact"/>
        <w:rPr>
          <w:sz w:val="24"/>
          <w:szCs w:val="24"/>
          <w:color w:val="auto"/>
        </w:rPr>
      </w:pPr>
    </w:p>
    <w:p>
      <w:pPr>
        <w:ind w:firstLine="648"/>
        <w:spacing w:after="0" w:line="312" w:lineRule="auto"/>
        <w:rPr>
          <w:sz w:val="20"/>
          <w:szCs w:val="20"/>
          <w:color w:val="auto"/>
        </w:rPr>
      </w:pPr>
      <w:r>
        <w:rPr>
          <w:rFonts w:ascii="Arial" w:cs="Arial" w:eastAsia="Arial" w:hAnsi="Arial"/>
          <w:sz w:val="16"/>
          <w:szCs w:val="16"/>
          <w:color w:val="auto"/>
        </w:rPr>
        <w:t>The GAAP financial statements in the press release attached to this Form 6-K of the Registrant are incorporated by reference into the Registration Statements on Form F-3 (File No. 333-197411) and Form S-8 (File No. 333-194875) of the Registrant, filed with the Securities and Exchange Commission, to be a part thereof from the date on which this report is submitted,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August 13, 2015, announcing its financial results for the second quarter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165735</wp:posOffset>
            </wp:positionV>
            <wp:extent cx="122618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226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Media Inquiries</w:t>
            </w:r>
          </w:p>
        </w:tc>
        <w:tc>
          <w:tcPr>
            <w:tcW w:w="2140" w:type="dxa"/>
            <w:vAlign w:val="bottom"/>
          </w:tcPr>
          <w:p>
            <w:pPr>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22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Sam Brown, Inc.</w:t>
            </w:r>
          </w:p>
        </w:tc>
        <w:tc>
          <w:tcPr>
            <w:tcW w:w="2140" w:type="dxa"/>
            <w:vAlign w:val="bottom"/>
          </w:tcPr>
          <w:p>
            <w:pPr>
              <w:spacing w:after="0"/>
              <w:rPr>
                <w:sz w:val="20"/>
                <w:szCs w:val="20"/>
                <w:color w:val="auto"/>
              </w:rPr>
            </w:pPr>
            <w:r>
              <w:rPr>
                <w:rFonts w:ascii="Arial" w:cs="Arial" w:eastAsia="Arial" w:hAnsi="Arial"/>
                <w:sz w:val="18"/>
                <w:szCs w:val="18"/>
                <w:color w:val="auto"/>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226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Mike Beyer</w:t>
            </w:r>
          </w:p>
        </w:tc>
        <w:tc>
          <w:tcPr>
            <w:tcW w:w="2140" w:type="dxa"/>
            <w:vAlign w:val="bottom"/>
          </w:tcPr>
          <w:p>
            <w:pPr>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4280" w:type="dxa"/>
            <w:vAlign w:val="bottom"/>
            <w:gridSpan w:val="2"/>
          </w:tcPr>
          <w:p>
            <w:pPr>
              <w:ind w:left="2260"/>
              <w:spacing w:after="0"/>
              <w:rPr>
                <w:sz w:val="20"/>
                <w:szCs w:val="20"/>
                <w:color w:val="auto"/>
              </w:rPr>
            </w:pPr>
            <w:r>
              <w:rPr>
                <w:rFonts w:ascii="Arial" w:cs="Arial" w:eastAsia="Arial" w:hAnsi="Arial"/>
                <w:sz w:val="18"/>
                <w:szCs w:val="18"/>
                <w:color w:val="auto"/>
              </w:rPr>
              <w:t>773-463-4211</w:t>
            </w:r>
          </w:p>
        </w:tc>
        <w:tc>
          <w:tcPr>
            <w:tcW w:w="22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Pr>
          <w:p>
            <w:pPr>
              <w:spacing w:after="0" w:line="190" w:lineRule="exact"/>
              <w:rPr>
                <w:sz w:val="20"/>
                <w:szCs w:val="20"/>
                <w:color w:val="auto"/>
              </w:rPr>
            </w:pPr>
            <w:r>
              <w:rPr>
                <w:rFonts w:ascii="Arial" w:cs="Arial" w:eastAsia="Arial" w:hAnsi="Arial"/>
                <w:sz w:val="18"/>
                <w:szCs w:val="18"/>
                <w:color w:val="0000FF"/>
                <w:w w:val="91"/>
              </w:rPr>
              <w:t>mrice@lifesciadvisors.com</w:t>
            </w:r>
          </w:p>
        </w:tc>
        <w:tc>
          <w:tcPr>
            <w:tcW w:w="2260" w:type="dxa"/>
            <w:vAlign w:val="bottom"/>
          </w:tcPr>
          <w:p>
            <w:pPr>
              <w:spacing w:after="0"/>
              <w:rPr>
                <w:sz w:val="16"/>
                <w:szCs w:val="16"/>
                <w:color w:val="auto"/>
              </w:rPr>
            </w:pPr>
          </w:p>
        </w:tc>
        <w:tc>
          <w:tcPr>
            <w:tcW w:w="4220" w:type="dxa"/>
            <w:vAlign w:val="bottom"/>
            <w:gridSpan w:val="2"/>
          </w:tcPr>
          <w:p>
            <w:pPr>
              <w:spacing w:after="0" w:line="190" w:lineRule="exact"/>
              <w:rPr>
                <w:sz w:val="20"/>
                <w:szCs w:val="20"/>
                <w:color w:val="auto"/>
              </w:rPr>
            </w:pPr>
            <w:r>
              <w:rPr>
                <w:rFonts w:ascii="Arial" w:cs="Arial" w:eastAsia="Arial" w:hAnsi="Arial"/>
                <w:sz w:val="18"/>
                <w:szCs w:val="18"/>
                <w:color w:val="0000FF"/>
              </w:rPr>
              <w:t>mikebeyer@sambrown.com</w:t>
            </w:r>
          </w:p>
        </w:tc>
        <w:tc>
          <w:tcPr>
            <w:tcW w:w="2140" w:type="dxa"/>
            <w:vAlign w:val="bottom"/>
          </w:tcPr>
          <w:p>
            <w:pPr>
              <w:spacing w:after="0" w:line="190" w:lineRule="exact"/>
              <w:rPr>
                <w:sz w:val="20"/>
                <w:szCs w:val="20"/>
                <w:color w:val="auto"/>
              </w:rPr>
            </w:pPr>
            <w:r>
              <w:rPr>
                <w:rFonts w:ascii="Arial" w:cs="Arial" w:eastAsia="Arial" w:hAnsi="Arial"/>
                <w:sz w:val="18"/>
                <w:szCs w:val="18"/>
                <w:color w:val="0000FF"/>
                <w:w w:val="89"/>
              </w:rPr>
              <w:t>debbie@alcobra-pharma.com</w:t>
            </w:r>
          </w:p>
        </w:tc>
      </w:tr>
      <w:tr>
        <w:trPr>
          <w:trHeight w:val="20"/>
        </w:trPr>
        <w:tc>
          <w:tcPr>
            <w:tcW w:w="198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SECOND QUARTER 2015 FINANCIAL RESULTS AND PROVIDES CORPORATE UPDATE</w:t>
      </w:r>
    </w:p>
    <w:p>
      <w:pPr>
        <w:spacing w:after="0" w:line="229"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Conference Call &amp; Webcast today at 8:30 a.m. Eastern Time/5:30 a.m. Pacific Time</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Tel Aviv, Israel – August 13, 2015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help patients with cognitive disorders, including Attention Deficit Hyperactivity Disorder (ADHD) and Fragile X Syndrome, today announced financial results for the three and six months ended June 30, 2015, and provided a corporate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Ended June 30, 2015 Financial Results:</w:t>
      </w:r>
    </w:p>
    <w:p>
      <w:pPr>
        <w:spacing w:after="0" w:line="27" w:lineRule="exact"/>
        <w:rPr>
          <w:sz w:val="20"/>
          <w:szCs w:val="20"/>
          <w:color w:val="auto"/>
        </w:rPr>
      </w:pPr>
    </w:p>
    <w:p>
      <w:pPr>
        <w:ind w:left="340" w:right="400" w:hanging="332"/>
        <w:spacing w:after="0" w:line="28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operating expenses were $5.2 million, similar to the first quarter of 2015, compared with $7.8 million in the second quarter of 2014. Operating expenses included non-cash stock based compensation of $0.4 million in the second quarter of 2015 and $0.9 million in the same quarter of 2014.</w:t>
      </w:r>
    </w:p>
    <w:p>
      <w:pPr>
        <w:spacing w:after="0" w:line="1" w:lineRule="exact"/>
        <w:rPr>
          <w:rFonts w:ascii="Arial" w:cs="Arial" w:eastAsia="Arial" w:hAnsi="Arial"/>
          <w:sz w:val="16"/>
          <w:szCs w:val="16"/>
          <w:color w:val="auto"/>
        </w:rPr>
      </w:pPr>
    </w:p>
    <w:p>
      <w:pPr>
        <w:ind w:left="340" w:right="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development (R&amp;D) expenses were $3.7 million, compared with $5.9 million in the second quarter of 2014. R&amp;D expenses in the second quarter of 2015 consisted primarily of costs associated with the completion of the Phase II Fragile X study and the initiation of the Phase III pivotal study in adult ADHD.</w:t>
      </w:r>
    </w:p>
    <w:p>
      <w:pPr>
        <w:spacing w:after="0" w:line="1"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(G&amp;A) expenses were $1.2 million in the second quarter of 2015, compared with $1.3 million in the same quarter of 2014. Pre-commercialization expenses were $0.3 million, compared with $0.6 million in the second quarter of 2014.</w:t>
      </w:r>
    </w:p>
    <w:p>
      <w:pPr>
        <w:jc w:val="both"/>
        <w:ind w:left="340" w:right="480" w:hanging="332"/>
        <w:spacing w:after="0" w:line="30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cash equivalents and bank deposits totaled $41.1 million at June 30, 2015, compared with $45.0 million at March 31, 2015. Net cash used in operating activities was $3.9 million in the second quarter of 2015, compared with $5.5 million in the second quarter of 2014. In future periods, we expect our cash used in operating activities to increase, as we continue to advance our adult ADHD phase III pivotal study.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Corporate Updates:</w:t>
      </w:r>
    </w:p>
    <w:p>
      <w:pPr>
        <w:spacing w:after="0" w:line="27" w:lineRule="exact"/>
        <w:rPr>
          <w:sz w:val="20"/>
          <w:szCs w:val="20"/>
          <w:color w:val="auto"/>
        </w:rPr>
      </w:pPr>
    </w:p>
    <w:p>
      <w:pPr>
        <w:ind w:left="340" w:right="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began patient enrollment in the MEASURE study (</w:t>
      </w:r>
      <w:r>
        <w:rPr>
          <w:rFonts w:ascii="Arial" w:cs="Arial" w:eastAsia="Arial" w:hAnsi="Arial"/>
          <w:sz w:val="18"/>
          <w:szCs w:val="18"/>
          <w:b w:val="1"/>
          <w:bCs w:val="1"/>
          <w:u w:val="single" w:color="auto"/>
          <w:color w:val="auto"/>
        </w:rPr>
        <w:t>M</w:t>
      </w:r>
      <w:r>
        <w:rPr>
          <w:rFonts w:ascii="Arial" w:cs="Arial" w:eastAsia="Arial" w:hAnsi="Arial"/>
          <w:sz w:val="18"/>
          <w:szCs w:val="18"/>
          <w:color w:val="auto"/>
        </w:rPr>
        <w:t xml:space="preserve">DX </w:t>
      </w:r>
      <w:r>
        <w:rPr>
          <w:rFonts w:ascii="Arial" w:cs="Arial" w:eastAsia="Arial" w:hAnsi="Arial"/>
          <w:sz w:val="18"/>
          <w:szCs w:val="18"/>
          <w:b w:val="1"/>
          <w:bCs w:val="1"/>
          <w:u w:val="single" w:color="auto"/>
          <w:color w:val="auto"/>
        </w:rPr>
        <w:t>E</w:t>
      </w:r>
      <w:r>
        <w:rPr>
          <w:rFonts w:ascii="Arial" w:cs="Arial" w:eastAsia="Arial" w:hAnsi="Arial"/>
          <w:sz w:val="18"/>
          <w:szCs w:val="18"/>
          <w:color w:val="auto"/>
        </w:rPr>
        <w:t xml:space="preserve">valuation in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dults – </w:t>
      </w:r>
      <w:r>
        <w:rPr>
          <w:rFonts w:ascii="Arial" w:cs="Arial" w:eastAsia="Arial" w:hAnsi="Arial"/>
          <w:sz w:val="18"/>
          <w:szCs w:val="18"/>
          <w:b w:val="1"/>
          <w:bCs w:val="1"/>
          <w:u w:val="single" w:color="auto"/>
          <w:color w:val="auto"/>
        </w:rPr>
        <w:t>S</w:t>
      </w:r>
      <w:r>
        <w:rPr>
          <w:rFonts w:ascii="Arial" w:cs="Arial" w:eastAsia="Arial" w:hAnsi="Arial"/>
          <w:sz w:val="18"/>
          <w:szCs w:val="18"/>
          <w:color w:val="auto"/>
        </w:rPr>
        <w:t>t</w:t>
      </w:r>
      <w:r>
        <w:rPr>
          <w:rFonts w:ascii="Arial" w:cs="Arial" w:eastAsia="Arial" w:hAnsi="Arial"/>
          <w:sz w:val="18"/>
          <w:szCs w:val="18"/>
          <w:b w:val="1"/>
          <w:bCs w:val="1"/>
          <w:u w:val="single" w:color="auto"/>
          <w:color w:val="auto"/>
        </w:rPr>
        <w:t>U</w:t>
      </w:r>
      <w:r>
        <w:rPr>
          <w:rFonts w:ascii="Arial" w:cs="Arial" w:eastAsia="Arial" w:hAnsi="Arial"/>
          <w:sz w:val="18"/>
          <w:szCs w:val="18"/>
          <w:color w:val="auto"/>
        </w:rPr>
        <w:t xml:space="preserve">dy of </w:t>
      </w:r>
      <w:r>
        <w:rPr>
          <w:rFonts w:ascii="Arial" w:cs="Arial" w:eastAsia="Arial" w:hAnsi="Arial"/>
          <w:sz w:val="18"/>
          <w:szCs w:val="18"/>
          <w:b w:val="1"/>
          <w:bCs w:val="1"/>
          <w:u w:val="single" w:color="auto"/>
          <w:color w:val="auto"/>
        </w:rPr>
        <w:t>R</w:t>
      </w:r>
      <w:r>
        <w:rPr>
          <w:rFonts w:ascii="Arial" w:cs="Arial" w:eastAsia="Arial" w:hAnsi="Arial"/>
          <w:sz w:val="18"/>
          <w:szCs w:val="18"/>
          <w:color w:val="auto"/>
        </w:rPr>
        <w:t xml:space="preserve">esponse and </w:t>
      </w:r>
      <w:r>
        <w:rPr>
          <w:rFonts w:ascii="Arial" w:cs="Arial" w:eastAsia="Arial" w:hAnsi="Arial"/>
          <w:sz w:val="18"/>
          <w:szCs w:val="18"/>
          <w:b w:val="1"/>
          <w:bCs w:val="1"/>
          <w:u w:val="single" w:color="auto"/>
          <w:color w:val="auto"/>
        </w:rPr>
        <w:t>E</w:t>
      </w:r>
      <w:r>
        <w:rPr>
          <w:rFonts w:ascii="Arial" w:cs="Arial" w:eastAsia="Arial" w:hAnsi="Arial"/>
          <w:sz w:val="18"/>
          <w:szCs w:val="18"/>
          <w:color w:val="auto"/>
        </w:rPr>
        <w:t>fficacy). The MEASURE study is Alcobra’s second, pivotal Phase III study of MDX in adults with ADHD. The study includes design and operational elements to mitigate placebo response and reduce response variability.</w:t>
      </w:r>
    </w:p>
    <w:p>
      <w:pPr>
        <w:spacing w:after="0" w:line="1" w:lineRule="exact"/>
        <w:rPr>
          <w:rFonts w:ascii="Arial" w:cs="Arial" w:eastAsia="Arial" w:hAnsi="Arial"/>
          <w:sz w:val="18"/>
          <w:szCs w:val="18"/>
          <w:color w:val="auto"/>
        </w:rPr>
      </w:pPr>
    </w:p>
    <w:p>
      <w:pPr>
        <w:ind w:left="340" w:right="30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24, 2015, the company reported that its Phase II exploratory study of MDX in adolescent and adult patients with Fragile X Syndrome did not achieve statistical significance on the primary endpoint, yet demonstrated significant improvements in certain clinically meaningful behavioral and cognitive endpoints. Alcobra plans to discuss these trial results with the U.S. Food and Drug Administration (FDA) later in 2015.</w:t>
      </w:r>
    </w:p>
    <w:p>
      <w:pPr>
        <w:ind w:left="340" w:right="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announced the election of Dr. Joao Siffert to its Board of Directors. Dr. Siffert currently serves as the Executive Vice President of Research and Development and Chief Medical Officer of Avanir Pharmaceuticals Inc. (a subsidiary of Otsuka Pharmaceutical Co. Ltd.).</w:t>
      </w: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believes that it has sufficient capital to fund the company’s activities through 2016, including the completion of the MEASURE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448945</wp:posOffset>
            </wp:positionV>
            <wp:extent cx="1226185" cy="62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Thursday, August 13 @ 8:30am Eastern Time/5:30am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Domestic: 855-469-0611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484-756-4341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Passcode: 82123051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http://www.alcobra-pharma.com/indexInvestor.cfm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Replays available through August 27,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Domestic: 855-859-2056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Passcode: 82123051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a proprietary drug candidate, MDX, to treat cognitive disorders including ADHD and Fragile X Syndrome.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and other Federal securities laws.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Alcobra’s ability to better design clinical studies and reduce high placebo response and response variability, the content and timing of future discussions with the FDA and statements regarding future use of cash and the sufficiency of the company's financial resources.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Also, while the FDA has indicated to Alcobra that positive efficacy results from certain clinical studies may be sufficient to demonstrate efficacy for approval of MDX, the FDA is not bound by these communications and accordingly may change its position in the future due to reasons within or outside the control of Alcobra. The forward-looking statements contained or implied in this press release are subject to other risks and uncertainties, including those discussed under the heading "Risk Factors" in Alcobra Ltd.'s Annual Report on Form 20-F for the fiscal year ended December 31, 2014,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586105</wp:posOffset>
            </wp:positionV>
            <wp:extent cx="1226185"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4"/>
          </w:tcPr>
          <w:p>
            <w:pPr>
              <w:jc w:val="center"/>
              <w:ind w:left="50"/>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86"/>
              </w:rPr>
              <w:t>June 30,</w:t>
            </w:r>
          </w:p>
        </w:tc>
        <w:tc>
          <w:tcPr>
            <w:tcW w:w="4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(unaudited)</w:t>
            </w: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5,918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7,831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7,774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Tax on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5,123</w:t>
            </w:r>
          </w:p>
        </w:tc>
        <w:tc>
          <w:tcPr>
            <w:tcW w:w="16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7,780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10,300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15,546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(0.57)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Ordinary shares used in computing basic and</w:t>
            </w: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21,179,233</w:t>
            </w:r>
          </w:p>
        </w:tc>
        <w:tc>
          <w:tcPr>
            <w:tcW w:w="15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13,662,146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20,677,364</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13,649,427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448945</wp:posOffset>
            </wp:positionV>
            <wp:extent cx="1226185"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560" w:type="dxa"/>
            <w:vAlign w:val="bottom"/>
            <w:gridSpan w:val="2"/>
          </w:tcPr>
          <w:p>
            <w:pPr>
              <w:jc w:val="right"/>
              <w:ind w:right="2700"/>
              <w:spacing w:after="0"/>
              <w:rPr>
                <w:sz w:val="20"/>
                <w:szCs w:val="20"/>
                <w:color w:val="auto"/>
              </w:rPr>
            </w:pPr>
            <w:r>
              <w:rPr>
                <w:rFonts w:ascii="Arial" w:cs="Arial" w:eastAsia="Arial" w:hAnsi="Arial"/>
                <w:sz w:val="18"/>
                <w:szCs w:val="18"/>
                <w:b w:val="1"/>
                <w:bCs w:val="1"/>
                <w:color w:val="auto"/>
              </w:rPr>
              <w:t>ASSETS</w:t>
            </w: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4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long-term assets</w:t>
            </w: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gridSpan w:val="2"/>
          </w:tcPr>
          <w:p>
            <w:pPr>
              <w:jc w:val="right"/>
              <w:ind w:right="2500"/>
              <w:spacing w:after="0"/>
              <w:rPr>
                <w:sz w:val="20"/>
                <w:szCs w:val="20"/>
                <w:color w:val="auto"/>
              </w:rPr>
            </w:pPr>
            <w:r>
              <w:rPr>
                <w:rFonts w:ascii="Arial" w:cs="Arial" w:eastAsia="Arial" w:hAnsi="Arial"/>
                <w:sz w:val="18"/>
                <w:szCs w:val="18"/>
                <w:b w:val="1"/>
                <w:bCs w:val="1"/>
                <w:color w:val="auto"/>
              </w:rPr>
              <w:t>LIABILITIES AND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240" w:type="dxa"/>
            <w:vAlign w:val="bottom"/>
            <w:gridSpan w:val="2"/>
          </w:tcPr>
          <w:p>
            <w:pPr>
              <w:jc w:val="right"/>
              <w:ind w:right="2100"/>
              <w:spacing w:after="0"/>
              <w:rPr>
                <w:sz w:val="20"/>
                <w:szCs w:val="20"/>
                <w:color w:val="auto"/>
              </w:rPr>
            </w:pPr>
            <w:r>
              <w:rPr>
                <w:rFonts w:ascii="Arial" w:cs="Arial" w:eastAsia="Arial" w:hAnsi="Arial"/>
                <w:sz w:val="18"/>
                <w:szCs w:val="18"/>
                <w:b w:val="1"/>
                <w:bCs w:val="1"/>
                <w:color w:val="auto"/>
              </w:rPr>
              <w:t>SHAREHOLDERS’ EQUITY</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Trade payables</w:t>
            </w:r>
          </w:p>
        </w:tc>
        <w:tc>
          <w:tcPr>
            <w:tcW w:w="5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4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2,703</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current liabilities</w:t>
            </w:r>
          </w:p>
        </w:tc>
        <w:tc>
          <w:tcPr>
            <w:tcW w:w="48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Shareholders’ equity:</w:t>
            </w:r>
          </w:p>
        </w:tc>
        <w:tc>
          <w:tcPr>
            <w:tcW w:w="4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4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100,570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(61,868)</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38,760</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5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41,624</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586105</wp:posOffset>
            </wp:positionV>
            <wp:extent cx="1226185"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right"/>
              <w:ind w:right="7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June 30,</w:t>
            </w:r>
          </w:p>
        </w:tc>
        <w:tc>
          <w:tcPr>
            <w:tcW w:w="10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 from operating activities: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loss</w:t>
            </w:r>
          </w:p>
        </w:tc>
        <w:tc>
          <w:tcPr>
            <w:tcW w:w="3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(5,123)</w:t>
            </w:r>
          </w:p>
        </w:tc>
        <w:tc>
          <w:tcPr>
            <w:tcW w:w="2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(7,780)</w:t>
            </w:r>
          </w:p>
        </w:tc>
        <w:tc>
          <w:tcPr>
            <w:tcW w:w="2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(10,300)</w:t>
            </w:r>
          </w:p>
        </w:tc>
        <w:tc>
          <w:tcPr>
            <w:tcW w:w="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(15,546)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Loss from sale of property, and equipment</w:t>
            </w: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80"/>
              <w:spacing w:after="0"/>
              <w:rPr>
                <w:sz w:val="20"/>
                <w:szCs w:val="20"/>
                <w:color w:val="auto"/>
              </w:rPr>
            </w:pPr>
            <w:r>
              <w:rPr>
                <w:rFonts w:ascii="Arial" w:cs="Arial" w:eastAsia="Arial" w:hAnsi="Arial"/>
                <w:sz w:val="18"/>
                <w:szCs w:val="18"/>
                <w:color w:val="auto"/>
              </w:rPr>
              <w:t>Trade payables</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Decrease in long-term deposit</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(investment in) short-term bank deposit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share capital upon public offering,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Exercise of options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2019-12-09T02:22:08Z</dcterms:created>
  <dcterms:modified xsi:type="dcterms:W3CDTF">2019-12-09T02:22:08Z</dcterms:modified>
</cp:coreProperties>
</file>