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2020</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0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9, 2020, Arcturus Therapeutics Holdings Inc. (the “Company” or “Arcturus”) issued a press release, a copy of which is furnished herewith as Exhibit 99.1, announcing the Company’s financial results for the quarter ended September 30, 2020 and providing a corporate update (the “Press Release”).</w:t>
      </w:r>
    </w:p>
    <w:p>
      <w:pPr>
        <w:spacing w:after="0" w:line="12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including those regarding strategy, future operations, collaborations, the likelihood of success, efficacy or safety of ARCT-021 or ARCT-810, the ability to initiate or complete preclinical and clinical development programs, including as a result of the COVID-19 pandemic,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6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9, 2020</w:t>
              </w:r>
            </w:hyperlink>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tcPr>
          <w:p>
            <w:pPr>
              <w:ind w:left="180"/>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74"/>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i w:val="1"/>
          <w:iCs w:val="1"/>
          <w:color w:val="auto"/>
        </w:rPr>
        <w:t>Arcturus Therapeutics Announces Third Quarter 2020 Financial Results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Positive Clinical Updates for ARCT-810 Phase I Study and Additional ARCT-021 Interim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San Diego, Calif, Nov 9, 2020 </w:t>
      </w:r>
      <w:r>
        <w:rPr>
          <w:rFonts w:ascii="Arial" w:cs="Arial" w:eastAsia="Arial" w:hAnsi="Arial"/>
          <w:sz w:val="16"/>
          <w:szCs w:val="16"/>
          <w:color w:val="auto"/>
        </w:rPr>
        <w:t>– Arcturus Therapeutics Holdings Inc. (the “Company”, “Arcturus”, Nasdaq: ARCT), a leading clinical-stage messenger</w:t>
      </w:r>
      <w:r>
        <w:rPr>
          <w:rFonts w:ascii="Arial" w:cs="Arial" w:eastAsia="Arial" w:hAnsi="Arial"/>
          <w:sz w:val="16"/>
          <w:szCs w:val="16"/>
          <w:b w:val="1"/>
          <w:bCs w:val="1"/>
          <w:color w:val="auto"/>
        </w:rPr>
        <w:t xml:space="preserve"> </w:t>
      </w:r>
      <w:r>
        <w:rPr>
          <w:rFonts w:ascii="Arial" w:cs="Arial" w:eastAsia="Arial" w:hAnsi="Arial"/>
          <w:sz w:val="16"/>
          <w:szCs w:val="16"/>
          <w:color w:val="auto"/>
        </w:rPr>
        <w:t>RNA medicines company focused on the development of infectious disease vaccines and significant opportunities within liver and respiratory rare diseases, today announced its financial results for the quarter and nine months ended September 30, 2020, and provided a corporate update.</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has been an exciting period for Arcturus highlighted by our preliminary ARCT-021 Phase 1/2 COVID-19 vaccine study results. These data, as well as those from our ARCT-810 Phase 1 study, illustrate a highly productive period of clinical advancement of our novel mRNA based therapeutic candidates. The ARCT-021 Phase 1/2 data provide clinical validation for our unique vaccine candidate and suggest that our self-replicating mRNA-based investigational vaccine could have a differentiated clinical profile and may allow vaccination at low doses. We believe that ARCT-021 could play an important role in the massive global vaccination campaigns that will be necessary to control the COVID-19 pandemic. We look forward to rapidly moving ARCT-021 forward in later stage clinical studies.” said Joseph Payne, President &amp; CEO of Arcturus.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ARCT-810 Phase 1/2 study results, showing good tolerability and favorable pharmacokinetics, provide support for the further development of this drug candidate in Ornithine Transcarbamylase (OTC) deficiency, a severe monogenic rare disease where new medicines are urgently needed. These data also provide additional validation for the systemic administration of Arcturus’ novel LUNAR technology. We believe that we have developed a powerful and broadly applicable mRNA delivery approach that may be useful for the treatment of numerous serious diseases, and we look forward to continuing to advancing the development of our investigational therapeutics” said Pad Chivukula, Ph.D., Chief Scientific Officer and Chief Operating Officer of Arcturus.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ARCT-021, Vaccine Candidate for SARS-CoV-2</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interim Phase 1/2 data; favorable immunogenicity and safety results for both single-dose and prime-boost regimens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Observed 100% seroconversion for IgG binding antibodies in younger adults; 1 out of 5 older adult participants has not yet seroconverted; observed GMT &gt; 2300 in all cohorts</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Doses to advance to later stage clinical trials include single dose 7.5 µg (GMT &gt; 15,000 for younger adults and &gt; 2300 in older adults at this dose)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Published preclinical data, including successful challenge model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Secured manufacturing slots with Recipharm to support cGMP manufacture; lyophilization technology transfer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ARCT-810, Therapeutic Candidate for Ornithine Transcarbamylase (OTC) Deficiency</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dose escalation of all cohorts (0.1, 0.2, 0.3, 0.4 mg/kg) in Phase 1 Study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enrollment in Phase 1b study in OTC-deficient patients in U.S.; first subject in screening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Definitive Supply Agreement with the Israeli Ministry of Health; up to $275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Agreement with Singapore; $45 million limited recourse loan facility and up to $175 million in vaccine 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September 30,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Revenues in conjunction with strategic alliances and collaborations</w:t>
      </w:r>
      <w:r>
        <w:rPr>
          <w:rFonts w:ascii="Arial" w:cs="Arial" w:eastAsia="Arial" w:hAnsi="Arial"/>
          <w:sz w:val="18"/>
          <w:szCs w:val="18"/>
          <w:color w:val="auto"/>
        </w:rPr>
        <w:t>: Arcturus’ primary source of revenues is from license fees and collaborative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research and development arrangements with pharmaceutical and biotechnology partners. For the three months ended September 30, 2020, the Company reported revenue of $2.3 million, compared with $3.3 million in the three months ended September 30, 2019. The decline in collaboration revenues primarily relates to a $0.8 million decrease in reimbursements from CureVac associated with the OTC collaboration that ended in the third quarter of 2019.</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three months ended September 30, 2020 were $23.3 million compared with $10.9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2019. The current quarter operating expenses were partially offset with $3.7 million of funds earned under the Singapore vaccine grant and $0.7 million in funds awarded by the CF Foundation. Research and Development expenses increased approximately $10 million sequentially from the June 30, 2020 quarter driven primarily by an approximate increase of $4 million in each of our Lunar-OTC (ARCT-810) and Lunar-Covid19 (ARCT-021) programs mostly due to clinical and manufacturing expenses. Additionally, approximately $2 million was driven by increased personnel expenses and costs of our two new pipeline programs Lunar-Lung and Lunar CV.</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For the three months ended September 30, 2020, Arcturus reported a net loss of approximately $21.0 million, or ($0.92) per basic and diluted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 compared with a net loss in the three months ended September 30, 2019 of $7.4 million, or ($0.56) per basic and diluted share.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cash balance totaled $307.1 million as of the end of Q3, compared to cash and cash equivalents of $71.5 million at December 31, 2019. The increase in cash, cash equivalents, and investments is primarily due to successfully raising approximately $262.1 million in net proceeds through two public equity offerings in 2020. Based on our current pipeline, the Company’s cash position is expected to be sufficient to support operations for more than two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Monday, Nov 9th @ 4:30 p.m. ET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Domestic:</w:t>
            </w:r>
          </w:p>
        </w:tc>
        <w:tc>
          <w:tcPr>
            <w:tcW w:w="9840" w:type="dxa"/>
            <w:vAlign w:val="bottom"/>
          </w:tcPr>
          <w:p>
            <w:pPr>
              <w:ind w:left="300"/>
              <w:spacing w:after="0"/>
              <w:rPr>
                <w:sz w:val="20"/>
                <w:szCs w:val="20"/>
                <w:color w:val="auto"/>
              </w:rPr>
            </w:pPr>
            <w:r>
              <w:rPr>
                <w:rFonts w:ascii="Arial" w:cs="Arial" w:eastAsia="Arial" w:hAnsi="Arial"/>
                <w:sz w:val="18"/>
                <w:szCs w:val="18"/>
                <w:color w:val="auto"/>
              </w:rPr>
              <w:t>877-407-0784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International:</w:t>
            </w:r>
          </w:p>
        </w:tc>
        <w:tc>
          <w:tcPr>
            <w:tcW w:w="9840" w:type="dxa"/>
            <w:vAlign w:val="bottom"/>
          </w:tcPr>
          <w:p>
            <w:pPr>
              <w:ind w:left="300"/>
              <w:spacing w:after="0"/>
              <w:rPr>
                <w:sz w:val="20"/>
                <w:szCs w:val="20"/>
                <w:color w:val="auto"/>
              </w:rPr>
            </w:pPr>
            <w:r>
              <w:rPr>
                <w:rFonts w:ascii="Arial" w:cs="Arial" w:eastAsia="Arial" w:hAnsi="Arial"/>
                <w:sz w:val="18"/>
                <w:szCs w:val="18"/>
                <w:color w:val="auto"/>
              </w:rPr>
              <w:t>201-689-8560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Conference ID:</w:t>
            </w:r>
          </w:p>
        </w:tc>
        <w:tc>
          <w:tcPr>
            <w:tcW w:w="9840" w:type="dxa"/>
            <w:vAlign w:val="bottom"/>
          </w:tcPr>
          <w:p>
            <w:pPr>
              <w:ind w:left="300"/>
              <w:spacing w:after="0"/>
              <w:rPr>
                <w:sz w:val="20"/>
                <w:szCs w:val="20"/>
                <w:color w:val="auto"/>
              </w:rPr>
            </w:pPr>
            <w:r>
              <w:rPr>
                <w:rFonts w:ascii="Arial" w:cs="Arial" w:eastAsia="Arial" w:hAnsi="Arial"/>
                <w:sz w:val="18"/>
                <w:szCs w:val="18"/>
                <w:color w:val="auto"/>
              </w:rPr>
              <w:t>13712208</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Webcast:</w:t>
            </w:r>
          </w:p>
        </w:tc>
        <w:tc>
          <w:tcPr>
            <w:tcW w:w="9840" w:type="dxa"/>
            <w:vAlign w:val="bottom"/>
          </w:tcPr>
          <w:p>
            <w:pPr>
              <w:ind w:left="300"/>
              <w:spacing w:after="0"/>
              <w:rPr>
                <w:sz w:val="20"/>
                <w:szCs w:val="20"/>
                <w:color w:val="auto"/>
              </w:rPr>
            </w:pPr>
            <w:r>
              <w:rPr>
                <w:rFonts w:ascii="Arial" w:cs="Arial" w:eastAsia="Arial" w:hAnsi="Arial"/>
                <w:sz w:val="18"/>
                <w:szCs w:val="18"/>
                <w:color w:val="auto"/>
              </w:rPr>
              <w:t>http://public.viavid.com/index.php?id=142081</w:t>
            </w:r>
          </w:p>
        </w:tc>
      </w:tr>
      <w:tr>
        <w:trPr>
          <w:trHeight w:val="574"/>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Arcturus Therapeutics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self-replicating mRNA vaccine programs for SARS-CoV-2 (COVID-19) and Influenza, and other programs to potentially treat Ornithine Transcarbamylase (OTC) Deficiency, Cystic Fibrosis, Cardiovascular Disease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(200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www.ArcturusRx.com. In addition, please connect with us on Twitter and LinkedIn.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strategy, future operations, collaborations, the likelihood of success, and the efficacy or safety, of our pipeline, including ARCT-021 or ARCT-810, the ability to initiate or complete preclinical and clinical development programs, including as a result of the COVID-19 pandemic, the supply and delivery of any product or substance, the likelihood that clinical data will be predictive of future clinical results or sufficient for regulatory approval, the ability to enroll subjects in clinical trials, the Company’s efforts to develop a vaccine against COVID-19 and therapeutic potential thereof based on the Company’s mRNA therapeutics, the ability of the Company to scale up manufacturing of vaccine doses, the amount and timing of any drawn down loan amounts with the EDB, our current cash position and expected cash burn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IR and Media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 900-2682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IR@ArcturusRx.com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Kendall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580" w:type="dxa"/>
            <w:vAlign w:val="bottom"/>
            <w:gridSpan w:val="3"/>
          </w:tcPr>
          <w:p>
            <w:pPr>
              <w:jc w:val="center"/>
              <w:ind w:left="159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jc w:val="center"/>
              <w:ind w:left="3070"/>
              <w:spacing w:after="0"/>
              <w:rPr>
                <w:sz w:val="20"/>
                <w:szCs w:val="20"/>
                <w:color w:val="auto"/>
              </w:rPr>
            </w:pPr>
            <w:r>
              <w:rPr>
                <w:rFonts w:ascii="Arial" w:cs="Arial" w:eastAsia="Arial" w:hAnsi="Arial"/>
                <w:sz w:val="18"/>
                <w:szCs w:val="18"/>
                <w:color w:val="auto"/>
                <w:w w:val="90"/>
              </w:rPr>
              <w:t>(in thousands, except par value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307,023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71,353</w:t>
            </w:r>
          </w:p>
        </w:tc>
        <w:tc>
          <w:tcPr>
            <w:tcW w:w="0" w:type="dxa"/>
            <w:vAlign w:val="bottom"/>
          </w:tcPr>
          <w:p>
            <w:pPr>
              <w:spacing w:after="0"/>
              <w:rPr>
                <w:sz w:val="1"/>
                <w:szCs w:val="1"/>
                <w:color w:val="auto"/>
              </w:rPr>
            </w:pPr>
          </w:p>
        </w:tc>
      </w:tr>
      <w:tr>
        <w:trPr>
          <w:trHeight w:val="216"/>
        </w:trPr>
        <w:tc>
          <w:tcPr>
            <w:tcW w:w="81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74,290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810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Equity-method investment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 restricted cash</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322,520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82,143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13,645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60,890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56,351</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Common stock: $0.001 par value; 30,000 shares authorized; 24,473 and 15,138 issued and outstanding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September 30, 2020 and December 31, 2019,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1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374,317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97,445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(112,712)</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261,630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322,520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82,143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9"/>
          </w:tcPr>
          <w:p>
            <w:pPr>
              <w:jc w:val="center"/>
              <w:ind w:left="253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w w:val="98"/>
              </w:rPr>
              <w:t>CONDENSED CONSOLIDATED STATEMENTS OF OPERATIONS AND COMPREHENSIVE LOSS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2820" w:type="dxa"/>
            <w:vAlign w:val="bottom"/>
            <w:gridSpan w:val="5"/>
          </w:tcPr>
          <w:p>
            <w:pPr>
              <w:jc w:val="center"/>
              <w:ind w:left="30"/>
              <w:spacing w:after="0"/>
              <w:rPr>
                <w:sz w:val="20"/>
                <w:szCs w:val="20"/>
                <w:color w:val="auto"/>
              </w:rPr>
            </w:pPr>
            <w:r>
              <w:rPr>
                <w:rFonts w:ascii="Arial" w:cs="Arial" w:eastAsia="Arial" w:hAnsi="Arial"/>
                <w:sz w:val="18"/>
                <w:szCs w:val="18"/>
                <w:color w:val="auto"/>
                <w:w w:val="87"/>
              </w:rPr>
              <w:t>(in thousands, except per share data)</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260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net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17,699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5,572</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3,881</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14,183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23,271</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32,517</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(20,938)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5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(0.92)</w:t>
            </w:r>
          </w:p>
        </w:tc>
        <w:tc>
          <w:tcPr>
            <w:tcW w:w="220" w:type="dxa"/>
            <w:vAlign w:val="bottom"/>
            <w:vMerge w:val="continue"/>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tcPr>
          <w:p>
            <w:pPr>
              <w:spacing w:after="0"/>
              <w:rPr>
                <w:sz w:val="17"/>
                <w:szCs w:val="17"/>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(2.19)</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shares outstanding, basic and diluted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Comprehensive loss: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2020-11-09T15:38:32Z</dcterms:created>
  <dcterms:modified xsi:type="dcterms:W3CDTF">2020-11-09T15:38:32Z</dcterms:modified>
</cp:coreProperties>
</file>