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333-232281</w:t>
      </w:r>
    </w:p>
    <w:p>
      <w:pPr>
        <w:spacing w:after="0" w:line="139"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(To Prospectus dated July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160020</wp:posOffset>
            </wp:positionV>
            <wp:extent cx="2075180"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5180"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Arcturus Therapeutics Holdings Inc.</w:t>
      </w:r>
    </w:p>
    <w:p>
      <w:pPr>
        <w:spacing w:after="0" w:line="242"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850,000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200" w:right="320"/>
        <w:spacing w:after="0" w:line="342" w:lineRule="auto"/>
        <w:rPr>
          <w:sz w:val="20"/>
          <w:szCs w:val="20"/>
          <w:color w:val="auto"/>
        </w:rPr>
      </w:pPr>
      <w:r>
        <w:rPr>
          <w:rFonts w:ascii="Arial" w:cs="Arial" w:eastAsia="Arial" w:hAnsi="Arial"/>
          <w:sz w:val="16"/>
          <w:szCs w:val="16"/>
          <w:color w:val="auto"/>
        </w:rPr>
        <w:t>We are offering 850,000 shares of our Common Stock, or the Shares, to certain institutional investors pursuant to this prospectus supplement and the accompanying prospectus and securities purchase agreement with such investors. Each Share will be sold at a price of $11.50 per share.</w:t>
      </w:r>
    </w:p>
    <w:p>
      <w:pPr>
        <w:spacing w:after="0" w:line="124" w:lineRule="exact"/>
        <w:rPr>
          <w:sz w:val="24"/>
          <w:szCs w:val="24"/>
          <w:color w:val="auto"/>
        </w:rPr>
      </w:pPr>
    </w:p>
    <w:p>
      <w:pPr>
        <w:ind w:left="200" w:right="580"/>
        <w:spacing w:after="0" w:line="277" w:lineRule="auto"/>
        <w:rPr>
          <w:sz w:val="20"/>
          <w:szCs w:val="20"/>
          <w:color w:val="auto"/>
        </w:rPr>
      </w:pPr>
      <w:r>
        <w:rPr>
          <w:rFonts w:ascii="Arial" w:cs="Arial" w:eastAsia="Arial" w:hAnsi="Arial"/>
          <w:sz w:val="18"/>
          <w:szCs w:val="18"/>
          <w:color w:val="auto"/>
        </w:rPr>
        <w:t>Our common stock is traded on the Nasdaq Global Market under the symbol “ARCT.” On September 25, 2019, the last reported sale price of our common stock on the Nasdaq Global Market was $12.94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200" w:right="400"/>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Shares involves a high degree of risk. You should review carefully the risks and uncertainties referenced under the heading “</w:t>
      </w:r>
      <w:hyperlink w:anchor="page9">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S-6 of this prospectus supplement and page 3 of the accompanying prospectus as well as in our periodic reports filed with the Securities and Exchange Commission and incorporated by reference into this prospectus supplement and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189865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ind w:left="200" w:right="80"/>
        <w:spacing w:after="0" w:line="259" w:lineRule="auto"/>
        <w:rPr>
          <w:sz w:val="20"/>
          <w:szCs w:val="20"/>
          <w:color w:val="auto"/>
        </w:rPr>
      </w:pPr>
      <w:r>
        <w:rPr>
          <w:rFonts w:ascii="Arial" w:cs="Arial" w:eastAsia="Arial" w:hAnsi="Arial"/>
          <w:sz w:val="18"/>
          <w:szCs w:val="18"/>
          <w:color w:val="auto"/>
        </w:rPr>
        <w:t>We have retained H.C. Wainwright &amp; Co., LLC to act as our exclusive placement agent in connection with the arrangement of this transaction. We have agreed to pay the placement agent the placement agent fee set forth in the table below, which assumes that we sell all of the shares of common stock we are offering. The placement agent is not required to arrange for the sale of any specific number of shares or dollar amount but will use its “reasonable best efforts” to arrange for the sale of the shares.</w:t>
      </w:r>
    </w:p>
    <w:p>
      <w:pPr>
        <w:spacing w:after="0" w:line="210" w:lineRule="exact"/>
        <w:rPr>
          <w:sz w:val="24"/>
          <w:szCs w:val="24"/>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85"/>
              </w:rPr>
              <w:t>Per Share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8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1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11.50</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9,775,000.00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Placement agent fees</w:t>
            </w:r>
            <w:r>
              <w:rPr>
                <w:rFonts w:ascii="Arial" w:cs="Arial" w:eastAsia="Arial" w:hAnsi="Arial"/>
                <w:sz w:val="15"/>
                <w:szCs w:val="15"/>
                <w:color w:val="auto"/>
              </w:rPr>
              <w:t>(1)</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0.69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586,500.00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9,188,500.00</w:t>
            </w:r>
          </w:p>
        </w:tc>
        <w:tc>
          <w:tcPr>
            <w:tcW w:w="60" w:type="dxa"/>
            <w:vAlign w:val="bottom"/>
            <w:shd w:val="clear" w:color="auto" w:fill="CCEEFF"/>
          </w:tcPr>
          <w:p>
            <w:pPr>
              <w:spacing w:after="0"/>
              <w:rPr>
                <w:sz w:val="18"/>
                <w:szCs w:val="18"/>
                <w:color w:val="auto"/>
              </w:rPr>
            </w:pPr>
          </w:p>
        </w:tc>
      </w:tr>
    </w:tbl>
    <w:p>
      <w:pPr>
        <w:spacing w:after="0" w:line="229" w:lineRule="exact"/>
        <w:rPr>
          <w:sz w:val="24"/>
          <w:szCs w:val="24"/>
          <w:color w:val="auto"/>
        </w:rPr>
      </w:pPr>
    </w:p>
    <w:p>
      <w:pPr>
        <w:ind w:left="640" w:right="100" w:hanging="436"/>
        <w:spacing w:after="0" w:line="277"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pay the placement agent a cash fee equal to 6.0% of the gross proceeds received in this offering. See “Plan of Distribution” for additional information.</w:t>
      </w:r>
    </w:p>
    <w:p>
      <w:pPr>
        <w:spacing w:after="0" w:line="275" w:lineRule="exact"/>
        <w:rPr>
          <w:sz w:val="24"/>
          <w:szCs w:val="24"/>
          <w:color w:val="auto"/>
        </w:rPr>
      </w:pPr>
    </w:p>
    <w:p>
      <w:pPr>
        <w:ind w:left="200" w:right="180"/>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18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We expect to deliver the Shares against payment on or about September 30, 2019, subject to the satisfaction of certain closing conditions.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H.C. Wainwright &amp; Co.</w:t>
      </w:r>
    </w:p>
    <w:p>
      <w:pPr>
        <w:sectPr>
          <w:pgSz w:w="11900" w:h="16838" w:orient="portrait"/>
          <w:cols w:equalWidth="0" w:num="1">
            <w:col w:w="11220"/>
          </w:cols>
          <w:pgMar w:left="240" w:top="230" w:right="439" w:bottom="1440" w:gutter="0" w:footer="0" w:header="0"/>
        </w:sectPr>
      </w:pPr>
    </w:p>
    <w:p>
      <w:pPr>
        <w:spacing w:after="0" w:line="234"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The date of this prospectus supplement is September 25, 2019</w:t>
      </w:r>
    </w:p>
    <w:p>
      <w:pPr>
        <w:sectPr>
          <w:pgSz w:w="11900" w:h="16838" w:orient="portrait"/>
          <w:cols w:equalWidth="0" w:num="1">
            <w:col w:w="11220"/>
          </w:cols>
          <w:pgMar w:left="24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60" w:type="dxa"/>
            <w:vAlign w:val="bottom"/>
            <w:gridSpan w:val="2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42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w w:val="98"/>
              </w:rPr>
              <w:t>TABLE OF CONTENTS</w:t>
            </w:r>
          </w:p>
        </w:tc>
        <w:tc>
          <w:tcPr>
            <w:tcW w:w="242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w w:val="87"/>
              </w:rPr>
              <w:t>Prospectus Supplement</w:t>
            </w:r>
          </w:p>
        </w:tc>
        <w:tc>
          <w:tcPr>
            <w:tcW w:w="242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344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 SUPPLEMENT</w:t>
              </w:r>
            </w:hyperlink>
          </w:p>
        </w:tc>
        <w:tc>
          <w:tcPr>
            <w:tcW w:w="5120" w:type="dxa"/>
            <w:vAlign w:val="bottom"/>
            <w:gridSpan w:val="7"/>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200" w:type="dxa"/>
            <w:vAlign w:val="bottom"/>
          </w:tcPr>
          <w:p>
            <w:pPr>
              <w:spacing w:after="0"/>
              <w:rPr>
                <w:sz w:val="17"/>
                <w:szCs w:val="17"/>
                <w:color w:val="auto"/>
              </w:rPr>
            </w:pPr>
          </w:p>
        </w:tc>
        <w:tc>
          <w:tcPr>
            <w:tcW w:w="33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PROSPECTUS SUPPLEMENT SUMMARY</w:t>
              </w:r>
            </w:hyperlink>
          </w:p>
        </w:tc>
        <w:tc>
          <w:tcPr>
            <w:tcW w:w="526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20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THE OFFERING</w:t>
              </w:r>
            </w:hyperlink>
          </w:p>
        </w:tc>
        <w:tc>
          <w:tcPr>
            <w:tcW w:w="728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CAUTIONARY NOTE REGARDING FORWARD-LOOKING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RISK FACTORS</w:t>
              </w:r>
            </w:hyperlink>
          </w:p>
        </w:tc>
        <w:tc>
          <w:tcPr>
            <w:tcW w:w="4520" w:type="dxa"/>
            <w:vAlign w:val="bottom"/>
            <w:tcBorders>
              <w:top w:val="single" w:sz="8" w:color="0000EE"/>
            </w:tcBorders>
            <w:gridSpan w:val="17"/>
          </w:tcPr>
          <w:p>
            <w:pPr>
              <w:spacing w:after="0"/>
              <w:rPr>
                <w:sz w:val="17"/>
                <w:szCs w:val="17"/>
                <w:color w:val="auto"/>
              </w:rPr>
            </w:pPr>
          </w:p>
        </w:tc>
        <w:tc>
          <w:tcPr>
            <w:tcW w:w="278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20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CAPITALIZATION</w:t>
              </w:r>
            </w:hyperlink>
          </w:p>
        </w:tc>
        <w:tc>
          <w:tcPr>
            <w:tcW w:w="100" w:type="dxa"/>
            <w:vAlign w:val="bottom"/>
            <w:tcBorders>
              <w:top w:val="single" w:sz="8" w:color="0000EE"/>
            </w:tcBorders>
          </w:tcPr>
          <w:p>
            <w:pPr>
              <w:spacing w:after="0"/>
              <w:rPr>
                <w:sz w:val="17"/>
                <w:szCs w:val="17"/>
                <w:color w:val="auto"/>
              </w:rPr>
            </w:pPr>
          </w:p>
        </w:tc>
        <w:tc>
          <w:tcPr>
            <w:tcW w:w="698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20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DIVIDEND POLICY</w:t>
              </w:r>
            </w:hyperlink>
          </w:p>
        </w:tc>
        <w:tc>
          <w:tcPr>
            <w:tcW w:w="698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DILUTION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PLAN OF DISTRIBUTION</w:t>
              </w:r>
            </w:hyperlink>
          </w:p>
        </w:tc>
        <w:tc>
          <w:tcPr>
            <w:tcW w:w="650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LEGAL MATTERS</w:t>
              </w:r>
            </w:hyperlink>
          </w:p>
        </w:tc>
        <w:tc>
          <w:tcPr>
            <w:tcW w:w="710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EXPERTS</w:t>
              </w:r>
            </w:hyperlink>
          </w:p>
        </w:tc>
        <w:tc>
          <w:tcPr>
            <w:tcW w:w="7780" w:type="dxa"/>
            <w:vAlign w:val="bottom"/>
            <w:gridSpan w:val="2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WHERE YOU CAN FIND MORE INFORMATION</w:t>
              </w:r>
            </w:hyperlink>
          </w:p>
        </w:tc>
        <w:tc>
          <w:tcPr>
            <w:tcW w:w="474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INCORPORATION BY REFERENCE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669"/>
        </w:trPr>
        <w:tc>
          <w:tcPr>
            <w:tcW w:w="20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00" w:type="dxa"/>
            <w:vAlign w:val="bottom"/>
            <w:gridSpan w:val="2"/>
          </w:tcPr>
          <w:p>
            <w:pPr>
              <w:jc w:val="center"/>
              <w:ind w:right="2580"/>
              <w:spacing w:after="0"/>
              <w:rPr>
                <w:sz w:val="20"/>
                <w:szCs w:val="20"/>
                <w:color w:val="auto"/>
              </w:rPr>
            </w:pPr>
            <w:r>
              <w:rPr>
                <w:rFonts w:ascii="Arial" w:cs="Arial" w:eastAsia="Arial" w:hAnsi="Arial"/>
                <w:sz w:val="18"/>
                <w:szCs w:val="18"/>
                <w:b w:val="1"/>
                <w:bCs w:val="1"/>
                <w:color w:val="auto"/>
                <w:w w:val="85"/>
              </w:rPr>
              <w:t>Prospectus</w:t>
            </w:r>
          </w:p>
        </w:tc>
        <w:tc>
          <w:tcPr>
            <w:tcW w:w="242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856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ABOUT THIS PROSPECTUS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2220" w:type="dxa"/>
            <w:vAlign w:val="bottom"/>
            <w:tcBorders>
              <w:top w:val="single" w:sz="8" w:color="0000EE"/>
            </w:tcBorders>
            <w:gridSpan w:val="11"/>
          </w:tcPr>
          <w:p>
            <w:pPr>
              <w:spacing w:after="0" w:line="196"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PROSPECTUS SUMMARY</w:t>
              </w:r>
            </w:hyperlink>
          </w:p>
        </w:tc>
        <w:tc>
          <w:tcPr>
            <w:tcW w:w="634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RISK FACTORS</w:t>
              </w:r>
            </w:hyperlink>
          </w:p>
        </w:tc>
        <w:tc>
          <w:tcPr>
            <w:tcW w:w="820" w:type="dxa"/>
            <w:vAlign w:val="bottom"/>
            <w:tcBorders>
              <w:top w:val="single" w:sz="8" w:color="0000EE"/>
            </w:tcBorders>
            <w:gridSpan w:val="6"/>
          </w:tcPr>
          <w:p>
            <w:pPr>
              <w:spacing w:after="0"/>
              <w:rPr>
                <w:sz w:val="17"/>
                <w:szCs w:val="17"/>
                <w:color w:val="auto"/>
              </w:rPr>
            </w:pPr>
          </w:p>
        </w:tc>
        <w:tc>
          <w:tcPr>
            <w:tcW w:w="648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CAUTIONARY NOTE REGARDING FORWARD-LOOKING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57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USE OF PROCEEDS</w:t>
              </w:r>
            </w:hyperlink>
          </w:p>
        </w:tc>
        <w:tc>
          <w:tcPr>
            <w:tcW w:w="278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00" w:type="dxa"/>
            <w:vAlign w:val="bottom"/>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6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DESCRIPTION OF CAPITAL STOCK WE MAY OFFER</w:t>
              </w:r>
            </w:hyperlink>
          </w:p>
        </w:tc>
        <w:tc>
          <w:tcPr>
            <w:tcW w:w="430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DEBT SECURITIES WE MAY OFFER</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0" w:type="dxa"/>
            <w:vAlign w:val="bottom"/>
          </w:tcPr>
          <w:p>
            <w:pPr>
              <w:spacing w:after="0"/>
              <w:rPr>
                <w:sz w:val="17"/>
                <w:szCs w:val="17"/>
                <w:color w:val="auto"/>
              </w:rPr>
            </w:pPr>
          </w:p>
        </w:tc>
        <w:tc>
          <w:tcPr>
            <w:tcW w:w="44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WARRANTS WE MAY OFFER</w:t>
              </w:r>
            </w:hyperlink>
          </w:p>
        </w:tc>
        <w:tc>
          <w:tcPr>
            <w:tcW w:w="416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00" w:type="dxa"/>
            <w:vAlign w:val="bottom"/>
          </w:tcPr>
          <w:p>
            <w:pPr>
              <w:spacing w:after="0"/>
              <w:rPr>
                <w:sz w:val="17"/>
                <w:szCs w:val="17"/>
                <w:color w:val="auto"/>
              </w:rPr>
            </w:pPr>
          </w:p>
        </w:tc>
        <w:tc>
          <w:tcPr>
            <w:tcW w:w="38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UNITS WE MAY OFFER</w:t>
              </w:r>
            </w:hyperlink>
          </w:p>
        </w:tc>
        <w:tc>
          <w:tcPr>
            <w:tcW w:w="470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PLAN OF DISTRIBUTION</w:t>
              </w:r>
            </w:hyperlink>
          </w:p>
        </w:tc>
        <w:tc>
          <w:tcPr>
            <w:tcW w:w="1340" w:type="dxa"/>
            <w:vAlign w:val="bottom"/>
            <w:tcBorders>
              <w:top w:val="single" w:sz="8" w:color="0000EE"/>
            </w:tcBorders>
            <w:gridSpan w:val="5"/>
          </w:tcPr>
          <w:p>
            <w:pPr>
              <w:spacing w:after="0"/>
              <w:rPr>
                <w:sz w:val="17"/>
                <w:szCs w:val="17"/>
                <w:color w:val="auto"/>
              </w:rPr>
            </w:pPr>
          </w:p>
        </w:tc>
        <w:tc>
          <w:tcPr>
            <w:tcW w:w="516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LEGAL MATTERS</w:t>
              </w:r>
            </w:hyperlink>
          </w:p>
        </w:tc>
        <w:tc>
          <w:tcPr>
            <w:tcW w:w="710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EXPERTS</w:t>
              </w:r>
            </w:hyperlink>
          </w:p>
        </w:tc>
        <w:tc>
          <w:tcPr>
            <w:tcW w:w="7780" w:type="dxa"/>
            <w:vAlign w:val="bottom"/>
            <w:gridSpan w:val="2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WHERE YOU CAN FIND MORE INFORMATION</w:t>
              </w:r>
            </w:hyperlink>
          </w:p>
        </w:tc>
        <w:tc>
          <w:tcPr>
            <w:tcW w:w="474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INCORPORATION OF CERTAIN DOCUMENTS BY REFERENCE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80"/>
          </w:cols>
          <w:pgMar w:left="240" w:top="446"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300"/>
        <w:spacing w:after="0" w:line="279"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the securities we are offering. The second part, the accompanying prospectus dated July 29, 2019, gives more general information about our securities. You should read this prospectus supplement and the accompanying prospectus, including the information incorporated by reference and any free writing prospectuses we have authorized for use in connection with this offering, in their entirety before making an investment decision.</w:t>
      </w:r>
    </w:p>
    <w:p>
      <w:pPr>
        <w:spacing w:after="0" w:line="17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along with the information contained in any free writing prospectuses we have authorized for use in connection with this offering. If the description of the offering varies between this prospectus supplement and the accompanying prospectus, you should rely on the information in this prospectus supplement. We have not authorized anyone to provide you with different or additional information. Under no circumstances should the delivery to you of this prospectus supplement and the accompanying prospectus or any sale made pursuant to this prospectus supplement create any implication that the information contained in this prospectus supplement or the accompanying prospectus is correct as of any time after the respective dates of such information.</w:t>
      </w:r>
    </w:p>
    <w:p>
      <w:pPr>
        <w:spacing w:after="0" w:line="189" w:lineRule="exact"/>
        <w:rPr>
          <w:sz w:val="20"/>
          <w:szCs w:val="20"/>
          <w:color w:val="auto"/>
        </w:rPr>
      </w:pPr>
    </w:p>
    <w:p>
      <w:pPr>
        <w:ind w:left="200" w:right="400"/>
        <w:spacing w:after="0" w:line="297"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58"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In this prospectus supplement, unless otherwise indicated, the terms the “Company,” “Arcturus Therapeutics,” “we,” “us” and “our” refer to Arcturus Therapeutics Holdings Inc., a Delaware corporation, and its predecessors and consolidated subsidiaries.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814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2145" cy="62814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80" w:right="40"/>
        <w:spacing w:after="0" w:line="253" w:lineRule="auto"/>
        <w:rPr>
          <w:sz w:val="20"/>
          <w:szCs w:val="20"/>
          <w:color w:val="auto"/>
        </w:rPr>
      </w:pPr>
      <w:r>
        <w:rPr>
          <w:rFonts w:ascii="Arial" w:cs="Arial" w:eastAsia="Arial" w:hAnsi="Arial"/>
          <w:sz w:val="18"/>
          <w:szCs w:val="18"/>
          <w:i w:val="1"/>
          <w:iCs w:val="1"/>
          <w:color w:val="auto"/>
        </w:rPr>
        <w:t>This summary highlights certain information about us, this offering and information appearing elsewhere in this prospectus supplement or the accompanying prospectus and in the documents we incorporate by reference. This summary is not complete and does not contain all of the information that you should consider before investing in our securities. The following summary is qualified in its entirety by, and should be read in conjunction with, the more detailed information and financial statements and notes thereto appearing elsewhere in this prospectus supplement and the accompanying prospectus. Before you decide to invest in our securities, to fully understand this offering and its consequences to you, you should carefully read the entire prospectus supplement carefully, including the matters set forth under the caption “Risk Factors” beginning on page S-6 of this prospectus supplement and page 3 of the accompanying prospectus, and the consolidated financial statements and related notes included or incorporated by reference in this prospectus supplement, the accompanying prospectus and the other documents incorporated by reference herein and therein.</w:t>
      </w:r>
    </w:p>
    <w:p>
      <w:pPr>
        <w:spacing w:after="0" w:line="30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121" w:lineRule="exact"/>
        <w:rPr>
          <w:sz w:val="20"/>
          <w:szCs w:val="20"/>
          <w:color w:val="auto"/>
        </w:rPr>
      </w:pPr>
    </w:p>
    <w:p>
      <w:pPr>
        <w:ind w:left="380" w:right="140"/>
        <w:spacing w:after="0" w:line="259" w:lineRule="auto"/>
        <w:rPr>
          <w:sz w:val="20"/>
          <w:szCs w:val="20"/>
          <w:color w:val="auto"/>
        </w:rPr>
      </w:pPr>
      <w:r>
        <w:rPr>
          <w:rFonts w:ascii="Arial" w:cs="Arial" w:eastAsia="Arial" w:hAnsi="Arial"/>
          <w:sz w:val="18"/>
          <w:szCs w:val="18"/>
          <w:color w:val="auto"/>
        </w:rPr>
        <w:t>Arcturus Therapeutics is an RNA medicines company focused on significant opportunities in rare diseases with a current focus on liver and respiratory diseases. In addition to our internal mRNA platform, our proprietary lipid nanoparticle deliver system, LUNAR</w:t>
      </w:r>
      <w:r>
        <w:rPr>
          <w:rFonts w:ascii="Arial" w:cs="Arial" w:eastAsia="Arial" w:hAnsi="Arial"/>
          <w:sz w:val="15"/>
          <w:szCs w:val="15"/>
          <w:color w:val="auto"/>
        </w:rPr>
        <w:t>®</w:t>
      </w:r>
      <w:r>
        <w:rPr>
          <w:rFonts w:ascii="Arial" w:cs="Arial" w:eastAsia="Arial" w:hAnsi="Arial"/>
          <w:sz w:val="18"/>
          <w:szCs w:val="18"/>
          <w:color w:val="auto"/>
        </w:rPr>
        <w:t>, enables multiple nucleic acid medicines. We have deep expertise in the discovery and development of RNA medicines, including key experience in the production of RNA drug substance and nanoparticle-formulated drug product.</w:t>
      </w:r>
    </w:p>
    <w:p>
      <w:pPr>
        <w:spacing w:after="0" w:line="92" w:lineRule="exact"/>
        <w:rPr>
          <w:sz w:val="20"/>
          <w:szCs w:val="20"/>
          <w:color w:val="auto"/>
        </w:rPr>
      </w:pPr>
    </w:p>
    <w:p>
      <w:pPr>
        <w:ind w:left="1320" w:right="40" w:hanging="407"/>
        <w:spacing w:after="0" w:line="277"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 pipeline of seven drugs in late-stage discovery and early-stage development: two wholly-owned and five pharma partnered programs.</w:t>
      </w:r>
    </w:p>
    <w:p>
      <w:pPr>
        <w:spacing w:after="0" w:line="75" w:lineRule="exact"/>
        <w:rPr>
          <w:rFonts w:ascii="Arial" w:cs="Arial" w:eastAsia="Arial" w:hAnsi="Arial"/>
          <w:sz w:val="18"/>
          <w:szCs w:val="18"/>
          <w:color w:val="auto"/>
        </w:rPr>
      </w:pPr>
    </w:p>
    <w:p>
      <w:pPr>
        <w:ind w:left="1320" w:hanging="407"/>
        <w:spacing w:after="0" w:line="277"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developed a novel lipid-mediated delivery technology platform called LUNAR</w:t>
      </w:r>
      <w:r>
        <w:rPr>
          <w:rFonts w:ascii="Arial" w:cs="Arial" w:eastAsia="Arial" w:hAnsi="Arial"/>
          <w:sz w:val="15"/>
          <w:szCs w:val="15"/>
          <w:color w:val="auto"/>
        </w:rPr>
        <w:t>®</w:t>
      </w:r>
      <w:r>
        <w:rPr>
          <w:rFonts w:ascii="Arial" w:cs="Arial" w:eastAsia="Arial" w:hAnsi="Arial"/>
          <w:sz w:val="18"/>
          <w:szCs w:val="18"/>
          <w:color w:val="auto"/>
        </w:rPr>
        <w:t xml:space="preserve"> which draws from a growing library of over 150 proprietary lipids intended to enable safer and more efficient delivery of RNA medicines.</w:t>
      </w:r>
    </w:p>
    <w:p>
      <w:pPr>
        <w:spacing w:after="0" w:line="75" w:lineRule="exact"/>
        <w:rPr>
          <w:rFonts w:ascii="Arial" w:cs="Arial" w:eastAsia="Arial" w:hAnsi="Arial"/>
          <w:sz w:val="18"/>
          <w:szCs w:val="18"/>
          <w:color w:val="auto"/>
        </w:rPr>
      </w:pPr>
    </w:p>
    <w:p>
      <w:pPr>
        <w:ind w:left="1320" w:right="120" w:hanging="407"/>
        <w:spacing w:after="0" w:line="277"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wholly-owned, LUNAR</w:t>
      </w:r>
      <w:r>
        <w:rPr>
          <w:rFonts w:ascii="Arial" w:cs="Arial" w:eastAsia="Arial" w:hAnsi="Arial"/>
          <w:sz w:val="15"/>
          <w:szCs w:val="15"/>
          <w:color w:val="auto"/>
        </w:rPr>
        <w:t>®</w:t>
      </w:r>
      <w:r>
        <w:rPr>
          <w:rFonts w:ascii="Arial" w:cs="Arial" w:eastAsia="Arial" w:hAnsi="Arial"/>
          <w:sz w:val="18"/>
          <w:szCs w:val="18"/>
          <w:color w:val="auto"/>
        </w:rPr>
        <w:t xml:space="preserve"> and nucleic acid technologies are covered by a patent portfolio of 152 patents and patent applications, issued in the United States, China, Europe, Japan and other countries.</w:t>
      </w:r>
    </w:p>
    <w:p>
      <w:pPr>
        <w:spacing w:after="0" w:line="170" w:lineRule="exact"/>
        <w:rPr>
          <w:sz w:val="20"/>
          <w:szCs w:val="20"/>
          <w:color w:val="auto"/>
        </w:rPr>
      </w:pPr>
    </w:p>
    <w:p>
      <w:pPr>
        <w:ind w:left="380" w:right="140"/>
        <w:spacing w:after="0" w:line="279" w:lineRule="auto"/>
        <w:rPr>
          <w:sz w:val="20"/>
          <w:szCs w:val="20"/>
          <w:color w:val="auto"/>
        </w:rPr>
      </w:pPr>
      <w:r>
        <w:rPr>
          <w:rFonts w:ascii="Arial" w:cs="Arial" w:eastAsia="Arial" w:hAnsi="Arial"/>
          <w:sz w:val="17"/>
          <w:szCs w:val="17"/>
          <w:color w:val="auto"/>
        </w:rPr>
        <w:t>The Company’s principal executive offices are located in San Diego, California.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71" w:lineRule="exact"/>
        <w:rPr>
          <w:sz w:val="20"/>
          <w:szCs w:val="20"/>
          <w:color w:val="auto"/>
        </w:rPr>
      </w:pPr>
    </w:p>
    <w:p>
      <w:pPr>
        <w:ind w:left="380" w:right="40"/>
        <w:spacing w:after="0" w:line="312"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oligonucleotides-knockdown of genes overexpressed in disease; and (3) CRISPR, TALEN, zinc finger proteins, megatals and meganucleases-gene editing of errant genes.</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80" w:right="240"/>
        <w:spacing w:after="0" w:line="264" w:lineRule="auto"/>
        <w:rPr>
          <w:sz w:val="20"/>
          <w:szCs w:val="20"/>
          <w:color w:val="auto"/>
        </w:rPr>
      </w:pPr>
      <w:r>
        <w:rPr>
          <w:rFonts w:ascii="Arial" w:cs="Arial" w:eastAsia="Arial" w:hAnsi="Arial"/>
          <w:sz w:val="18"/>
          <w:szCs w:val="18"/>
          <w:color w:val="auto"/>
        </w:rPr>
        <w:t>The Company was founded in 2013 under the name Alcobra Ltd. On November 15, 2017, Alcobra Ltd. acquired Arcturus Therapeutics, Inc., or Arcturus Inc., pursuant to a merger between the companies. Immediately after giving effect to the merger, on November 15, 2017, Alcobra Ltd. changed its name to Arcturus Therapeutics Ltd.. or Arcturus Ltd.</w:t>
      </w:r>
    </w:p>
    <w:p>
      <w:pPr>
        <w:spacing w:after="0" w:line="181" w:lineRule="exact"/>
        <w:rPr>
          <w:sz w:val="20"/>
          <w:szCs w:val="20"/>
          <w:color w:val="auto"/>
        </w:rPr>
      </w:pPr>
    </w:p>
    <w:p>
      <w:pPr>
        <w:ind w:left="380" w:right="360"/>
        <w:spacing w:after="0" w:line="277" w:lineRule="auto"/>
        <w:rPr>
          <w:sz w:val="20"/>
          <w:szCs w:val="20"/>
          <w:color w:val="auto"/>
        </w:rPr>
      </w:pPr>
      <w:r>
        <w:rPr>
          <w:rFonts w:ascii="Arial" w:cs="Arial" w:eastAsia="Arial" w:hAnsi="Arial"/>
          <w:sz w:val="18"/>
          <w:szCs w:val="18"/>
          <w:color w:val="auto"/>
        </w:rPr>
        <w:t>On June 12, 2019, Arcturus Ltd. redomiciled as a Delaware corporation following the completion of the actions contemplated by an Exchange Agreement dated as of February 8, 2019, between Arcturus Ltd. and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00"/>
          </w:cols>
          <w:pgMar w:left="24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247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2145" cy="12477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80"/>
        <w:spacing w:after="0" w:line="277" w:lineRule="auto"/>
        <w:rPr>
          <w:sz w:val="20"/>
          <w:szCs w:val="20"/>
          <w:color w:val="auto"/>
        </w:rPr>
      </w:pPr>
      <w:r>
        <w:rPr>
          <w:rFonts w:ascii="Arial" w:cs="Arial" w:eastAsia="Arial" w:hAnsi="Arial"/>
          <w:sz w:val="18"/>
          <w:szCs w:val="18"/>
          <w:color w:val="auto"/>
        </w:rPr>
        <w:t>Following the redomiciliation, the Company became the successor issuer to Arcturus Ltd. and each of Arcturus Ltd. and Arcturus Inc. became wholly-owned subsidiaries of the Company.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principal executive offices are located at 10628 Science Center Drive, Suite 250, San Diego, California 92121, and our telephone number is</w:t>
      </w:r>
    </w:p>
    <w:p>
      <w:pPr>
        <w:spacing w:after="0" w:line="46" w:lineRule="exact"/>
        <w:rPr>
          <w:sz w:val="20"/>
          <w:szCs w:val="20"/>
          <w:color w:val="auto"/>
        </w:rPr>
      </w:pPr>
    </w:p>
    <w:p>
      <w:pPr>
        <w:ind w:left="380" w:firstLine="6"/>
        <w:spacing w:after="0" w:line="255"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900-2660. Our website is located at https://arcturusrx.com. We do not incorporate by reference into this prospectus supplement the information on, or accessible through, our website, and you should not consider it as part of this prospectus supplement. Our common stock trades on the Nasdaq Global Market under the symbol “ARCT”.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240" w:top="459" w:right="7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717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37172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00"/>
          </w:cols>
          <w:pgMar w:left="240" w:top="459" w:right="659" w:bottom="1440" w:gutter="0" w:footer="0" w:header="0"/>
        </w:sect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850,000 shares</w:t>
      </w:r>
    </w:p>
    <w:p>
      <w:pPr>
        <w:spacing w:after="0" w:line="211"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Offering price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$11.50 per share</w:t>
      </w:r>
    </w:p>
    <w:p>
      <w:pPr>
        <w:spacing w:after="0" w:line="211"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spacing w:after="0" w:line="89"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15,125,293 shares</w:t>
      </w:r>
    </w:p>
    <w:p>
      <w:pPr>
        <w:spacing w:after="0" w:line="211" w:lineRule="exact"/>
        <w:rPr>
          <w:sz w:val="20"/>
          <w:szCs w:val="20"/>
          <w:color w:val="auto"/>
        </w:rPr>
      </w:pPr>
    </w:p>
    <w:p>
      <w:pPr>
        <w:sectPr>
          <w:pgSz w:w="11900" w:h="16838" w:orient="portrait"/>
          <w:cols w:equalWidth="0" w:num="2">
            <w:col w:w="4080" w:space="340"/>
            <w:col w:w="6580"/>
          </w:cols>
          <w:pgMar w:left="240" w:top="459" w:right="659" w:bottom="1440" w:gutter="0" w:footer="0" w:header="0"/>
          <w:type w:val="continuous"/>
        </w:sectPr>
      </w:pP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currently expect to use the net proceeds from this offering to fund our continued research and development initiatives in connection with our product pipeline including, but not limited to, LUNAR-CF, LUNAR-CV, LUNAR-MD and general corporate purposes. See “Use of Proceeds” on page S-8 of this prospectus supplement.</w:t>
      </w:r>
    </w:p>
    <w:p>
      <w:pPr>
        <w:spacing w:after="0" w:line="198"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ARCT</w:t>
      </w:r>
    </w:p>
    <w:p>
      <w:pPr>
        <w:spacing w:after="0" w:line="200"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spacing w:after="0" w:line="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 investment in our securities involves a high degree of risk. See “Risk Factors” beginning on page S-6 of this prospectus supplement, page 3 of the accompanying prospectus and in the documents incorporated by reference into this prospectus supplement for a discussion of factors you should consider carefully when making an investment decision.</w:t>
      </w:r>
    </w:p>
    <w:p>
      <w:pPr>
        <w:spacing w:after="0" w:line="188"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ind w:left="380" w:right="60"/>
        <w:spacing w:after="0" w:line="264" w:lineRule="auto"/>
        <w:rPr>
          <w:sz w:val="20"/>
          <w:szCs w:val="20"/>
          <w:color w:val="auto"/>
        </w:rPr>
      </w:pPr>
      <w:r>
        <w:rPr>
          <w:rFonts w:ascii="Arial" w:cs="Arial" w:eastAsia="Arial" w:hAnsi="Arial"/>
          <w:sz w:val="18"/>
          <w:szCs w:val="18"/>
          <w:color w:val="auto"/>
        </w:rPr>
        <w:t>The number of shares our common stock to be outstanding after the offering is based on 14,275,293 shares of our common stock outstanding as of September 25, 2019, and excludes 1,808,376 shares issuable upon exercise of currently outstanding options to purchase our common stock at a weighted average exercise price of $10.14 per share.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00"/>
          </w:cols>
          <w:pgMar w:left="240" w:top="459" w:right="6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This prospectus supplement, the accompanying prospectus, the documents incorporated by reference and any free writing prospectus that we have authorized for use in connection with this offering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131" w:lineRule="exact"/>
        <w:rPr>
          <w:sz w:val="20"/>
          <w:szCs w:val="20"/>
          <w:color w:val="auto"/>
        </w:rPr>
      </w:pPr>
    </w:p>
    <w:p>
      <w:pPr>
        <w:ind w:left="1180" w:right="32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75"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30"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23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We urge you to consider these factors carefully in evaluating the forward-looking statements contained in this prospectus supplement, the accompanying prospectus or the documents incorporated by reference herein. All subsequent written or oral forward-looking statements attributable to our company or persons acting on our behalf are expressly qualified in their entirety by these cautionary statements. The forward-looking statements included in this prospectus supplement are made only as of the date of this prospectus supplement. We undertake no obligation to update publicly any forward-looking statements, whether as a result of new information, future events or otherwise, except to the extent that we are required to do so by law.</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i w:val="1"/>
          <w:iCs w:val="1"/>
          <w:color w:val="auto"/>
        </w:rPr>
        <w:t>Investment in our shares of common stock involves risks. Prior to making a decision about investing in our shares of common stock, you should consider carefully all of the information included in and incorporated by reference or deemed to be incorporated by reference in this prospectus supplement and the accompanying prospectus, including the risk factors incorporated by reference herein from our Annual Report on Form 10-K for the year ended December 31, 2018, filed with the Securities and Exchange Commission, or SEC, on March 18, 2019, as updated by annual, quarterly and other reports and documents we file with the SEC after the date of this prospectus supplement and that are incorporated by reference in the this prospectus supplement.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Our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will experience immediate dilution in the book value per share of the common stock you purchase.</w:t>
      </w:r>
    </w:p>
    <w:p>
      <w:pPr>
        <w:spacing w:after="0" w:line="117"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Because the price per share of our common stock being offered is substantially higher than the book value per share of our common stock, you will suffer substantial dilution in the net tangible book value of the common stock you purchase in this offering. If you purchase shares of common stock in this offering, you will suffer immediate and substantial dilution of $8.66 per share in the net tangible book value of the common stock. See the section entitled “Dilution” below for a more detailed discussion of the dilution you will incur if you purchase common stock in this offering.</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management will have broad discretion over the use of the net proceeds from this offering.</w:t>
      </w:r>
    </w:p>
    <w:p>
      <w:pPr>
        <w:spacing w:after="0" w:line="11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We currently intend to use the net proceeds from this offering to fund our continued research and development initiatives in connection with our product pipeline including, but not limited to LUNAR-CF, LUNAR-CV, LUNAR-MD and other general corporate purposes. We have not determined the amounts we plan to spend for various working capital and general corporate purposes or the timing of these expenditures. Accordingly, our management will have considerable discretion in the application of the net proceeds from this offering, and you will not have the opportunity, as part of your investment decision, to assess whether the proceeds from this offering are being used appropriately. The net proceeds may be used for corporate purposes that do not increase our operating results or market value. Until the net proceeds are used, they may be placed in investments that do not produce income or that lose value.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The market price of our common stock has been, and may continue to be, volatile which could reduce the market price of our common stock.</w:t>
      </w:r>
    </w:p>
    <w:p>
      <w:pPr>
        <w:spacing w:after="0" w:line="140"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auto"/>
        </w:rPr>
        <w:t>The publicly traded shares of our common stock have experienced, and may experience in the future, significant price and volume fluctuations. This market volatility could reduce the market price of our common stock without regard to our operating performance. In addition, the trading price of our common stock could change significantly in response to actual or anticipated variations in our quarterly operating results, announcements by us or our competitors, factors affecting the medical imaging industry generally, changes in national or regional economic conditions, changes in securities analysts’ estimates for us or our competitors’ or industry’s future performance or general market conditions, making it more difficult for shares of our common stock to be sold at a favorable price or at all. The market price of our common stock could also be reduced by general market price declines or market volatility in the future or future declines or volatility in the prices of stocks for companies in our industry.</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A substantial number of shares of our common stock are eligible for future sale, and the sale of shares of common stock into the market, or the perception that such sales may occur, may depress our stock price.</w:t>
      </w:r>
    </w:p>
    <w:p>
      <w:pPr>
        <w:spacing w:after="0" w:line="62"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Sales of substantial additional shares of our common stock in the public market, or the perception that these sales may occur, may significantly lower the market price of our common stock. We are unable to estimate the amount, timing or nature of future sales of shares of our common stock. We have previously issued a substantial number of shares of common stock, which are eligible for resale under Rule 144 of the Securities Act of 1933, as amended, or the Securities Act, and may become freely tradable. We have also registered shares that are issuable upon the exercise of options and warrants. If holders of options or warrants choose to exercise their securities and sell shares of common stock issued upon the exercise in the public market, or if holders of currently restricted common stock choose to sell such shares of common stock in the public market under Rule 144 or otherwise, or attempt to publicly sell such shares all at once or in a short time period, the prevailing market price for our common stock may decline.</w:t>
      </w:r>
    </w:p>
    <w:p>
      <w:pPr>
        <w:spacing w:after="0" w:line="275"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Future issuances of shares of our common stock may cause significant dilution of equity interests of existing holders of common stock and decrease the market price of shares of our common stock.</w:t>
      </w:r>
    </w:p>
    <w:p>
      <w:pPr>
        <w:spacing w:after="0" w:line="62" w:lineRule="exact"/>
        <w:rPr>
          <w:sz w:val="20"/>
          <w:szCs w:val="20"/>
          <w:color w:val="auto"/>
        </w:rPr>
      </w:pPr>
    </w:p>
    <w:p>
      <w:pPr>
        <w:ind w:left="200" w:right="140"/>
        <w:spacing w:after="0" w:line="286" w:lineRule="auto"/>
        <w:rPr>
          <w:sz w:val="20"/>
          <w:szCs w:val="20"/>
          <w:color w:val="auto"/>
        </w:rPr>
      </w:pPr>
      <w:r>
        <w:rPr>
          <w:rFonts w:ascii="Arial" w:cs="Arial" w:eastAsia="Arial" w:hAnsi="Arial"/>
          <w:sz w:val="17"/>
          <w:szCs w:val="17"/>
          <w:color w:val="auto"/>
        </w:rPr>
        <w:t>We have previously issued options that are exercisable into a significant number of shares of our common stock and may issue additional options and warrants in the future. Should holders of options or warrants exercise their securities into shares of our common stock, it may cause significant dilution of equity interests of existing holders of our common stock and reduce the market price of shares of our common stock.</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not currently paying dividends and will likely not pay dividends for the foreseeable future.</w:t>
      </w:r>
    </w:p>
    <w:p>
      <w:pPr>
        <w:spacing w:after="0" w:line="117"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Any future determination to pay cash dividends will be at the discretion of our board of directors and will depend on our financial condition, results of operations, capital requirements, contractual restrictions and other factors that our board of directors deems relevant.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If securities or industry analysts issue an adverse opinion regarding our stock, our stock price and trading volume could decline.</w:t>
      </w:r>
    </w:p>
    <w:p>
      <w:pPr>
        <w:spacing w:after="0" w:line="129"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may publish about us, our business, our market or our competitors. If any of the analysts who may cover us adversely change their recommendation regarding our common stock, or provide more favorable relative recommendations about our competitors, the trading price of our common stock could decline. If any analyst who may cover us were to cease coverage of our company or fail to regularly publish reports on us, we could lose visibility in the financial markets, which in turn could cause the trading price of our common stock or trading volume to decline.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We estimate that the net proceeds from the sale of the Shares that we are offering, after deducting the placement agent fee and estimated offering expenses payable by us, will be approximately $9.1 million.</w:t>
      </w:r>
    </w:p>
    <w:p>
      <w:pPr>
        <w:spacing w:after="0" w:line="17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will retain broad discretion over the use of the net proceeds from this offering. We currently expect to use the net proceeds from this offering to fund our continued research and development initiatives in connection with our product pipeline including, but not limited to LUNAR-CF, LUNAR-CV, LUNAR-MD and general corporate purposes. This anticipated use of net proceeds represents our intentions based upon our current plans and business conditions.</w:t>
      </w:r>
    </w:p>
    <w:p>
      <w:pPr>
        <w:spacing w:after="0" w:line="18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Under the Securities Purchase Agreement, we are prohibited from using the proceeds of the offering for (i) the satisfaction of any portion of our debt (other than payment of trade payables in the ordinary course of our business and prior practices), (ii) the redemption of any common stock or common stock equivalents, or (iii) in violation of regulations under the Foreign Corrupt Practices Act of 1977 or the Office of Foreign Assets Control of the U.S. Treasury Department.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Pending the use of the net proceeds, we expect to invest the net proceeds in investment grade, interest-bearing securities.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00" w:right="40"/>
        <w:spacing w:after="0" w:line="289" w:lineRule="auto"/>
        <w:rPr>
          <w:sz w:val="20"/>
          <w:szCs w:val="20"/>
          <w:color w:val="auto"/>
        </w:rPr>
      </w:pPr>
      <w:r>
        <w:rPr>
          <w:rFonts w:ascii="Arial" w:cs="Arial" w:eastAsia="Arial" w:hAnsi="Arial"/>
          <w:sz w:val="16"/>
          <w:szCs w:val="16"/>
          <w:color w:val="auto"/>
        </w:rPr>
        <w:t>The following sets forth our cash and cash equivalents and capitalization on a consolidated basis as of June 30, 2019. We have presented our capitalization on an actual basis, a pro forma basis to reflect the issuance of 1,145,653 shares of common stock issued on August 5, 2019, pursuant to securities purchase agreements with institutional investors dated as of August 1 and August 2, 2019, net of $965,500 in issuance costs, and the exercise of options to purchase 10,000 shares of common stock, and a pro forma as adjusted basis to reflect the issuance of 850,000 shares of common stock, net of $701,500 in issuance costs, upon the sale of the Shares offered hereby, but not the application of the net proceeds from the issuance and sale of such Shares. See “Use of Proceeds.” You should read the following table along with our financial statements and the accompanying notes to those statements, together with the information set forth under “Management’s Discussion and Analysis of Financial Condition and Results of Operations” in our Annual Report on Form 10-K for the year ended December 31, 2018, and in our subsequent Quarterly Reports and Current Reports, which are incorporated by reference in this prospectus supplement and the accompanying prospectus.</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As of June 30, 2019</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3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(in thousands, except par value)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Pro forma</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for prior</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forma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offerings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9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Actual</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option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this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4"/>
              </w:rPr>
              <w:t>exercises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offering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$ 55,840</w:t>
            </w:r>
          </w:p>
        </w:tc>
        <w:tc>
          <w:tcPr>
            <w:tcW w:w="132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$ 68,100</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$ 77,174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Debt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$ 10,000</w:t>
            </w:r>
          </w:p>
        </w:tc>
        <w:tc>
          <w:tcPr>
            <w:tcW w:w="1320" w:type="dxa"/>
            <w:vAlign w:val="bottom"/>
          </w:tcPr>
          <w:p>
            <w:pPr>
              <w:jc w:val="right"/>
              <w:ind w:right="258"/>
              <w:spacing w:after="0"/>
              <w:rPr>
                <w:sz w:val="20"/>
                <w:szCs w:val="20"/>
                <w:color w:val="auto"/>
              </w:rPr>
            </w:pPr>
            <w:r>
              <w:rPr>
                <w:rFonts w:ascii="Arial" w:cs="Arial" w:eastAsia="Arial" w:hAnsi="Arial"/>
                <w:sz w:val="18"/>
                <w:szCs w:val="18"/>
                <w:color w:val="auto"/>
              </w:rPr>
              <w:t>$ 10,000</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$ 10,000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9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tcPr>
          <w:p>
            <w:pPr>
              <w:spacing w:after="0" w:line="201" w:lineRule="exact"/>
              <w:rPr>
                <w:sz w:val="20"/>
                <w:szCs w:val="20"/>
                <w:color w:val="auto"/>
              </w:rPr>
            </w:pPr>
            <w:r>
              <w:rPr>
                <w:rFonts w:ascii="Arial" w:cs="Arial" w:eastAsia="Arial" w:hAnsi="Arial"/>
                <w:sz w:val="18"/>
                <w:szCs w:val="18"/>
                <w:color w:val="auto"/>
                <w:w w:val="91"/>
              </w:rPr>
              <w:t>Common stock, $0.001 par value; 30,000 shares authorized, 13,120 issued and outstanding, actual, 14,275</w:t>
            </w: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issued and outstanding, pro forma for prior offerings and option exercises, 15,125 issued and</w:t>
            </w: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outstanding, pro forma as adjusted</w:t>
            </w:r>
            <w:r>
              <w:rPr>
                <w:rFonts w:ascii="Arial" w:cs="Arial" w:eastAsia="Arial" w:hAnsi="Arial"/>
                <w:sz w:val="15"/>
                <w:szCs w:val="15"/>
                <w:color w:val="auto"/>
              </w:rPr>
              <w:t>(1)</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320" w:type="dxa"/>
            <w:vAlign w:val="bottom"/>
          </w:tcPr>
          <w:p>
            <w:pPr>
              <w:jc w:val="right"/>
              <w:ind w:right="258"/>
              <w:spacing w:after="0"/>
              <w:rPr>
                <w:sz w:val="20"/>
                <w:szCs w:val="20"/>
                <w:color w:val="auto"/>
              </w:rPr>
            </w:pPr>
            <w:r>
              <w:rPr>
                <w:rFonts w:ascii="Arial" w:cs="Arial" w:eastAsia="Arial" w:hAnsi="Arial"/>
                <w:sz w:val="18"/>
                <w:szCs w:val="18"/>
                <w:color w:val="auto"/>
              </w:rPr>
              <w:t>14</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(2)</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74,851</w:t>
            </w:r>
          </w:p>
        </w:tc>
        <w:tc>
          <w:tcPr>
            <w:tcW w:w="132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87,111</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96,185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Accumulated deficit</w:t>
            </w:r>
          </w:p>
        </w:tc>
        <w:tc>
          <w:tcPr>
            <w:tcW w:w="980" w:type="dxa"/>
            <w:vAlign w:val="bottom"/>
          </w:tcPr>
          <w:p>
            <w:pPr>
              <w:jc w:val="right"/>
              <w:spacing w:after="0"/>
              <w:rPr>
                <w:sz w:val="20"/>
                <w:szCs w:val="20"/>
                <w:color w:val="auto"/>
              </w:rPr>
            </w:pPr>
            <w:r>
              <w:rPr>
                <w:rFonts w:ascii="Arial" w:cs="Arial" w:eastAsia="Arial" w:hAnsi="Arial"/>
                <w:sz w:val="18"/>
                <w:szCs w:val="18"/>
                <w:color w:val="auto"/>
              </w:rPr>
              <w:t>(53,246)</w:t>
            </w:r>
          </w:p>
        </w:tc>
        <w:tc>
          <w:tcPr>
            <w:tcW w:w="1320" w:type="dxa"/>
            <w:vAlign w:val="bottom"/>
          </w:tcPr>
          <w:p>
            <w:pPr>
              <w:jc w:val="right"/>
              <w:ind w:right="198"/>
              <w:spacing w:after="0"/>
              <w:rPr>
                <w:sz w:val="20"/>
                <w:szCs w:val="20"/>
                <w:color w:val="auto"/>
              </w:rPr>
            </w:pPr>
            <w:r>
              <w:rPr>
                <w:rFonts w:ascii="Arial" w:cs="Arial" w:eastAsia="Arial" w:hAnsi="Arial"/>
                <w:sz w:val="18"/>
                <w:szCs w:val="18"/>
                <w:color w:val="auto"/>
              </w:rPr>
              <w:t>(53,246)</w:t>
            </w:r>
          </w:p>
        </w:tc>
        <w:tc>
          <w:tcPr>
            <w:tcW w:w="880" w:type="dxa"/>
            <w:vAlign w:val="bottom"/>
          </w:tcPr>
          <w:p>
            <w:pPr>
              <w:jc w:val="right"/>
              <w:spacing w:after="0"/>
              <w:rPr>
                <w:sz w:val="20"/>
                <w:szCs w:val="20"/>
                <w:color w:val="auto"/>
              </w:rPr>
            </w:pPr>
            <w:r>
              <w:rPr>
                <w:rFonts w:ascii="Arial" w:cs="Arial" w:eastAsia="Arial" w:hAnsi="Arial"/>
                <w:sz w:val="18"/>
                <w:szCs w:val="18"/>
                <w:color w:val="auto"/>
              </w:rPr>
              <w:t>(53,246)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$ 21,618</w:t>
            </w:r>
          </w:p>
        </w:tc>
        <w:tc>
          <w:tcPr>
            <w:tcW w:w="132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$ 33,879</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$ 42,953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Total capitalization</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$ 31,618</w:t>
            </w:r>
          </w:p>
        </w:tc>
        <w:tc>
          <w:tcPr>
            <w:tcW w:w="1320" w:type="dxa"/>
            <w:vAlign w:val="bottom"/>
          </w:tcPr>
          <w:p>
            <w:pPr>
              <w:jc w:val="right"/>
              <w:ind w:right="258"/>
              <w:spacing w:after="0"/>
              <w:rPr>
                <w:sz w:val="20"/>
                <w:szCs w:val="20"/>
                <w:color w:val="auto"/>
              </w:rPr>
            </w:pPr>
            <w:r>
              <w:rPr>
                <w:rFonts w:ascii="Arial" w:cs="Arial" w:eastAsia="Arial" w:hAnsi="Arial"/>
                <w:sz w:val="18"/>
                <w:szCs w:val="18"/>
                <w:color w:val="auto"/>
              </w:rPr>
              <w:t>$ 43,879</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$ 52,953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right="60" w:hanging="436"/>
        <w:spacing w:after="0" w:line="258"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Gives effect to the Company’s redomiciliation as a Delaware corporation, which occurred on June 12, 2019. Excludes previous Treasury Shares of 43 that were extinguished upon the redomiciliation.</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that all equity issued in the private placement will be classified as equity for accounting purposes.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60"/>
        <w:spacing w:after="0" w:line="342" w:lineRule="auto"/>
        <w:rPr>
          <w:sz w:val="20"/>
          <w:szCs w:val="20"/>
          <w:color w:val="auto"/>
        </w:rPr>
      </w:pPr>
      <w:r>
        <w:rPr>
          <w:rFonts w:ascii="Arial" w:cs="Arial" w:eastAsia="Arial" w:hAnsi="Arial"/>
          <w:sz w:val="16"/>
          <w:szCs w:val="16"/>
          <w:color w:val="auto"/>
        </w:rPr>
        <w:t>Our net tangible book value as of June 30, 2019 was approximately $21.6 million or $1.65 per share. Net tangible book value per share is determined by dividing our total tangible assets, less total liabilities, by the number of shares of our common stock outstanding as of June 30, 2019.</w:t>
      </w:r>
    </w:p>
    <w:p>
      <w:pPr>
        <w:spacing w:after="0" w:line="124"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Our pro forma net tangible book value as of June 30, 2019 was approximately $33.9 million, or $2.37 per share. Pro forma net tangible book value per share is determined by dividing our total tangible assets, less total liabilities, by the number of shares of our common stock outstanding as of June 30, 2019, as adjusted to reflect the issuance of 1,145,653 shares of common stock issued on August 5, 2019 pursuant to securities purchase agreements with institutional investors dated as of August 1 and August 2, 2019, and the exercise of options to purchase 10,000 shares of common stock.</w:t>
      </w:r>
    </w:p>
    <w:p>
      <w:pPr>
        <w:spacing w:after="0" w:line="154" w:lineRule="exact"/>
        <w:rPr>
          <w:sz w:val="20"/>
          <w:szCs w:val="20"/>
          <w:color w:val="auto"/>
        </w:rPr>
      </w:pPr>
    </w:p>
    <w:p>
      <w:pPr>
        <w:ind w:left="200" w:right="260"/>
        <w:spacing w:after="0" w:line="308" w:lineRule="auto"/>
        <w:rPr>
          <w:sz w:val="20"/>
          <w:szCs w:val="20"/>
          <w:color w:val="auto"/>
        </w:rPr>
      </w:pPr>
      <w:r>
        <w:rPr>
          <w:rFonts w:ascii="Arial" w:cs="Arial" w:eastAsia="Arial" w:hAnsi="Arial"/>
          <w:sz w:val="17"/>
          <w:szCs w:val="17"/>
          <w:color w:val="auto"/>
        </w:rPr>
        <w:t>Dilution with respect to pro forma net tangible book value per share represents the difference between the amount per share paid by purchasers of our Shares in this offering and the pro forma net tangible book value per share of our Shares immediately after this offering.</w:t>
      </w:r>
    </w:p>
    <w:p>
      <w:pPr>
        <w:spacing w:after="0" w:line="147" w:lineRule="exact"/>
        <w:rPr>
          <w:sz w:val="20"/>
          <w:szCs w:val="20"/>
          <w:color w:val="auto"/>
        </w:rPr>
      </w:pPr>
    </w:p>
    <w:p>
      <w:pPr>
        <w:jc w:val="both"/>
        <w:ind w:left="200" w:right="120"/>
        <w:spacing w:after="0" w:line="276" w:lineRule="auto"/>
        <w:rPr>
          <w:sz w:val="20"/>
          <w:szCs w:val="20"/>
          <w:color w:val="auto"/>
        </w:rPr>
      </w:pPr>
      <w:r>
        <w:rPr>
          <w:rFonts w:ascii="Arial" w:cs="Arial" w:eastAsia="Arial" w:hAnsi="Arial"/>
          <w:sz w:val="17"/>
          <w:szCs w:val="17"/>
          <w:color w:val="auto"/>
        </w:rPr>
        <w:t>After giving effect to the sale of 850,000 Shares in this offering at the offering price of $11.50 per Share, and after deducting the placement agent fees and the estimated offering expenses payable by us for this offering, our pro forma as adjusted net tangible book value as of June 30, 2019, would have been approximately $43.0 million, or $2.84 per share. This represents an immediate increase in pro forma net tangible book value of $0.47 per Share to existing stockholders and immediate dilution in pro forma net tangible book value of $8.66 per Share to investors purchasing our Shares in this offering at the offering price. The following table illustrates this dilution on a per Share basis:</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per Share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11.50</w:t>
            </w: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Net tangible book value per Share of as June 30, 2019</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 forma increase per share attributable to the August 1 and August 2, 2019 offerings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Pro forma net tangible book value per share as of June 30, 2019</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investors in this offering</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As adjusted pro forma net tangible book value per Share after this offering</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in this offering</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r>
    </w:tbl>
    <w:p>
      <w:pPr>
        <w:spacing w:after="0" w:line="202" w:lineRule="exact"/>
        <w:rPr>
          <w:sz w:val="20"/>
          <w:szCs w:val="20"/>
          <w:color w:val="auto"/>
        </w:rPr>
      </w:pPr>
    </w:p>
    <w:p>
      <w:pPr>
        <w:ind w:left="200" w:right="300"/>
        <w:spacing w:after="0" w:line="342" w:lineRule="auto"/>
        <w:rPr>
          <w:sz w:val="20"/>
          <w:szCs w:val="20"/>
          <w:color w:val="auto"/>
        </w:rPr>
      </w:pPr>
      <w:r>
        <w:rPr>
          <w:rFonts w:ascii="Arial" w:cs="Arial" w:eastAsia="Arial" w:hAnsi="Arial"/>
          <w:sz w:val="16"/>
          <w:szCs w:val="16"/>
          <w:color w:val="auto"/>
        </w:rPr>
        <w:t>The number of Shares to be outstanding after the offering is based on the number of shares outstanding as of June 30, 2019. As of that date, we had 13.1 million Shares outstanding, excluding 1.8 million shares issuable upon exercise of currently outstanding options to purchase our common stock.</w:t>
      </w:r>
    </w:p>
    <w:p>
      <w:pPr>
        <w:spacing w:after="0" w:line="124"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that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Pursuant to an engagement agreement dated September 23, 2019, we have engaged H.C. Wainwright &amp; Co., LLC, or the placement agent, to act as our exclusive placement agent in connection with this offering of our shares of common stock pursuant to this prospectus supplement and accompanying prospectus. Under the terms of the engagement agreement, the placement agent has agreed to be our exclusive placement agent, on a reasonable best efforts basis, in connection with the issuance and sale by us of our shares of common stock in this takedown from our “shelf” registration statement. The terms of this offering were subject to market conditions and negotiations between us, the placement agent and prospective investors. The engagement agreement does not give rise to any commitment by the placement agent to purchase any of our shares of common stock, and the placement agent will have no authority to bind us by virtue of the engagement agreement. The placement agent may engage sub-agents or selected dealers to assist with the offering.</w:t>
      </w:r>
    </w:p>
    <w:p>
      <w:pPr>
        <w:spacing w:after="0" w:line="192"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We have entered into a securities purchase agreement directly with several investors in connection with this offering, and we only sell the shares of common stock to investors who have entered into the securities purchase agreement.</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We expect to deliver the shares of our common stock being offered pursuant to this prospectus supplement and the accompanying prospectus on or about September 30, 2019, subject to customary closing conditions.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agreed to pay the placement agent a total cash fee equal to 6.0% of the gross proceeds of this offering.</w:t>
      </w:r>
    </w:p>
    <w:p>
      <w:pPr>
        <w:spacing w:after="0" w:line="225"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following table shows per share and total cash placement agent’s fees we will pay to the placement agent in connection with the sale of the shares of common stock pursuant to this prospectus supplement and the accompanying prospectus assuming the purchase of all of the shares of common stock offered hereby:</w:t>
      </w:r>
    </w:p>
    <w:p>
      <w:pPr>
        <w:spacing w:after="0" w:line="22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31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586,500</w:t>
            </w:r>
          </w:p>
        </w:tc>
      </w:tr>
    </w:tbl>
    <w:p>
      <w:pPr>
        <w:spacing w:after="0" w:line="187"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color w:val="auto"/>
        </w:rPr>
        <w:t>In consideration of independent financial advisory services provided to us by Ladenburg Thalmann &amp; Co. Inc., Roth Capital Partners, LLC and Chardan Capital Markets LLC, we will pay such advisors an aggregate of $87,975, which amount will be reduced from the fee payable to the placement agent.</w:t>
      </w:r>
    </w:p>
    <w:p>
      <w:pPr>
        <w:spacing w:after="0" w:line="124"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We have agreed to indemnify the placement agent and specified other persons against certain civil liabilities, including liabilities under the Securities Act, and the Securities Exchange Act of 1934, as amended, or the Exchange Act, and to contribute to payments that the placement agent may be required to make in respect of such liabilities.</w:t>
      </w:r>
    </w:p>
    <w:p>
      <w:pPr>
        <w:spacing w:after="0" w:line="181" w:lineRule="exact"/>
        <w:rPr>
          <w:sz w:val="20"/>
          <w:szCs w:val="20"/>
          <w:color w:val="auto"/>
        </w:rPr>
      </w:pPr>
    </w:p>
    <w:p>
      <w:pPr>
        <w:ind w:left="200" w:right="860"/>
        <w:spacing w:after="0" w:line="277" w:lineRule="auto"/>
        <w:rPr>
          <w:sz w:val="20"/>
          <w:szCs w:val="20"/>
          <w:color w:val="auto"/>
        </w:rPr>
      </w:pPr>
      <w:r>
        <w:rPr>
          <w:rFonts w:ascii="Arial" w:cs="Arial" w:eastAsia="Arial" w:hAnsi="Arial"/>
          <w:sz w:val="18"/>
          <w:szCs w:val="18"/>
          <w:color w:val="auto"/>
        </w:rPr>
        <w:t>We estimate the total offering expenses of this offering that will be payable by us, excluding the placement agent’s fees and expenses, will be approximately $0.1 million.</w:t>
      </w:r>
    </w:p>
    <w:p>
      <w:pPr>
        <w:spacing w:after="0" w:line="17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placement agent may be deemed to be an underwriter within the meaning of Section 2(a)(11) of the Securities Act, and any commissions received by it and any profit realized on the resale of the securities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415(a)(4) under the Securities Act and Rule 10b-5 and Regulation M under the Exchange Act. These rules and regulations may limit the timing of purchases and sales of shares of common stock and warrants by the placement agent acting as principal. Under these rules and regulations, the placement agent:</w:t>
      </w:r>
    </w:p>
    <w:p>
      <w:pPr>
        <w:spacing w:after="0" w:line="99" w:lineRule="exact"/>
        <w:rPr>
          <w:sz w:val="20"/>
          <w:szCs w:val="20"/>
          <w:color w:val="auto"/>
        </w:rPr>
      </w:pPr>
    </w:p>
    <w:p>
      <w:pPr>
        <w:ind w:left="5540" w:right="4160" w:hanging="4796"/>
        <w:spacing w:after="0" w:line="490" w:lineRule="auto"/>
        <w:tabs>
          <w:tab w:leader="none" w:pos="1169" w:val="left"/>
        </w:tabs>
        <w:numPr>
          <w:ilvl w:val="0"/>
          <w:numId w:val="7"/>
        </w:numPr>
        <w:rPr>
          <w:rFonts w:ascii="Arial" w:cs="Arial" w:eastAsia="Arial" w:hAnsi="Arial"/>
          <w:sz w:val="17"/>
          <w:szCs w:val="17"/>
          <w:color w:val="auto"/>
        </w:rPr>
      </w:pPr>
      <w:r>
        <w:rPr>
          <w:rFonts w:ascii="Arial" w:cs="Arial" w:eastAsia="Arial" w:hAnsi="Arial"/>
          <w:sz w:val="17"/>
          <w:szCs w:val="17"/>
          <w:color w:val="auto"/>
        </w:rPr>
        <w:t>may not engage in any stabilization activity in connection with our securities; and S-11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8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not bid for or purchase any of our securities or attempt to induce any person to purchase any of our securities, other than as permitted under the Exchange Act, until it has completed its participation in the distribution.</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securities purchase agreement is included as an exhibit to a Current Report on Form 8-K that we have filed with the SEC and that is incorporated by reference into the registration statement of which this prospectus supplement forms a part.</w:t>
      </w:r>
    </w:p>
    <w:p>
      <w:pPr>
        <w:spacing w:after="0" w:line="170"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From time to time, the placement agent may provide in the future various advisory, investment and commercial banking and other services to us in the ordinary course of business, for which they have received and may continue to receive customary fees and commissions. H.C. Wainwright &amp; Co., LLC acted as our exclusive agent in connection with our registered direct offerings announced on August 1 and August 2, 2019, for which it received compensation. However, except as disclosed in this prospectus supplement, we have no present arrangements with the placement agent for any further services.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transfer agent for our common stock is Continental Stock Transfer &amp; Trust Company, located at 17 Battery Place, 8th Floor, New York, NY 10004.</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listed on The Nasdaq Global Market under the symbol “ARCT.”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validity of the issuance of the securities offered hereby will be passed upon by Dentons US LLP, New York, New York.</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consolidated financial statements of Arcturus Therapeutics Ltd. at December 31, 2018, and for the year ended December 31, 2018, appearing in Arcturus Therapeutics Ltd.’s Annual Report on Form 10-K for the year ended December 31, 2018 (the “10-K”)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78"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The consolidated financial statements of Arcturus Therapeutics Ltd. at December 31, 2017, and for year then ended, appearing in the 10-K have been audited by Kost Forer Gabbay and Kasierer, a member of Ernst &amp; Young Global, independent registered public accounting firm, as set forth in their report thereon and incorporated by reference herein. Such consolidated financial statements are incorporated herein by reference in reliance upon such report given on the authority of such firm as experts in accounting and auditing.</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We are a reporting company and file annual, quarterly and current reports, proxy and information statements and other information with the SEC. This prospectus supplement and accompanying prospectus are part of a registration statement that we have filed with the SEC relating to the securities to be offered under this prospectus supplement. This prospectus supplement does not contain all of the information set forth in the registration statement and the exhibits to the registration statement. For further information with respect to us and the securities to be offered under this prospectus supplement, we refer you to the registration statement and the exhibits and schedules filed as a part of the registration statement.</w:t>
      </w:r>
    </w:p>
    <w:p>
      <w:pPr>
        <w:spacing w:after="0" w:line="158"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 xml:space="preserve">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 xml:space="preserve">Copies of certain information filed by us with the SEC are also available on our website at </w:t>
      </w:r>
      <w:r>
        <w:rPr>
          <w:rFonts w:ascii="Arial" w:cs="Arial" w:eastAsia="Arial" w:hAnsi="Arial"/>
          <w:sz w:val="16"/>
          <w:szCs w:val="16"/>
          <w:i w:val="1"/>
          <w:iCs w:val="1"/>
          <w:color w:val="auto"/>
        </w:rPr>
        <w:t>https://arcturusrx.com</w:t>
      </w:r>
      <w:r>
        <w:rPr>
          <w:rFonts w:ascii="Arial" w:cs="Arial" w:eastAsia="Arial" w:hAnsi="Arial"/>
          <w:sz w:val="16"/>
          <w:szCs w:val="16"/>
          <w:color w:val="auto"/>
        </w:rPr>
        <w:t>. Information contained in or accessible through our website does not constitute a part of this prospectus supplement and is not incorporated by reference in this prospectus supplement.</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supplement, and information that we file later with the SEC (except in each case, any disclosure on Items 2.02 and 7.01 of Form 8-K) will automatically update and supersede this information. We incorporate by reference the documents filed with the SEC listed below:</w:t>
      </w:r>
    </w:p>
    <w:p>
      <w:pPr>
        <w:spacing w:after="0" w:line="77" w:lineRule="exact"/>
        <w:rPr>
          <w:sz w:val="20"/>
          <w:szCs w:val="20"/>
          <w:color w:val="auto"/>
        </w:rPr>
      </w:pPr>
    </w:p>
    <w:p>
      <w:pPr>
        <w:ind w:left="1180" w:right="8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December 31, 2018, as filed with the SEC on </w:t>
      </w:r>
      <w:hyperlink r:id="rId32">
        <w:r>
          <w:rPr>
            <w:rFonts w:ascii="Arial" w:cs="Arial" w:eastAsia="Arial" w:hAnsi="Arial"/>
            <w:sz w:val="18"/>
            <w:szCs w:val="18"/>
            <w:u w:val="single" w:color="auto"/>
            <w:color w:val="0000EE"/>
          </w:rPr>
          <w:t>March 18,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as amended on </w:t>
      </w:r>
      <w:hyperlink r:id="rId33">
        <w:r>
          <w:rPr>
            <w:rFonts w:ascii="Arial" w:cs="Arial" w:eastAsia="Arial" w:hAnsi="Arial"/>
            <w:sz w:val="18"/>
            <w:szCs w:val="18"/>
            <w:u w:val="single" w:color="auto"/>
            <w:color w:val="0000EE"/>
          </w:rPr>
          <w:t>April 10, 2019</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34">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as filed with the SEC on May 13, 2019;</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3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June 30, 2019, as filed with the SEC on August 14, 2019;</w:t>
      </w:r>
    </w:p>
    <w:p>
      <w:pPr>
        <w:spacing w:after="0" w:line="252" w:lineRule="exact"/>
        <w:rPr>
          <w:rFonts w:ascii="Arial" w:cs="Arial" w:eastAsia="Arial" w:hAnsi="Arial"/>
          <w:sz w:val="18"/>
          <w:szCs w:val="18"/>
          <w:color w:val="auto"/>
        </w:rPr>
      </w:pPr>
    </w:p>
    <w:p>
      <w:pPr>
        <w:ind w:left="1180" w:right="100" w:hanging="436"/>
        <w:spacing w:after="0" w:line="342" w:lineRule="auto"/>
        <w:tabs>
          <w:tab w:leader="none" w:pos="1180" w:val="left"/>
        </w:tabs>
        <w:numPr>
          <w:ilvl w:val="0"/>
          <w:numId w:val="9"/>
        </w:numPr>
        <w:rPr>
          <w:rFonts w:ascii="Arial" w:cs="Arial" w:eastAsia="Arial" w:hAnsi="Arial"/>
          <w:sz w:val="16"/>
          <w:szCs w:val="16"/>
          <w:color w:val="0000EE"/>
        </w:rPr>
      </w:pPr>
      <w:r>
        <w:rPr>
          <w:rFonts w:ascii="Arial" w:cs="Arial" w:eastAsia="Arial" w:hAnsi="Arial"/>
          <w:sz w:val="16"/>
          <w:szCs w:val="16"/>
          <w:color w:val="auto"/>
        </w:rPr>
        <w:t xml:space="preserve">our Current Reports on Form 8-K, as filed with the SEC on </w:t>
      </w:r>
      <w:hyperlink r:id="rId36">
        <w:r>
          <w:rPr>
            <w:rFonts w:ascii="Arial" w:cs="Arial" w:eastAsia="Arial" w:hAnsi="Arial"/>
            <w:sz w:val="16"/>
            <w:szCs w:val="16"/>
            <w:u w:val="single" w:color="auto"/>
            <w:color w:val="0000EE"/>
          </w:rPr>
          <w:t>March 19, 2019</w:t>
        </w:r>
      </w:hyperlink>
      <w:r>
        <w:rPr>
          <w:rFonts w:ascii="Arial" w:cs="Arial" w:eastAsia="Arial" w:hAnsi="Arial"/>
          <w:sz w:val="16"/>
          <w:szCs w:val="16"/>
          <w:color w:val="auto"/>
        </w:rPr>
        <w:t xml:space="preserve">, </w:t>
      </w:r>
      <w:hyperlink r:id="rId37">
        <w:r>
          <w:rPr>
            <w:rFonts w:ascii="Arial" w:cs="Arial" w:eastAsia="Arial" w:hAnsi="Arial"/>
            <w:sz w:val="16"/>
            <w:szCs w:val="16"/>
            <w:u w:val="single" w:color="auto"/>
            <w:color w:val="0000EE"/>
          </w:rPr>
          <w:t>May 13, 2019</w:t>
        </w:r>
      </w:hyperlink>
      <w:r>
        <w:rPr>
          <w:rFonts w:ascii="Arial" w:cs="Arial" w:eastAsia="Arial" w:hAnsi="Arial"/>
          <w:sz w:val="16"/>
          <w:szCs w:val="16"/>
          <w:color w:val="auto"/>
        </w:rPr>
        <w:t xml:space="preserve">, </w:t>
      </w:r>
      <w:hyperlink r:id="rId38">
        <w:r>
          <w:rPr>
            <w:rFonts w:ascii="Arial" w:cs="Arial" w:eastAsia="Arial" w:hAnsi="Arial"/>
            <w:sz w:val="16"/>
            <w:szCs w:val="16"/>
            <w:u w:val="single" w:color="auto"/>
            <w:color w:val="0000EE"/>
          </w:rPr>
          <w:t>May 20, 2019</w:t>
        </w:r>
      </w:hyperlink>
      <w:r>
        <w:rPr>
          <w:rFonts w:ascii="Arial" w:cs="Arial" w:eastAsia="Arial" w:hAnsi="Arial"/>
          <w:sz w:val="16"/>
          <w:szCs w:val="16"/>
          <w:color w:val="auto"/>
        </w:rPr>
        <w:t xml:space="preserve">, </w:t>
      </w:r>
      <w:hyperlink r:id="rId39">
        <w:r>
          <w:rPr>
            <w:rFonts w:ascii="Arial" w:cs="Arial" w:eastAsia="Arial" w:hAnsi="Arial"/>
            <w:sz w:val="16"/>
            <w:szCs w:val="16"/>
            <w:u w:val="single" w:color="auto"/>
            <w:color w:val="0000EE"/>
          </w:rPr>
          <w:t>June 14, 2019</w:t>
        </w:r>
      </w:hyperlink>
      <w:r>
        <w:rPr>
          <w:rFonts w:ascii="Arial" w:cs="Arial" w:eastAsia="Arial" w:hAnsi="Arial"/>
          <w:sz w:val="16"/>
          <w:szCs w:val="16"/>
          <w:color w:val="auto"/>
        </w:rPr>
        <w:t xml:space="preserve">, </w:t>
      </w:r>
      <w:hyperlink r:id="rId40">
        <w:r>
          <w:rPr>
            <w:rFonts w:ascii="Arial" w:cs="Arial" w:eastAsia="Arial" w:hAnsi="Arial"/>
            <w:sz w:val="16"/>
            <w:szCs w:val="16"/>
            <w:u w:val="single" w:color="auto"/>
            <w:color w:val="0000EE"/>
          </w:rPr>
          <w:t>June 19, 2019</w:t>
        </w:r>
      </w:hyperlink>
      <w:r>
        <w:rPr>
          <w:rFonts w:ascii="Arial" w:cs="Arial" w:eastAsia="Arial" w:hAnsi="Arial"/>
          <w:sz w:val="16"/>
          <w:szCs w:val="16"/>
          <w:color w:val="auto"/>
        </w:rPr>
        <w:t xml:space="preserve">, </w:t>
      </w:r>
      <w:hyperlink r:id="rId41">
        <w:r>
          <w:rPr>
            <w:rFonts w:ascii="Arial" w:cs="Arial" w:eastAsia="Arial" w:hAnsi="Arial"/>
            <w:sz w:val="16"/>
            <w:szCs w:val="16"/>
            <w:u w:val="single" w:color="auto"/>
            <w:color w:val="0000EE"/>
          </w:rPr>
          <w:t>June 20,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42">
        <w:r>
          <w:rPr>
            <w:rFonts w:ascii="Arial" w:cs="Arial" w:eastAsia="Arial" w:hAnsi="Arial"/>
            <w:sz w:val="16"/>
            <w:szCs w:val="16"/>
            <w:u w:val="single" w:color="auto"/>
            <w:color w:val="0000EE"/>
          </w:rPr>
          <w:t>July 29,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43">
        <w:r>
          <w:rPr>
            <w:rFonts w:ascii="Arial" w:cs="Arial" w:eastAsia="Arial" w:hAnsi="Arial"/>
            <w:sz w:val="16"/>
            <w:szCs w:val="16"/>
            <w:u w:val="single" w:color="auto"/>
            <w:color w:val="0000EE"/>
          </w:rPr>
          <w:t>August 1,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44">
        <w:r>
          <w:rPr>
            <w:rFonts w:ascii="Arial" w:cs="Arial" w:eastAsia="Arial" w:hAnsi="Arial"/>
            <w:sz w:val="16"/>
            <w:szCs w:val="16"/>
            <w:u w:val="single" w:color="auto"/>
            <w:color w:val="0000EE"/>
          </w:rPr>
          <w:t>August 2,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45">
        <w:r>
          <w:rPr>
            <w:rFonts w:ascii="Arial" w:cs="Arial" w:eastAsia="Arial" w:hAnsi="Arial"/>
            <w:sz w:val="16"/>
            <w:szCs w:val="16"/>
            <w:u w:val="single" w:color="auto"/>
            <w:color w:val="0000EE"/>
          </w:rPr>
          <w:t>August 5,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46">
        <w:r>
          <w:rPr>
            <w:rFonts w:ascii="Arial" w:cs="Arial" w:eastAsia="Arial" w:hAnsi="Arial"/>
            <w:sz w:val="16"/>
            <w:szCs w:val="16"/>
            <w:u w:val="single" w:color="auto"/>
            <w:color w:val="0000EE"/>
          </w:rPr>
          <w:t xml:space="preserve">September 16, 2019 </w:t>
        </w:r>
      </w:hyperlink>
      <w:r>
        <w:rPr>
          <w:rFonts w:ascii="Arial" w:cs="Arial" w:eastAsia="Arial" w:hAnsi="Arial"/>
          <w:sz w:val="16"/>
          <w:szCs w:val="16"/>
          <w:color w:val="000000"/>
        </w:rPr>
        <w:t>and</w:t>
      </w:r>
      <w:r>
        <w:rPr>
          <w:rFonts w:ascii="Arial" w:cs="Arial" w:eastAsia="Arial" w:hAnsi="Arial"/>
          <w:sz w:val="16"/>
          <w:szCs w:val="16"/>
          <w:color w:val="0000EE"/>
        </w:rPr>
        <w:t xml:space="preserve"> </w:t>
      </w:r>
      <w:hyperlink r:id="rId47">
        <w:r>
          <w:rPr>
            <w:rFonts w:ascii="Arial" w:cs="Arial" w:eastAsia="Arial" w:hAnsi="Arial"/>
            <w:sz w:val="16"/>
            <w:szCs w:val="16"/>
            <w:u w:val="single" w:color="auto"/>
            <w:color w:val="0000EE"/>
          </w:rPr>
          <w:t>September 23, 2019</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and</w:t>
      </w:r>
    </w:p>
    <w:p>
      <w:pPr>
        <w:spacing w:after="0" w:line="29" w:lineRule="exact"/>
        <w:rPr>
          <w:rFonts w:ascii="Arial" w:cs="Arial" w:eastAsia="Arial" w:hAnsi="Arial"/>
          <w:sz w:val="16"/>
          <w:szCs w:val="16"/>
          <w:color w:val="0000EE"/>
        </w:rPr>
      </w:pPr>
    </w:p>
    <w:p>
      <w:pPr>
        <w:ind w:left="1180" w:right="40" w:hanging="436"/>
        <w:spacing w:after="0" w:line="264"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the registration statement on </w:t>
      </w:r>
      <w:hyperlink r:id="rId48">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registering our common stock under Section 12 of the Exchange Act, which was filed with the SEC on May 17, 2013, including any amendments or reports filed for purposes of updating such description, including the </w:t>
      </w:r>
      <w:hyperlink r:id="rId49">
        <w:r>
          <w:rPr>
            <w:rFonts w:ascii="Arial" w:cs="Arial" w:eastAsia="Arial" w:hAnsi="Arial"/>
            <w:sz w:val="18"/>
            <w:szCs w:val="18"/>
            <w:u w:val="single" w:color="auto"/>
            <w:color w:val="0000EE"/>
          </w:rPr>
          <w:t>Form 8-K12B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June 14, 2019.</w:t>
      </w:r>
    </w:p>
    <w:p>
      <w:pPr>
        <w:spacing w:after="0" w:line="181" w:lineRule="exact"/>
        <w:rPr>
          <w:rFonts w:ascii="Arial" w:cs="Arial" w:eastAsia="Arial" w:hAnsi="Arial"/>
          <w:sz w:val="18"/>
          <w:szCs w:val="18"/>
          <w:color w:val="auto"/>
        </w:rPr>
      </w:pPr>
    </w:p>
    <w:p>
      <w:pPr>
        <w:ind w:left="200" w:right="60"/>
        <w:spacing w:after="0" w:line="290" w:lineRule="auto"/>
        <w:rPr>
          <w:sz w:val="20"/>
          <w:szCs w:val="20"/>
          <w:color w:val="auto"/>
        </w:rPr>
      </w:pPr>
      <w:r>
        <w:rPr>
          <w:rFonts w:ascii="Arial" w:cs="Arial" w:eastAsia="Arial" w:hAnsi="Arial"/>
          <w:sz w:val="16"/>
          <w:szCs w:val="16"/>
          <w:color w:val="auto"/>
        </w:rPr>
        <w:t>All reports and other documents subsequently filed by us with the SEC pursuant to Sections 13(a), 13(c), 14, or 15(d) of the Securities Exchange Act of 1934 after the date of this prospectus supplement and before the termination of the offering shall be deemed to be incorporated by reference in this prospectus supplement and accompanying prospectus and to be a part of this prospectus supplement and accompanying prospectus from the date of filing of such reports and documents. Any statement contained in any document incorporated or deemed to be incorporated by reference herein shall be deemed to be modified or superseded for purposes of this prospectus supplement and accompanying prospectus to the extent that a statement contained in this prospectus supplement and accompanying prospectus or in any other subsequently filed document which also is or is deemed to be incorporated by reference in this prospectus supplement and accompanying prospectus modifies or supersedes such statement. Any statement so modified or superseded shall not be deemed, except as so modified or superseded, to constitute a part of this prospectus supplement and accompanying prospectus.</w:t>
      </w:r>
    </w:p>
    <w:p>
      <w:pPr>
        <w:spacing w:after="0" w:line="166" w:lineRule="exact"/>
        <w:rPr>
          <w:rFonts w:ascii="Arial" w:cs="Arial" w:eastAsia="Arial" w:hAnsi="Arial"/>
          <w:sz w:val="18"/>
          <w:szCs w:val="18"/>
          <w:color w:val="auto"/>
        </w:rPr>
      </w:pPr>
    </w:p>
    <w:p>
      <w:pPr>
        <w:ind w:left="200" w:right="300"/>
        <w:spacing w:after="0" w:line="277" w:lineRule="auto"/>
        <w:rPr>
          <w:sz w:val="20"/>
          <w:szCs w:val="20"/>
          <w:color w:val="auto"/>
        </w:rPr>
      </w:pPr>
      <w:r>
        <w:rPr>
          <w:rFonts w:ascii="Arial" w:cs="Arial" w:eastAsia="Arial" w:hAnsi="Arial"/>
          <w:sz w:val="18"/>
          <w:szCs w:val="18"/>
          <w:color w:val="auto"/>
        </w:rPr>
        <w:t>Documents incorporated by reference are available from us, without charge. You may obtain documents incorporated by reference in this prospectus supplement and accompanying prospectus by requesting them in writing or by telephone at the following address:</w:t>
      </w:r>
    </w:p>
    <w:p>
      <w:pPr>
        <w:spacing w:after="0" w:line="170"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San Diego, California 92121</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Telephone: (858) 900-2660</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Attention: Investor Relations</w:t>
      </w:r>
    </w:p>
    <w:p>
      <w:pPr>
        <w:spacing w:after="0" w:line="211" w:lineRule="exact"/>
        <w:rPr>
          <w:rFonts w:ascii="Arial" w:cs="Arial" w:eastAsia="Arial" w:hAnsi="Arial"/>
          <w:sz w:val="18"/>
          <w:szCs w:val="18"/>
          <w:color w:val="auto"/>
        </w:rPr>
      </w:pPr>
    </w:p>
    <w:p>
      <w:pPr>
        <w:ind w:left="200" w:right="200"/>
        <w:spacing w:after="0" w:line="264" w:lineRule="auto"/>
        <w:rPr>
          <w:sz w:val="20"/>
          <w:szCs w:val="20"/>
          <w:color w:val="auto"/>
        </w:rPr>
      </w:pPr>
      <w:r>
        <w:rPr>
          <w:rFonts w:ascii="Arial" w:cs="Arial" w:eastAsia="Arial" w:hAnsi="Arial"/>
          <w:sz w:val="18"/>
          <w:szCs w:val="18"/>
          <w:color w:val="auto"/>
        </w:rPr>
        <w:t>You also may access these filings on our Internet site at www.arcturusrx.com. Our web site and the information contained on that site, or connected to that site, are not incorporated into this prospectus supplement, the accompanying prospectus or the registration statement of which this prospectus supplement and accompanying prospectus is a part.</w:t>
      </w:r>
    </w:p>
    <w:p>
      <w:pPr>
        <w:spacing w:after="0" w:line="181" w:lineRule="exact"/>
        <w:rPr>
          <w:rFonts w:ascii="Arial" w:cs="Arial" w:eastAsia="Arial" w:hAnsi="Arial"/>
          <w:sz w:val="18"/>
          <w:szCs w:val="18"/>
          <w:color w:val="auto"/>
        </w:rPr>
      </w:pPr>
    </w:p>
    <w:p>
      <w:pPr>
        <w:ind w:left="200" w:right="120"/>
        <w:spacing w:after="0" w:line="277" w:lineRule="auto"/>
        <w:rPr>
          <w:sz w:val="20"/>
          <w:szCs w:val="20"/>
          <w:color w:val="auto"/>
        </w:rPr>
      </w:pPr>
      <w:r>
        <w:rPr>
          <w:rFonts w:ascii="Arial" w:cs="Arial" w:eastAsia="Arial" w:hAnsi="Arial"/>
          <w:sz w:val="18"/>
          <w:szCs w:val="18"/>
          <w:color w:val="auto"/>
        </w:rPr>
        <w:t>This prospectus supplement and accompanying prospectus is part of a registration statement we filed with the SEC. We have incorporated exhibits into the registration statement of which this prospectus supplement and</w:t>
      </w:r>
    </w:p>
    <w:p>
      <w:pPr>
        <w:spacing w:after="0" w:line="103"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accompanying prospectus is a part. You should read the exhibits carefully for provisions that may be important to you. Neither we nor the placement agent authorized anyone to provide any information or to make any representations other than those contained in this prospectus supplement, the accompanying prospectus or in any free writing prospectus prepared by or on behalf of us or to which we have referred you. We take no responsibility for, and can provide no assurance as to the reliability of, any other information that others may give you. This prospectus supplement and accompanying prospectus is an offer to sell only the shares offered hereby, but only under the circumstances and in the jurisdictions where it is lawful to do so. The information contained in this prospectus supplement, the accompanying prospectus or in any applicable free writing prospectus is current only as of its date, regardless of its time of delivery.</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172085</wp:posOffset>
            </wp:positionV>
            <wp:extent cx="2075180" cy="7118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207518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Common Stock</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Preferred Stock</w:t>
      </w:r>
    </w:p>
    <w:p>
      <w:pPr>
        <w:jc w:val="center"/>
        <w:ind w:right="-239"/>
        <w:spacing w:after="0" w:line="230" w:lineRule="auto"/>
        <w:rPr>
          <w:sz w:val="20"/>
          <w:szCs w:val="20"/>
          <w:color w:val="auto"/>
        </w:rPr>
      </w:pPr>
      <w:r>
        <w:rPr>
          <w:rFonts w:ascii="Arial" w:cs="Arial" w:eastAsia="Arial" w:hAnsi="Arial"/>
          <w:sz w:val="22"/>
          <w:szCs w:val="22"/>
          <w:b w:val="1"/>
          <w:bCs w:val="1"/>
          <w:color w:val="auto"/>
        </w:rPr>
        <w:t>Debt Securities</w:t>
      </w:r>
    </w:p>
    <w:p>
      <w:pPr>
        <w:jc w:val="center"/>
        <w:ind w:right="-239"/>
        <w:spacing w:after="0" w:line="231" w:lineRule="auto"/>
        <w:rPr>
          <w:sz w:val="20"/>
          <w:szCs w:val="20"/>
          <w:color w:val="auto"/>
        </w:rPr>
      </w:pPr>
      <w:r>
        <w:rPr>
          <w:rFonts w:ascii="Arial" w:cs="Arial" w:eastAsia="Arial" w:hAnsi="Arial"/>
          <w:sz w:val="22"/>
          <w:szCs w:val="22"/>
          <w:b w:val="1"/>
          <w:bCs w:val="1"/>
          <w:color w:val="auto"/>
        </w:rPr>
        <w:t>Warrants</w:t>
      </w:r>
    </w:p>
    <w:p>
      <w:pPr>
        <w:jc w:val="center"/>
        <w:ind w:right="-239"/>
        <w:spacing w:after="0"/>
        <w:rPr>
          <w:sz w:val="20"/>
          <w:szCs w:val="20"/>
          <w:color w:val="auto"/>
        </w:rPr>
      </w:pPr>
      <w:r>
        <w:rPr>
          <w:rFonts w:ascii="Arial" w:cs="Arial" w:eastAsia="Arial" w:hAnsi="Arial"/>
          <w:sz w:val="22"/>
          <w:szCs w:val="22"/>
          <w:b w:val="1"/>
          <w:bCs w:val="1"/>
          <w:color w:val="auto"/>
        </w:rPr>
        <w:t>Units</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This prospectus relates to common stock, preferred stock, debt securities, warrants for debt or equity securities and units consisting of the foregoing that we may sell from time to time in one or more transactions. We will provide the specific terms and conditions of these transactions and the securities we may sell in supplements to this prospectus prepared in connection with each transaction. The applicable prospectus supplement will contain information, where applicable, as to other listings, if any, on The Nasdaq Global Market, or the NASDAQ, or any securities exchange of the securities covered by the prospectus supplement. Any such prospectus supplement may also add, update or change information in this prospectus. We may also authorize one or more free writing prospectuses to be provided to you in connection with these offerings. You should carefully read this prospectus, any applicable prospectus supplement and any related free writing prospectuses, as well as the documents incorporated by reference or deemed to be incorporated by reference into this prospectus, carefully before you invest. This prospectus may not be used to offer or sell securities unless accompanied by a prospectus supplement.</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traded on the NASDAQ under the symbol “ARCT.”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0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You should review carefully the risks and uncertainties referenced under the heading “</w:t>
      </w:r>
      <w:hyperlink w:anchor="page23">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3 of this prospectus and contained in our filings made with the Securities and Exchange Commission and the applicable prospectus supplement.</w:t>
      </w:r>
    </w:p>
    <w:p>
      <w:pPr>
        <w:spacing w:after="0" w:line="180" w:lineRule="exact"/>
        <w:rPr>
          <w:sz w:val="20"/>
          <w:szCs w:val="20"/>
          <w:color w:val="auto"/>
        </w:rPr>
      </w:pPr>
    </w:p>
    <w:p>
      <w:pPr>
        <w:ind w:left="200" w:right="120"/>
        <w:spacing w:after="0" w:line="293" w:lineRule="auto"/>
        <w:rPr>
          <w:sz w:val="20"/>
          <w:szCs w:val="20"/>
          <w:color w:val="auto"/>
        </w:rPr>
      </w:pPr>
      <w:r>
        <w:rPr>
          <w:rFonts w:ascii="Arial" w:cs="Arial" w:eastAsia="Arial" w:hAnsi="Arial"/>
          <w:sz w:val="16"/>
          <w:szCs w:val="16"/>
          <w:color w:val="auto"/>
        </w:rPr>
        <w:t>The securities may be sold directly by us to investors, through agents designated from time to time or to or through underwriters or dealers. For additional information on the methods of sale, you should refer to the section entitled “Plan of Distribution” in this prospectus. If any underwriters are involved in the sale of these securities with respect to which this prospectus is being delivered, the names of such underwriters and any applicable commissions or discounts and over-allotment options will be set forth in a prospectus supplement. The price to the public of such securities and the net proceeds that we expect to receive from such sale will also be set forth in a prospectus supplement. No securities may be sold without delivery of this prospectus and the applicable prospectus supplement describing the method and terms of the offering of such securities.</w:t>
      </w:r>
    </w:p>
    <w:p>
      <w:pPr>
        <w:spacing w:after="0" w:line="161" w:lineRule="exact"/>
        <w:rPr>
          <w:sz w:val="20"/>
          <w:szCs w:val="20"/>
          <w:color w:val="auto"/>
        </w:rPr>
      </w:pPr>
    </w:p>
    <w:p>
      <w:pPr>
        <w:ind w:left="200" w:right="1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209550</wp:posOffset>
            </wp:positionV>
            <wp:extent cx="14662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date of this prospectus is July 29, 2019.</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2240" w:type="dxa"/>
            <w:vAlign w:val="bottom"/>
            <w:tcBorders>
              <w:bottom w:val="single" w:sz="8" w:color="0000EE"/>
            </w:tcBorders>
            <w:gridSpan w:val="7"/>
          </w:tcPr>
          <w:p>
            <w:pPr>
              <w:spacing w:after="0" w:line="190"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ABOUT THIS PROSPECTUS</w:t>
              </w:r>
            </w:hyperlink>
          </w:p>
        </w:tc>
        <w:tc>
          <w:tcPr>
            <w:tcW w:w="6000" w:type="dxa"/>
            <w:vAlign w:val="bottom"/>
            <w:gridSpan w:val="8"/>
          </w:tcPr>
          <w:p>
            <w:pPr>
              <w:spacing w:after="0"/>
              <w:rPr>
                <w:sz w:val="16"/>
                <w:szCs w:val="16"/>
                <w:color w:val="auto"/>
              </w:rPr>
            </w:pPr>
          </w:p>
        </w:tc>
        <w:tc>
          <w:tcPr>
            <w:tcW w:w="274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8240" w:type="dxa"/>
            <w:vAlign w:val="bottom"/>
            <w:gridSpan w:val="1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PROSPECTUS SUMMARY</w:t>
              </w:r>
            </w:hyperlink>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RISK FACTORS</w:t>
              </w:r>
            </w:hyperlink>
          </w:p>
        </w:tc>
        <w:tc>
          <w:tcPr>
            <w:tcW w:w="820" w:type="dxa"/>
            <w:vAlign w:val="bottom"/>
            <w:tcBorders>
              <w:top w:val="single" w:sz="8" w:color="0000EE"/>
            </w:tcBorders>
            <w:gridSpan w:val="4"/>
          </w:tcPr>
          <w:p>
            <w:pPr>
              <w:spacing w:after="0"/>
              <w:rPr>
                <w:sz w:val="17"/>
                <w:szCs w:val="17"/>
                <w:color w:val="auto"/>
              </w:rPr>
            </w:pPr>
          </w:p>
        </w:tc>
        <w:tc>
          <w:tcPr>
            <w:tcW w:w="6160" w:type="dxa"/>
            <w:vAlign w:val="bottom"/>
            <w:gridSpan w:val="9"/>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240" w:type="dxa"/>
            <w:vAlign w:val="bottom"/>
            <w:gridSpan w:val="1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CAUTIONARY NOTE REGARDING FORWARD-LOOKING STATEMENTS</w:t>
              </w:r>
            </w:hyperlink>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7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USE OF PROCEEDS</w:t>
              </w:r>
            </w:hyperlink>
          </w:p>
        </w:tc>
        <w:tc>
          <w:tcPr>
            <w:tcW w:w="2460" w:type="dxa"/>
            <w:vAlign w:val="bottom"/>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DESCRIPTION OF CAPITAL STOCK WE MAY OFFER</w:t>
              </w:r>
            </w:hyperlink>
          </w:p>
        </w:tc>
        <w:tc>
          <w:tcPr>
            <w:tcW w:w="3980" w:type="dxa"/>
            <w:vAlign w:val="bottom"/>
            <w:gridSpan w:val="4"/>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240" w:type="dxa"/>
            <w:vAlign w:val="bottom"/>
            <w:gridSpan w:val="1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DEBT SECURITIES WE MAY OFFER</w:t>
              </w:r>
            </w:hyperlink>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WARRANTS WE MAY OFFER</w:t>
              </w:r>
            </w:hyperlink>
          </w:p>
        </w:tc>
        <w:tc>
          <w:tcPr>
            <w:tcW w:w="3840" w:type="dxa"/>
            <w:vAlign w:val="bottom"/>
            <w:gridSpan w:val="3"/>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UNITS WE MAY OFFER</w:t>
              </w:r>
            </w:hyperlink>
          </w:p>
        </w:tc>
        <w:tc>
          <w:tcPr>
            <w:tcW w:w="4380" w:type="dxa"/>
            <w:vAlign w:val="bottom"/>
            <w:gridSpan w:val="5"/>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PLAN OF DISTRIBUTION</w:t>
              </w:r>
            </w:hyperlink>
          </w:p>
        </w:tc>
        <w:tc>
          <w:tcPr>
            <w:tcW w:w="1340" w:type="dxa"/>
            <w:vAlign w:val="bottom"/>
            <w:tcBorders>
              <w:top w:val="single" w:sz="8" w:color="0000EE"/>
            </w:tcBorders>
            <w:gridSpan w:val="3"/>
          </w:tcPr>
          <w:p>
            <w:pPr>
              <w:spacing w:after="0"/>
              <w:rPr>
                <w:sz w:val="17"/>
                <w:szCs w:val="17"/>
                <w:color w:val="auto"/>
              </w:rPr>
            </w:pPr>
          </w:p>
        </w:tc>
        <w:tc>
          <w:tcPr>
            <w:tcW w:w="4840" w:type="dxa"/>
            <w:vAlign w:val="bottom"/>
            <w:gridSpan w:val="7"/>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4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LEGAL MATTERS</w:t>
              </w:r>
            </w:hyperlink>
          </w:p>
        </w:tc>
        <w:tc>
          <w:tcPr>
            <w:tcW w:w="6780" w:type="dxa"/>
            <w:vAlign w:val="bottom"/>
            <w:gridSpan w:val="12"/>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EXPERTS</w:t>
              </w:r>
            </w:hyperlink>
          </w:p>
        </w:tc>
        <w:tc>
          <w:tcPr>
            <w:tcW w:w="7460" w:type="dxa"/>
            <w:vAlign w:val="bottom"/>
            <w:gridSpan w:val="14"/>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82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WHERE YOU CAN FIND MORE INFORMATION</w:t>
              </w:r>
            </w:hyperlink>
          </w:p>
        </w:tc>
        <w:tc>
          <w:tcPr>
            <w:tcW w:w="4420" w:type="dxa"/>
            <w:vAlign w:val="bottom"/>
            <w:gridSpan w:val="6"/>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240" w:type="dxa"/>
            <w:vAlign w:val="bottom"/>
            <w:gridSpan w:val="1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INCORPORATION OF CERTAIN DOCUMENTS BY REFERENCE</w:t>
              </w:r>
            </w:hyperlink>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This prospectus is part of an automatic shelf registration statement on Form S-3 that we filed with the Securities and Exchange Commission, or the SEC, as a “well-known seasoned issuer” as defined in Rule 405 under the Securities Act of 1933, as amended, or the Securities Act, utilizing a “shelf” registration process. Under this shelf registration process, we may, from time to time, offer and sell common stock, preferred stock, debt securities, warrants for debt and equity securities and units consisting of the foregoing in one or more transactions.</w:t>
      </w:r>
    </w:p>
    <w:p>
      <w:pPr>
        <w:spacing w:after="0" w:line="171"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This prospectus only provides you with a general description of the securities we may sell in these transactions. Each time we sell any securities under this prospectus, we will provide a prospectus supplement that will contain specific information about the terms of that offering. The prospectus supplement also may add, update or change information contained in this prospectus. We may also authorize one or more free writing prospectuses to be provided to you that may contain material information relating to these offerings. This prospectus does not contain all of the information included in the registration statement we filed with the SEC. For further information about us or the securities offered hereby, you should carefully read this prospectus, any applicable prospectus supplement, any related free writing prospectuses, the information and documents incorporated herein by reference and the additional information under the heading “Where You Can Find Additional Information” before making an investment decision.</w:t>
      </w:r>
    </w:p>
    <w:p>
      <w:pPr>
        <w:spacing w:after="0" w:line="167"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any applicable prospectus supplement and any related free writing prospectuses that we may authorize to be provided to you. We have not authorized any other person to provide you with different information. If anyone provides you with different or inconsistent information, you should not rely on it. This prospectus and the accompanying supplement to this prospectus are not an offer to sell these securities and it is not soliciting an offer to buy these securities in any jurisdiction where the offer or sale is not permitted. You should assume that the information appearing in this prospectus, any applicable prospectus supplement or any related free writing prospectuses, as well as information we have previously filed with the SEC and incorporated by reference, is accurate only as of the date on the cover of those documents.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6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This prospectus may not be used to consummate sales of any of these securities unless it is accompanied by a prospectus supplement. To the extent there are inconsistencies between any prospectus supplement, this prospectus and/or any documents incorporated by reference, the document with the most recent date will control.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the terms the “Company,” “Arcturus Therapeutics,” “we,” “us” and “our” refer to Arcturus Therapeutics Holdings Inc., a Delaware corporation, and its predecessors and consolidated subsidiaries.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Arcturus Therapeutics is an RNA medicines company focused on significant opportunities in rare diseases with a current focus on liver and respiratory diseases. In addition to our internal mRNA platform, our proprietary lipid nanoparticle deliver system, LUNAR</w:t>
      </w:r>
      <w:r>
        <w:rPr>
          <w:rFonts w:ascii="Arial" w:cs="Arial" w:eastAsia="Arial" w:hAnsi="Arial"/>
          <w:sz w:val="15"/>
          <w:szCs w:val="15"/>
          <w:color w:val="auto"/>
        </w:rPr>
        <w:t>®</w:t>
      </w:r>
      <w:r>
        <w:rPr>
          <w:rFonts w:ascii="Arial" w:cs="Arial" w:eastAsia="Arial" w:hAnsi="Arial"/>
          <w:sz w:val="18"/>
          <w:szCs w:val="18"/>
          <w:color w:val="auto"/>
        </w:rPr>
        <w:t>, enables multiple nucleic acid medicines. We have deep expertise in the discovery and development of RNA medicines, including key experience in the production of RNA drug substance and nanoparticle-formulated drug product.</w:t>
      </w:r>
    </w:p>
    <w:p>
      <w:pPr>
        <w:spacing w:after="0" w:line="92" w:lineRule="exact"/>
        <w:rPr>
          <w:sz w:val="20"/>
          <w:szCs w:val="20"/>
          <w:color w:val="auto"/>
        </w:rPr>
      </w:pPr>
    </w:p>
    <w:p>
      <w:pPr>
        <w:ind w:left="1180" w:right="36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pipeline of seven drugs in late-stage discovery and early-stage development: two wholly-owned and five pharma partnered programs.</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developed a novel lipid-mediated delivery technology platform called LUNAR</w:t>
      </w:r>
      <w:r>
        <w:rPr>
          <w:rFonts w:ascii="Arial" w:cs="Arial" w:eastAsia="Arial" w:hAnsi="Arial"/>
          <w:sz w:val="15"/>
          <w:szCs w:val="15"/>
          <w:color w:val="auto"/>
        </w:rPr>
        <w:t>®</w:t>
      </w:r>
      <w:r>
        <w:rPr>
          <w:rFonts w:ascii="Arial" w:cs="Arial" w:eastAsia="Arial" w:hAnsi="Arial"/>
          <w:sz w:val="18"/>
          <w:szCs w:val="18"/>
          <w:color w:val="auto"/>
        </w:rPr>
        <w:t xml:space="preserve"> which draws from a growing library of over 150 proprietary lipids intended to enable safer and more efficient delivery of RNA medicines.</w:t>
      </w:r>
    </w:p>
    <w:p>
      <w:pPr>
        <w:spacing w:after="0" w:line="75"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wholly-owned, LUNAR</w:t>
      </w:r>
      <w:r>
        <w:rPr>
          <w:rFonts w:ascii="Arial" w:cs="Arial" w:eastAsia="Arial" w:hAnsi="Arial"/>
          <w:sz w:val="15"/>
          <w:szCs w:val="15"/>
          <w:color w:val="auto"/>
        </w:rPr>
        <w:t>®</w:t>
      </w:r>
      <w:r>
        <w:rPr>
          <w:rFonts w:ascii="Arial" w:cs="Arial" w:eastAsia="Arial" w:hAnsi="Arial"/>
          <w:sz w:val="18"/>
          <w:szCs w:val="18"/>
          <w:color w:val="auto"/>
        </w:rPr>
        <w:t xml:space="preserve"> and nucleic acid technologies are covered by a patent portfolio of 152 patents and patent applications, issued in the United States, China, Europe, Japan and other countries.</w:t>
      </w:r>
    </w:p>
    <w:p>
      <w:pPr>
        <w:spacing w:after="0" w:line="17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 Company’s principal executive offices are located in San Diego, California.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71" w:lineRule="exact"/>
        <w:rPr>
          <w:sz w:val="20"/>
          <w:szCs w:val="20"/>
          <w:color w:val="auto"/>
        </w:rPr>
      </w:pPr>
    </w:p>
    <w:p>
      <w:pPr>
        <w:ind w:left="200" w:right="60"/>
        <w:spacing w:after="0" w:line="312"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oligonucleotides—knockdown of genes overexpressed in disease; and (3) CRISPR, TALEN, zinc finger proteins, megatals and meganucleases—gene editing of errant genes.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Company was founded in 2013 under the name Alcobra Ltd. On November 15, 2017, Alcobra Ltd. acquired Arcturus Therapeutics, Inc. (“Arcturus Inc.”) pursuant to a merger between the companies. Immediately after giving effect to the merger, on November 15, 2017, Alcobra Ltd. changed its name to Arcturus Therapeutics Ltd. (“Arcturus Ltd.”).</w:t>
      </w:r>
    </w:p>
    <w:p>
      <w:pPr>
        <w:spacing w:after="0" w:line="181" w:lineRule="exact"/>
        <w:rPr>
          <w:sz w:val="20"/>
          <w:szCs w:val="20"/>
          <w:color w:val="auto"/>
        </w:rPr>
      </w:pPr>
    </w:p>
    <w:p>
      <w:pPr>
        <w:ind w:left="200" w:right="160"/>
        <w:spacing w:after="0" w:line="286" w:lineRule="auto"/>
        <w:rPr>
          <w:sz w:val="20"/>
          <w:szCs w:val="20"/>
          <w:color w:val="auto"/>
        </w:rPr>
      </w:pPr>
      <w:r>
        <w:rPr>
          <w:rFonts w:ascii="Arial" w:cs="Arial" w:eastAsia="Arial" w:hAnsi="Arial"/>
          <w:sz w:val="17"/>
          <w:szCs w:val="17"/>
          <w:color w:val="auto"/>
        </w:rPr>
        <w:t>On June 12, 2019, Arcturus Ltd. redomiciled as a Delaware corporation following the completion of the actions contemplated by an Exchange Agreement dated as of February 8, 2019, between Arcturus Ltd. and the Company. Following the redomiciliation, the Company became the successor issuer to Arcturus Ltd. and each of Arcturus Ltd. and Arcturus Inc. became wholly-owned subsidiaries of the Company.</w:t>
      </w:r>
    </w:p>
    <w:p>
      <w:pPr>
        <w:spacing w:after="0" w:line="166"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Our principal executive offices are located at 10628 Science Center Drive, Suite 250, San Diego, California 92121, and our telephone number is (858) 900-2660. Our website is located at https://arcturusrx.com. We do not incorporate by reference into this prospectus the information on, or accessible through, our website, and you should not consider it as part of this prospectus. Our common stock trades on The Nasdaq Global Market under the symbol “ARCT”.</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4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Investment in our securities involves risks. Prior to making a decision about investing in our securities, you should consider carefully all of the information included in and incorporated by reference or deemed to be incorporated by reference in this prospectus or the applicable prospectus supplement, including the risk factors incorporated by reference herein from our Annual Report on Form 10-K for the year ended December 31, 2018, filed with the SEC on March 18, 2019, as updated by annual, quarterly and other reports and documents we file with the SEC after the date of this prospectus and that are incorporated by reference herein or in the applicable prospectus supplement or any free writing prospectus.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 To the extent a particular offering implicates additional known material risks, we will include a discussion of those risks in the applicable prospectus supplement.</w:t>
      </w:r>
    </w:p>
    <w:p>
      <w:pPr>
        <w:spacing w:after="0" w:line="38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This prospectus and the documents incorporated by reference into this prospectus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131" w:lineRule="exact"/>
        <w:rPr>
          <w:sz w:val="20"/>
          <w:szCs w:val="20"/>
          <w:color w:val="auto"/>
        </w:rPr>
      </w:pPr>
    </w:p>
    <w:p>
      <w:pPr>
        <w:ind w:left="1180" w:right="34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75"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30" w:lineRule="exact"/>
        <w:rPr>
          <w:rFonts w:ascii="Arial" w:cs="Arial" w:eastAsia="Arial" w:hAnsi="Arial"/>
          <w:sz w:val="18"/>
          <w:szCs w:val="18"/>
          <w:color w:val="auto"/>
        </w:rPr>
      </w:pPr>
    </w:p>
    <w:p>
      <w:pPr>
        <w:ind w:left="1180" w:right="46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23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urge you to consider these factors carefully in evaluating the forward-looking statements contained in this prospectus and any prospectus supplement.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Unless we indicate otherwise in the applicable prospectus supplement, we anticipate that the net proceeds from the sale of the securities offered from time to time hereby will be used for general corporate purposes, including, without limitation, research and development and clinical development costs to support the advancement of our in-development drug candidates, activities in connection with the launch of our in-development drug candidates, including hiring and building inventory supply, making acquisitions of assets, businesses, companies or securities, capital expenditures and for working capital. When a particular series of securities is offered, the related prospectus supplement will set forth our intended use of the net proceeds we receive from the sale of the securities. Pending the application of the net proceeds, we may invest the proceeds in short-term, interest-bearing instruments or other investment-grade securities.</w:t>
      </w: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CAPITAL STOCK WE MAY OFFER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Our authorized capital stock consists of 30,000,000 shares of common stock, par value $0.001 per share, and 10,000,000 shares of preferred stock, par value $0.001 per share.</w:t>
      </w:r>
    </w:p>
    <w:p>
      <w:pPr>
        <w:spacing w:after="0" w:line="170"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The following description of our common stock and preferred stock, together with the additional information included in any applicable prospectus supplements or related free writing prospectuses, summarizes the material terms and provisions of these types of securities, but it is not complete. For the complete terms of our common stock and preferred stock, please refer to our certificate of incorporation and our bylaws that are incorporated by reference into the registration statement which includes this prospectus and, with respect to preferred stock, any certificate of designation that we may file with the SEC for a series of preferred stock we may designate, if any.</w:t>
      </w:r>
    </w:p>
    <w:p>
      <w:pPr>
        <w:spacing w:after="0" w:line="173"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We will describe in a prospectus supplement or related free writing prospectuses, the specific terms of any common stock or preferred stock we may offer pursuant to this prospectus. If indicated in a prospectus supplement, the terms of such common stock or preferred stock may differ from the terms described below.</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As of June 21, 2019, there were 13,118,844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spacing w:after="0" w:line="147"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and all shares of common stock to be issued under this prospectus will be, fully paid and non-assessable. The rights, preferences and privileges of holders of our common stock are subject to, and may be adversely affected by, the rights of the holders of shares of any of our outstanding preferred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listed under the symbol “ARCT” on the NASDAQ.</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transfer agent and registrar for our common stock is Continental Stock Transfer &amp; Trust.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We are authorized to issue a total of 10,000,000 shares of preferred stock. As of June 21, 2019, there were no shares of preferred stock issued and outstanding.</w:t>
      </w:r>
    </w:p>
    <w:p>
      <w:pPr>
        <w:spacing w:after="0" w:line="170" w:lineRule="exact"/>
        <w:rPr>
          <w:sz w:val="20"/>
          <w:szCs w:val="20"/>
          <w:color w:val="auto"/>
        </w:rPr>
      </w:pPr>
    </w:p>
    <w:p>
      <w:pPr>
        <w:ind w:left="200" w:right="520"/>
        <w:spacing w:after="0" w:line="264" w:lineRule="auto"/>
        <w:rPr>
          <w:sz w:val="20"/>
          <w:szCs w:val="20"/>
          <w:color w:val="auto"/>
        </w:rPr>
      </w:pPr>
      <w:r>
        <w:rPr>
          <w:rFonts w:ascii="Arial" w:cs="Arial" w:eastAsia="Arial" w:hAnsi="Arial"/>
          <w:sz w:val="18"/>
          <w:szCs w:val="18"/>
          <w:color w:val="auto"/>
        </w:rPr>
        <w:t>Preferred stock may be issued from time to time, in one or more series, as authorized by the board of directors, without stockholder approval. The prospectus supplement relating to the preferred shares offered thereby will include specific terms of any preferred shares offered, including, if applicable:</w:t>
      </w:r>
    </w:p>
    <w:p>
      <w:pPr>
        <w:spacing w:after="0" w:line="87" w:lineRule="exact"/>
        <w:rPr>
          <w:sz w:val="20"/>
          <w:szCs w:val="20"/>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 of the shares of preferred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number of shares of preferred stock offered, the liquidation preference per share and the offering price of the shares of preferred stock;</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dividend rate(s), period(s) and/or payment date(s) or method(s) of calculation thereof applicable to the shares of preferred stock;</w:t>
      </w:r>
    </w:p>
    <w:p>
      <w:pPr>
        <w:spacing w:after="0" w:line="142" w:lineRule="exact"/>
        <w:rPr>
          <w:rFonts w:ascii="Arial" w:cs="Arial" w:eastAsia="Arial" w:hAnsi="Arial"/>
          <w:sz w:val="17"/>
          <w:szCs w:val="17"/>
          <w:color w:val="auto"/>
        </w:rPr>
      </w:pPr>
    </w:p>
    <w:p>
      <w:pPr>
        <w:ind w:left="1180" w:right="280" w:hanging="436"/>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shares of preferred stock are cumulative or not and, if cumulative, the date from which dividends on the shares of preferred stock shall accumulate;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shares of preferred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provision for a sinking fund, if any, for the shares of preferred stock;</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provision for redemption or repurchase, if applicable, and any restrictions on our ability to exercise those redemption and repurchase rights of the shares of preferred stock;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listing of the shares of preferred stock on any securities exchange;</w:t>
      </w:r>
    </w:p>
    <w:p>
      <w:pPr>
        <w:spacing w:after="0" w:line="130" w:lineRule="exact"/>
        <w:rPr>
          <w:rFonts w:ascii="Arial" w:cs="Arial" w:eastAsia="Arial" w:hAnsi="Arial"/>
          <w:sz w:val="18"/>
          <w:szCs w:val="18"/>
          <w:color w:val="auto"/>
        </w:rPr>
      </w:pPr>
    </w:p>
    <w:p>
      <w:pPr>
        <w:ind w:left="1180" w:right="360" w:hanging="436"/>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shares of preferred stock will be convertible into common shares, including the conversion price (or manner of calculation thereof);</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discussion of federal income tax considerations applicable to the shares of preferred stock;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580" w:hanging="436"/>
        <w:spacing w:after="0" w:line="27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relative ranking and preferences of the shares of preferred stock as to dividend rights and rights upon liquidation, dissolution or winding up of our affairs;</w:t>
      </w:r>
    </w:p>
    <w:p>
      <w:pPr>
        <w:spacing w:after="0" w:line="75" w:lineRule="exact"/>
        <w:rPr>
          <w:rFonts w:ascii="Arial" w:cs="Arial" w:eastAsia="Arial" w:hAnsi="Arial"/>
          <w:sz w:val="18"/>
          <w:szCs w:val="18"/>
          <w:color w:val="auto"/>
        </w:rPr>
      </w:pPr>
    </w:p>
    <w:p>
      <w:pPr>
        <w:ind w:left="1180" w:right="240" w:hanging="436"/>
        <w:spacing w:after="0" w:line="308" w:lineRule="auto"/>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limitations on issuance of any series or class of shares of preferred stock ranking senior to or on a parity with such series or class of shares of preferred stock as to dividend rights and rights upon liquidation, dissolution or winding up of our affairs;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shares of preferred stock;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voting rights of such preferred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Possible Anti-Takeover Effects of Delaware Law and our Charter Documents</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Provisions of the Delaware General Corporation Law, or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11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 removal or otherwise or newly created directorships may be filled by the vote of the majority of directors then in office, although less than a quorum, or by a sole remaining director.</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w:t>
      </w:r>
    </w:p>
    <w:p>
      <w:pPr>
        <w:spacing w:after="0" w:line="117"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Size of Board and Vacancies</w:t>
      </w:r>
    </w:p>
    <w:p>
      <w:pPr>
        <w:spacing w:after="0" w:line="115" w:lineRule="exact"/>
        <w:rPr>
          <w:sz w:val="20"/>
          <w:szCs w:val="20"/>
          <w:color w:val="auto"/>
        </w:rPr>
      </w:pPr>
    </w:p>
    <w:p>
      <w:pPr>
        <w:jc w:val="both"/>
        <w:ind w:left="200" w:right="220"/>
        <w:spacing w:after="0" w:line="261" w:lineRule="auto"/>
        <w:rPr>
          <w:sz w:val="20"/>
          <w:szCs w:val="20"/>
          <w:color w:val="auto"/>
        </w:rPr>
      </w:pPr>
      <w:r>
        <w:rPr>
          <w:rFonts w:ascii="Arial" w:cs="Arial" w:eastAsia="Arial" w:hAnsi="Arial"/>
          <w:sz w:val="17"/>
          <w:szCs w:val="17"/>
          <w:color w:val="auto"/>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Special Stockholder Meetings</w:t>
      </w:r>
    </w:p>
    <w:p>
      <w:pPr>
        <w:spacing w:after="0" w:line="115" w:lineRule="exact"/>
        <w:rPr>
          <w:sz w:val="20"/>
          <w:szCs w:val="20"/>
          <w:color w:val="auto"/>
        </w:rPr>
      </w:pPr>
    </w:p>
    <w:p>
      <w:pPr>
        <w:ind w:left="200" w:right="40"/>
        <w:spacing w:after="0" w:line="261" w:lineRule="auto"/>
        <w:rPr>
          <w:sz w:val="20"/>
          <w:szCs w:val="20"/>
          <w:color w:val="auto"/>
        </w:rPr>
      </w:pPr>
      <w:r>
        <w:rPr>
          <w:rFonts w:ascii="Arial" w:cs="Arial" w:eastAsia="Arial" w:hAnsi="Arial"/>
          <w:sz w:val="17"/>
          <w:szCs w:val="17"/>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Requirements for Advance Notification of Stockholder Nominations and Proposals</w:t>
      </w:r>
    </w:p>
    <w:p>
      <w:pPr>
        <w:spacing w:after="0" w:line="115" w:lineRule="exact"/>
        <w:rPr>
          <w:sz w:val="20"/>
          <w:szCs w:val="20"/>
          <w:color w:val="auto"/>
        </w:rPr>
      </w:pPr>
    </w:p>
    <w:p>
      <w:pPr>
        <w:ind w:left="200" w:right="680"/>
        <w:spacing w:after="0" w:line="274" w:lineRule="auto"/>
        <w:rPr>
          <w:sz w:val="20"/>
          <w:szCs w:val="20"/>
          <w:color w:val="auto"/>
        </w:rPr>
      </w:pPr>
      <w:r>
        <w:rPr>
          <w:rFonts w:ascii="Arial" w:cs="Arial" w:eastAsia="Arial" w:hAnsi="Arial"/>
          <w:sz w:val="17"/>
          <w:szCs w:val="17"/>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115" w:lineRule="exact"/>
        <w:rPr>
          <w:sz w:val="20"/>
          <w:szCs w:val="20"/>
          <w:color w:val="auto"/>
        </w:rPr>
      </w:pPr>
    </w:p>
    <w:p>
      <w:pPr>
        <w:ind w:left="200" w:right="680"/>
        <w:spacing w:after="0" w:line="274" w:lineRule="auto"/>
        <w:rPr>
          <w:sz w:val="20"/>
          <w:szCs w:val="20"/>
          <w:color w:val="auto"/>
        </w:rPr>
      </w:pPr>
      <w:r>
        <w:rPr>
          <w:rFonts w:ascii="Arial" w:cs="Arial" w:eastAsia="Arial" w:hAnsi="Arial"/>
          <w:sz w:val="17"/>
          <w:szCs w:val="17"/>
          <w:color w:val="auto"/>
        </w:rPr>
        <w:t>The DGCL provides that stockholders are denied the right to cumulate votes in the election of directors unless our certificate of incorporation provides otherwise. Our amended and certificate of incorporation does not provide for cumulative voting.</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Authorized but Unissued Shares</w:t>
      </w:r>
    </w:p>
    <w:p>
      <w:pPr>
        <w:spacing w:after="0" w:line="115" w:lineRule="exact"/>
        <w:rPr>
          <w:sz w:val="20"/>
          <w:szCs w:val="20"/>
          <w:color w:val="auto"/>
        </w:rPr>
      </w:pPr>
    </w:p>
    <w:p>
      <w:pPr>
        <w:ind w:left="200"/>
        <w:spacing w:after="0" w:line="288" w:lineRule="auto"/>
        <w:rPr>
          <w:sz w:val="20"/>
          <w:szCs w:val="20"/>
          <w:color w:val="auto"/>
        </w:rPr>
      </w:pPr>
      <w:r>
        <w:rPr>
          <w:rFonts w:ascii="Arial" w:cs="Arial" w:eastAsia="Arial" w:hAnsi="Arial"/>
          <w:sz w:val="15"/>
          <w:szCs w:val="15"/>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Director Liability</w:t>
      </w:r>
    </w:p>
    <w:p>
      <w:pPr>
        <w:spacing w:after="0" w:line="115" w:lineRule="exact"/>
        <w:rPr>
          <w:sz w:val="20"/>
          <w:szCs w:val="20"/>
          <w:color w:val="auto"/>
        </w:rPr>
      </w:pPr>
    </w:p>
    <w:p>
      <w:pPr>
        <w:ind w:left="200" w:right="40"/>
        <w:spacing w:after="0" w:line="261" w:lineRule="auto"/>
        <w:rPr>
          <w:sz w:val="20"/>
          <w:szCs w:val="20"/>
          <w:color w:val="auto"/>
        </w:rPr>
      </w:pPr>
      <w:r>
        <w:rPr>
          <w:rFonts w:ascii="Arial" w:cs="Arial" w:eastAsia="Arial" w:hAnsi="Arial"/>
          <w:sz w:val="17"/>
          <w:szCs w:val="17"/>
          <w:color w:val="auto"/>
        </w:rPr>
        <w:t>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DESCRIPTION OF DEBT SECURITIES WE MAY OFFER</w:t>
      </w:r>
    </w:p>
    <w:p>
      <w:pPr>
        <w:spacing w:after="0" w:line="229" w:lineRule="exact"/>
        <w:rPr>
          <w:sz w:val="20"/>
          <w:szCs w:val="20"/>
          <w:color w:val="auto"/>
        </w:rPr>
      </w:pPr>
    </w:p>
    <w:p>
      <w:pPr>
        <w:ind w:left="200" w:right="40"/>
        <w:spacing w:after="0" w:line="252"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6" w:lineRule="auto"/>
        <w:rPr>
          <w:sz w:val="20"/>
          <w:szCs w:val="20"/>
          <w:color w:val="auto"/>
        </w:rPr>
      </w:pPr>
      <w:r>
        <w:rPr>
          <w:rFonts w:ascii="Arial" w:cs="Arial" w:eastAsia="Arial" w:hAnsi="Arial"/>
          <w:sz w:val="17"/>
          <w:szCs w:val="17"/>
          <w:color w:val="auto"/>
        </w:rPr>
        <w:t>We will issue any senior debt securities under the senior indenture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73"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7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Except as we may otherwise indicate, the terms of the senior indenture and the subordinated indenture are identical.</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spacing w:after="0" w:line="77" w:lineRule="exact"/>
        <w:rPr>
          <w:sz w:val="20"/>
          <w:szCs w:val="20"/>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130" w:lineRule="exact"/>
        <w:rPr>
          <w:rFonts w:ascii="Arial" w:cs="Arial" w:eastAsia="Arial" w:hAnsi="Arial"/>
          <w:sz w:val="18"/>
          <w:szCs w:val="18"/>
          <w:color w:val="auto"/>
        </w:rPr>
      </w:pPr>
    </w:p>
    <w:p>
      <w:pPr>
        <w:ind w:left="1180" w:right="280" w:hanging="436"/>
        <w:spacing w:after="0" w:line="308" w:lineRule="auto"/>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spacing w:after="0" w:line="51" w:lineRule="exact"/>
        <w:rPr>
          <w:rFonts w:ascii="Arial" w:cs="Arial" w:eastAsia="Arial" w:hAnsi="Arial"/>
          <w:sz w:val="17"/>
          <w:szCs w:val="17"/>
          <w:color w:val="auto"/>
        </w:rPr>
      </w:pPr>
    </w:p>
    <w:p>
      <w:pPr>
        <w:ind w:left="1180" w:right="240" w:hanging="436"/>
        <w:spacing w:after="0" w:line="342" w:lineRule="auto"/>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or provisional redemption provisions and the terms of those redemption provisions;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180" w:right="120" w:hanging="436"/>
        <w:spacing w:after="0" w:line="264"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provisions relating to modification of the terms of the security or the rights of the security holder;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indenture will restrict our ability or the ability of our subsidiaries to:</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pay dividends or make distributions in respect of our capital stock or the capital stock of our subsidiaries;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place restrictions on our subsidiaries’ ability to pay dividends, make distributions or transfer assets;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engage in transactions with stockholders or affiliates;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indenture will require us to maintain any interest coverage, fixed charge, cash flow-based, asset-based or other financial ratios;</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applicability of the provisions in the indenture on discharge;</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75" w:lineRule="exact"/>
        <w:rPr>
          <w:rFonts w:ascii="Arial" w:cs="Arial" w:eastAsia="Arial" w:hAnsi="Arial"/>
          <w:sz w:val="18"/>
          <w:szCs w:val="18"/>
          <w:color w:val="auto"/>
        </w:rPr>
      </w:pPr>
    </w:p>
    <w:p>
      <w:pPr>
        <w:ind w:left="1180" w:right="38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of payment of debt securities if other than U.S. dollars and the manner of determining the equivalent amount in U.S. dollars; and</w:t>
      </w:r>
    </w:p>
    <w:p>
      <w:pPr>
        <w:spacing w:after="0" w:line="75" w:lineRule="exact"/>
        <w:rPr>
          <w:rFonts w:ascii="Arial" w:cs="Arial" w:eastAsia="Arial" w:hAnsi="Arial"/>
          <w:sz w:val="18"/>
          <w:szCs w:val="18"/>
          <w:color w:val="auto"/>
        </w:rPr>
      </w:pPr>
    </w:p>
    <w:p>
      <w:pPr>
        <w:ind w:left="1180" w:right="200" w:hanging="436"/>
        <w:spacing w:after="0" w:line="264"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spacing w:after="0" w:line="181" w:lineRule="exact"/>
        <w:rPr>
          <w:sz w:val="20"/>
          <w:szCs w:val="20"/>
          <w:color w:val="auto"/>
        </w:rPr>
      </w:pPr>
    </w:p>
    <w:p>
      <w:pPr>
        <w:ind w:left="200" w:right="460"/>
        <w:spacing w:after="0" w:line="286" w:lineRule="auto"/>
        <w:rPr>
          <w:sz w:val="20"/>
          <w:szCs w:val="20"/>
          <w:color w:val="auto"/>
        </w:rPr>
      </w:pPr>
      <w:r>
        <w:rPr>
          <w:rFonts w:ascii="Arial" w:cs="Arial" w:eastAsia="Arial" w:hAnsi="Arial"/>
          <w:sz w:val="17"/>
          <w:szCs w:val="17"/>
          <w:color w:val="auto"/>
        </w:rPr>
        <w:t>U.S. federal income tax consequences applicable to debt securities sold at an original issue discount will be described in the applicable prospectus supplement. In addition, U.S. federal income tax or other consequences applicable to any debt securities which are denominated in a currency or currency unit other than U.S. dollars may be described in the applicable prospectus supplement.</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Conversion or Exchange Rights</w:t>
      </w:r>
    </w:p>
    <w:p>
      <w:pPr>
        <w:spacing w:after="0" w:line="121" w:lineRule="exact"/>
        <w:rPr>
          <w:sz w:val="20"/>
          <w:szCs w:val="20"/>
          <w:color w:val="auto"/>
        </w:rPr>
      </w:pPr>
    </w:p>
    <w:p>
      <w:pPr>
        <w:ind w:left="200" w:right="120"/>
        <w:spacing w:after="0" w:line="302" w:lineRule="auto"/>
        <w:rPr>
          <w:sz w:val="20"/>
          <w:szCs w:val="20"/>
          <w:color w:val="auto"/>
        </w:rPr>
      </w:pPr>
      <w:r>
        <w:rPr>
          <w:rFonts w:ascii="Arial" w:cs="Arial" w:eastAsia="Arial" w:hAnsi="Arial"/>
          <w:sz w:val="15"/>
          <w:szCs w:val="15"/>
          <w:color w:val="auto"/>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Consolidation, Merger or Sale</w:t>
      </w:r>
    </w:p>
    <w:p>
      <w:pPr>
        <w:spacing w:after="0" w:line="121" w:lineRule="exact"/>
        <w:rPr>
          <w:sz w:val="20"/>
          <w:szCs w:val="20"/>
          <w:color w:val="auto"/>
        </w:rPr>
      </w:pPr>
    </w:p>
    <w:p>
      <w:pPr>
        <w:ind w:left="200" w:right="60"/>
        <w:spacing w:after="0" w:line="253"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acquiror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Events of Default under the Indenture</w:t>
      </w:r>
    </w:p>
    <w:p>
      <w:pPr>
        <w:spacing w:after="0" w:line="121" w:lineRule="exact"/>
        <w:rPr>
          <w:sz w:val="20"/>
          <w:szCs w:val="20"/>
          <w:color w:val="auto"/>
        </w:rPr>
      </w:pPr>
    </w:p>
    <w:p>
      <w:pPr>
        <w:ind w:left="200" w:right="500"/>
        <w:spacing w:after="0" w:line="274"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following are events of default under the indentures with respect to any series of debt securities that we may issue:</w:t>
      </w:r>
    </w:p>
    <w:p>
      <w:pPr>
        <w:spacing w:after="0" w:line="80"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fail to pay interest when due and payable and our failure continues for 90 days and the time for payment has not been extended;</w:t>
      </w:r>
    </w:p>
    <w:p>
      <w:pPr>
        <w:spacing w:after="0" w:line="128" w:lineRule="exact"/>
        <w:rPr>
          <w:rFonts w:ascii="Arial" w:cs="Arial" w:eastAsia="Arial" w:hAnsi="Arial"/>
          <w:sz w:val="17"/>
          <w:szCs w:val="17"/>
          <w:color w:val="auto"/>
        </w:rPr>
      </w:pPr>
    </w:p>
    <w:p>
      <w:pPr>
        <w:ind w:left="1060" w:hanging="316"/>
        <w:spacing w:after="0"/>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fail to pay the principal, premium or sinking fund payment, if any, when due and payable and the time for payment has not been extended;</w:t>
      </w:r>
    </w:p>
    <w:p>
      <w:pPr>
        <w:spacing w:after="0" w:line="140" w:lineRule="exact"/>
        <w:rPr>
          <w:rFonts w:ascii="Arial" w:cs="Arial" w:eastAsia="Arial" w:hAnsi="Arial"/>
          <w:sz w:val="16"/>
          <w:szCs w:val="16"/>
          <w:color w:val="auto"/>
        </w:rPr>
      </w:pPr>
    </w:p>
    <w:p>
      <w:pPr>
        <w:jc w:val="both"/>
        <w:ind w:left="1060" w:right="180" w:hanging="316"/>
        <w:spacing w:after="0" w:line="312" w:lineRule="auto"/>
        <w:tabs>
          <w:tab w:leader="none" w:pos="10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spacing w:after="0" w:line="56" w:lineRule="exact"/>
        <w:rPr>
          <w:rFonts w:ascii="Arial" w:cs="Arial" w:eastAsia="Arial" w:hAnsi="Arial"/>
          <w:sz w:val="15"/>
          <w:szCs w:val="15"/>
          <w:color w:val="auto"/>
        </w:rPr>
      </w:pPr>
    </w:p>
    <w:p>
      <w:pPr>
        <w:ind w:left="1060" w:hanging="316"/>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specified events of bankruptcy, insolvency or reorganization occur.</w:t>
      </w:r>
    </w:p>
    <w:p>
      <w:pPr>
        <w:spacing w:after="0" w:line="223" w:lineRule="exact"/>
        <w:rPr>
          <w:sz w:val="20"/>
          <w:szCs w:val="20"/>
          <w:color w:val="auto"/>
        </w:rPr>
      </w:pPr>
    </w:p>
    <w:p>
      <w:pPr>
        <w:ind w:left="200" w:right="40"/>
        <w:spacing w:after="0" w:line="294" w:lineRule="auto"/>
        <w:rPr>
          <w:sz w:val="20"/>
          <w:szCs w:val="20"/>
          <w:color w:val="auto"/>
        </w:rPr>
      </w:pPr>
      <w:r>
        <w:rPr>
          <w:rFonts w:ascii="Arial" w:cs="Arial" w:eastAsia="Arial" w:hAnsi="Arial"/>
          <w:sz w:val="15"/>
          <w:szCs w:val="15"/>
          <w:color w:val="auto"/>
        </w:rPr>
        <w:t>We will describe in each applicable prospectus supplement any additional events of default relating to the relevant series of debt securities. 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spacing w:after="0" w:line="164" w:lineRule="exact"/>
        <w:rPr>
          <w:sz w:val="20"/>
          <w:szCs w:val="20"/>
          <w:color w:val="auto"/>
        </w:rPr>
      </w:pPr>
    </w:p>
    <w:p>
      <w:pPr>
        <w:ind w:left="200"/>
        <w:spacing w:after="0" w:line="261"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186" w:lineRule="exact"/>
        <w:rPr>
          <w:sz w:val="20"/>
          <w:szCs w:val="20"/>
          <w:color w:val="auto"/>
        </w:rPr>
      </w:pPr>
    </w:p>
    <w:p>
      <w:pPr>
        <w:ind w:left="200" w:right="40"/>
        <w:spacing w:after="0" w:line="297" w:lineRule="auto"/>
        <w:rPr>
          <w:sz w:val="20"/>
          <w:szCs w:val="20"/>
          <w:color w:val="auto"/>
        </w:rPr>
      </w:pPr>
      <w:r>
        <w:rPr>
          <w:rFonts w:ascii="Arial" w:cs="Arial" w:eastAsia="Arial" w:hAnsi="Arial"/>
          <w:sz w:val="15"/>
          <w:szCs w:val="15"/>
          <w:color w:val="auto"/>
        </w:rPr>
        <w:t>Subject to the terms of the applicable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67"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direction so given by the holders is not in conflict with any law or the applicable indenture; and</w:t>
      </w:r>
    </w:p>
    <w:p>
      <w:pPr>
        <w:spacing w:after="0" w:line="128" w:lineRule="exact"/>
        <w:rPr>
          <w:rFonts w:ascii="Arial" w:cs="Arial" w:eastAsia="Arial" w:hAnsi="Arial"/>
          <w:sz w:val="17"/>
          <w:szCs w:val="17"/>
          <w:color w:val="auto"/>
        </w:rPr>
      </w:pPr>
    </w:p>
    <w:p>
      <w:pPr>
        <w:ind w:left="1060" w:right="120" w:hanging="316"/>
        <w:spacing w:after="0" w:line="274"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subject to its duties under the Trust Indenture Act, the trustee need not take any action that might involve it in personal liability or might be unduly prejudicial to the holders not involved in the proceeding.</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80"/>
        <w:spacing w:after="0" w:line="255" w:lineRule="auto"/>
        <w:rPr>
          <w:sz w:val="20"/>
          <w:szCs w:val="20"/>
          <w:color w:val="auto"/>
        </w:rPr>
      </w:pPr>
      <w:r>
        <w:rPr>
          <w:rFonts w:ascii="Arial" w:cs="Arial" w:eastAsia="Arial" w:hAnsi="Arial"/>
          <w:sz w:val="17"/>
          <w:szCs w:val="17"/>
          <w:color w:val="auto"/>
        </w:rPr>
        <w:t>The indentures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indentures, the trustee will be entitled to indemnification against all costs, expenses and liabilities that would be incurred by taking or not taking such action.</w:t>
      </w:r>
    </w:p>
    <w:p>
      <w:pPr>
        <w:spacing w:after="0" w:line="191" w:lineRule="exact"/>
        <w:rPr>
          <w:sz w:val="20"/>
          <w:szCs w:val="20"/>
          <w:color w:val="auto"/>
        </w:rPr>
      </w:pPr>
    </w:p>
    <w:p>
      <w:pPr>
        <w:ind w:left="200" w:right="180"/>
        <w:spacing w:after="0" w:line="274" w:lineRule="auto"/>
        <w:rPr>
          <w:sz w:val="20"/>
          <w:szCs w:val="20"/>
          <w:color w:val="auto"/>
        </w:rPr>
      </w:pPr>
      <w:r>
        <w:rPr>
          <w:rFonts w:ascii="Arial" w:cs="Arial" w:eastAsia="Arial" w:hAnsi="Arial"/>
          <w:sz w:val="17"/>
          <w:szCs w:val="17"/>
          <w:color w:val="auto"/>
        </w:rPr>
        <w:t>A holder of the debt securities of any series will have the right to institute a proceeding under the indentures or to appoint a receiver or trustee, or to seek other remedies only if:</w:t>
      </w:r>
    </w:p>
    <w:p>
      <w:pPr>
        <w:spacing w:after="0" w:line="80"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holder has given written notice to the trustee of a continuing event of default with respect to that series;</w:t>
      </w:r>
    </w:p>
    <w:p>
      <w:pPr>
        <w:spacing w:after="0" w:line="128" w:lineRule="exact"/>
        <w:rPr>
          <w:rFonts w:ascii="Arial" w:cs="Arial" w:eastAsia="Arial" w:hAnsi="Arial"/>
          <w:sz w:val="17"/>
          <w:szCs w:val="17"/>
          <w:color w:val="auto"/>
        </w:rPr>
      </w:pPr>
    </w:p>
    <w:p>
      <w:pPr>
        <w:ind w:left="1060" w:right="420" w:hanging="316"/>
        <w:spacing w:after="0" w:line="261"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holders of at least 25% in aggregate principal amount of the outstanding debt securities of that series have made a written request and such holders have offered reasonable indemnity to the trustee or security satisfactory to it against any loss, liability or expense to be incurred in compliance with instituting the proceeding as trustee; and</w:t>
      </w:r>
    </w:p>
    <w:p>
      <w:pPr>
        <w:spacing w:after="0" w:line="91" w:lineRule="exact"/>
        <w:rPr>
          <w:rFonts w:ascii="Arial" w:cs="Arial" w:eastAsia="Arial" w:hAnsi="Arial"/>
          <w:sz w:val="17"/>
          <w:szCs w:val="17"/>
          <w:color w:val="auto"/>
        </w:rPr>
      </w:pPr>
    </w:p>
    <w:p>
      <w:pPr>
        <w:ind w:left="1060" w:right="240" w:hanging="316"/>
        <w:spacing w:after="0" w:line="274"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175" w:lineRule="exact"/>
        <w:rPr>
          <w:sz w:val="20"/>
          <w:szCs w:val="20"/>
          <w:color w:val="auto"/>
        </w:rPr>
      </w:pPr>
    </w:p>
    <w:p>
      <w:pPr>
        <w:ind w:left="200" w:right="140"/>
        <w:spacing w:after="0" w:line="274" w:lineRule="auto"/>
        <w:rPr>
          <w:sz w:val="20"/>
          <w:szCs w:val="20"/>
          <w:color w:val="auto"/>
        </w:rPr>
      </w:pPr>
      <w:r>
        <w:rPr>
          <w:rFonts w:ascii="Arial" w:cs="Arial" w:eastAsia="Arial" w:hAnsi="Arial"/>
          <w:sz w:val="17"/>
          <w:szCs w:val="17"/>
          <w:color w:val="auto"/>
        </w:rPr>
        <w:t>These limitations do not apply to a suit instituted by a holder of debt securities if we default in the payment of the principal, premium, if any, or interest on, the debt securities.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will periodically file statements with the trustee regarding our compliance with specified covenants in the indentures.</w:t>
      </w:r>
    </w:p>
    <w:p>
      <w:pPr>
        <w:spacing w:after="0" w:line="223" w:lineRule="exact"/>
        <w:rPr>
          <w:sz w:val="20"/>
          <w:szCs w:val="20"/>
          <w:color w:val="auto"/>
        </w:rPr>
      </w:pPr>
    </w:p>
    <w:p>
      <w:pPr>
        <w:ind w:left="200" w:right="40"/>
        <w:spacing w:after="0" w:line="274" w:lineRule="auto"/>
        <w:rPr>
          <w:sz w:val="20"/>
          <w:szCs w:val="20"/>
          <w:color w:val="auto"/>
        </w:rPr>
      </w:pPr>
      <w:r>
        <w:rPr>
          <w:rFonts w:ascii="Arial" w:cs="Arial" w:eastAsia="Arial" w:hAnsi="Arial"/>
          <w:sz w:val="16"/>
          <w:szCs w:val="16"/>
          <w:color w:val="auto"/>
        </w:rPr>
        <w:t>The indentures provide that if a default occurs and is continuing and is actually known to a responsible officer of the trustee, the trustee must mail to each holder notice of the default within 45 days after it occurs, unless such default has been cured. Except in the case of a default in the payment of principal or premium of, or interest on, any debt security or certain other defaults specified in an indenture, the trustee shall be protected in withholding such notice if and so long as the board of directors, the executive committee or a trust committee of directors, or responsible officers of the trustee, in good faith determine that withholding notice is in the best interests of holders of the relevant series of debt securities.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Modification of Indenture; Waiver</w:t>
      </w:r>
    </w:p>
    <w:p>
      <w:pPr>
        <w:spacing w:after="0" w:line="121" w:lineRule="exact"/>
        <w:rPr>
          <w:sz w:val="20"/>
          <w:szCs w:val="20"/>
          <w:color w:val="auto"/>
        </w:rPr>
      </w:pPr>
    </w:p>
    <w:p>
      <w:pPr>
        <w:ind w:left="200" w:right="160"/>
        <w:spacing w:after="0" w:line="274" w:lineRule="auto"/>
        <w:rPr>
          <w:sz w:val="20"/>
          <w:szCs w:val="20"/>
          <w:color w:val="auto"/>
        </w:rPr>
      </w:pPr>
      <w:r>
        <w:rPr>
          <w:rFonts w:ascii="Arial" w:cs="Arial" w:eastAsia="Arial" w:hAnsi="Arial"/>
          <w:sz w:val="17"/>
          <w:szCs w:val="17"/>
          <w:color w:val="auto"/>
        </w:rPr>
        <w:t>Subject to the terms of the indenture for any series of debt securities that we may issue, we and the trustee may change an indenture without the consent of any holders with respect to the following specific matters:</w:t>
      </w:r>
    </w:p>
    <w:p>
      <w:pPr>
        <w:spacing w:after="0" w:line="80"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fix any ambiguity, defect or inconsistency in the indenture;</w:t>
      </w:r>
    </w:p>
    <w:p>
      <w:pPr>
        <w:spacing w:after="0" w:line="128" w:lineRule="exact"/>
        <w:rPr>
          <w:rFonts w:ascii="Arial" w:cs="Arial" w:eastAsia="Arial" w:hAnsi="Arial"/>
          <w:sz w:val="17"/>
          <w:szCs w:val="17"/>
          <w:color w:val="auto"/>
        </w:rPr>
      </w:pPr>
    </w:p>
    <w:p>
      <w:pPr>
        <w:ind w:left="1060" w:hanging="316"/>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comply with the provisions described above under “-Consolidation, Merger or Sale”;</w:t>
      </w:r>
    </w:p>
    <w:p>
      <w:pPr>
        <w:spacing w:after="0" w:line="128" w:lineRule="exact"/>
        <w:rPr>
          <w:rFonts w:ascii="Arial" w:cs="Arial" w:eastAsia="Arial" w:hAnsi="Arial"/>
          <w:sz w:val="17"/>
          <w:szCs w:val="17"/>
          <w:color w:val="auto"/>
        </w:rPr>
      </w:pPr>
    </w:p>
    <w:p>
      <w:pPr>
        <w:ind w:left="1060" w:hanging="316"/>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128" w:lineRule="exact"/>
        <w:rPr>
          <w:rFonts w:ascii="Arial" w:cs="Arial" w:eastAsia="Arial" w:hAnsi="Arial"/>
          <w:sz w:val="17"/>
          <w:szCs w:val="17"/>
          <w:color w:val="auto"/>
        </w:rPr>
      </w:pPr>
    </w:p>
    <w:p>
      <w:pPr>
        <w:ind w:left="1060" w:right="140" w:hanging="316"/>
        <w:spacing w:after="0" w:line="274"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add to, delete from or revise the conditions, limitations and restrictions on the authorized amount, terms or purposes of issue, authentication and delivery of debt securities, as set forth in such indenture;</w:t>
      </w:r>
    </w:p>
    <w:p>
      <w:pPr>
        <w:spacing w:after="0" w:line="80" w:lineRule="exact"/>
        <w:rPr>
          <w:rFonts w:ascii="Arial" w:cs="Arial" w:eastAsia="Arial" w:hAnsi="Arial"/>
          <w:sz w:val="17"/>
          <w:szCs w:val="17"/>
          <w:color w:val="auto"/>
        </w:rPr>
      </w:pPr>
    </w:p>
    <w:p>
      <w:pPr>
        <w:ind w:left="1060" w:right="100" w:hanging="316"/>
        <w:spacing w:after="0" w:line="261"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p>
      <w:pPr>
        <w:spacing w:after="0" w:line="91" w:lineRule="exact"/>
        <w:rPr>
          <w:rFonts w:ascii="Arial" w:cs="Arial" w:eastAsia="Arial" w:hAnsi="Arial"/>
          <w:sz w:val="17"/>
          <w:szCs w:val="17"/>
          <w:color w:val="auto"/>
        </w:rPr>
      </w:pPr>
    </w:p>
    <w:p>
      <w:pPr>
        <w:ind w:left="1060" w:hanging="316"/>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hereunder by a successor trustee;</w:t>
      </w:r>
    </w:p>
    <w:p>
      <w:pPr>
        <w:spacing w:after="0" w:line="128" w:lineRule="exact"/>
        <w:rPr>
          <w:rFonts w:ascii="Arial" w:cs="Arial" w:eastAsia="Arial" w:hAnsi="Arial"/>
          <w:sz w:val="17"/>
          <w:szCs w:val="17"/>
          <w:color w:val="auto"/>
        </w:rPr>
      </w:pPr>
    </w:p>
    <w:p>
      <w:pPr>
        <w:ind w:left="1060" w:right="360" w:hanging="316"/>
        <w:spacing w:after="0" w:line="274"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certificated debt securities and to make all appropriate changes for such purpose;</w:t>
      </w:r>
    </w:p>
    <w:p>
      <w:pPr>
        <w:spacing w:after="0" w:line="80" w:lineRule="exact"/>
        <w:rPr>
          <w:rFonts w:ascii="Arial" w:cs="Arial" w:eastAsia="Arial" w:hAnsi="Arial"/>
          <w:sz w:val="17"/>
          <w:szCs w:val="17"/>
          <w:color w:val="auto"/>
        </w:rPr>
      </w:pPr>
    </w:p>
    <w:p>
      <w:pPr>
        <w:ind w:left="1060" w:hanging="316"/>
        <w:spacing w:after="0" w:line="261"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add such new covenants, restrictions, conditions or provisions for the protection of the holders, and to make the occurrence, or the occurrence and the continuance, of a default in any such additional covenants, restrictions, conditions or provisions an event of default or to surrender any right or power conferred to us in the indenture; or</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hanging="436"/>
        <w:spacing w:after="0" w:line="297" w:lineRule="auto"/>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change anything that does not materially adversely affect the interests of any holder of debt securities of any series in any material respect; provided that any amendment made solely to conform the provisions of the indenture to the corresponding description of the debt securities contained in the applicable prospectus or prospectus supplement shall be deemed not to adversely affect the interests of the holders of such debt securities; provided further, that in connection with any such amendment we will provide the trustee with an officers’ certificate certifying that such amendment will not adversely affect the rights or interests of the holders of such debt securities.</w:t>
      </w:r>
    </w:p>
    <w:p>
      <w:pPr>
        <w:spacing w:after="0" w:line="158"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only make the following changes with the consent of each holder of any outstanding debt securities affected:</w:t>
      </w:r>
    </w:p>
    <w:p>
      <w:pPr>
        <w:spacing w:after="0" w:line="92" w:lineRule="exact"/>
        <w:rPr>
          <w:sz w:val="20"/>
          <w:szCs w:val="20"/>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w:t>
      </w:r>
    </w:p>
    <w:p>
      <w:pPr>
        <w:spacing w:after="0" w:line="75"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changing any of our obligations to pay additional amounts;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reducing the amount of principal of an original issue discount security or any other note payable upon acceleration of the maturity thereof;</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changing the currency in which any note or any premium or interest is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impairing the right to enforce any payment on or with respect to any note;</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adversely changing the right to convert or exchange, including decreasing the conversion rate or increasing the conversion price of, such note, if applicable;</w:t>
      </w:r>
    </w:p>
    <w:p>
      <w:pPr>
        <w:spacing w:after="0" w:line="75"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the subordinated indenture, modifying the subordination provisions in a manner adverse to the holders of the subordinated debt securities;</w:t>
      </w:r>
    </w:p>
    <w:p>
      <w:pPr>
        <w:spacing w:after="0" w:line="75"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debt securities are secured, changing the terms and conditions pursuant to which the debt securities are secured in a manner adverse to the holders of the secured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requirements contained in the applicable indenture for quorum or voting;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changing any of our obligations to maintain an office or agency in the places and for the purposes required by the indentures; or</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modifying any of the above provisions set forth in this paragraph.</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Discharge</w:t>
      </w:r>
    </w:p>
    <w:p>
      <w:pPr>
        <w:spacing w:after="0" w:line="121"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Each indenture provides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spacing w:after="0" w:line="87" w:lineRule="exact"/>
        <w:rPr>
          <w:sz w:val="20"/>
          <w:szCs w:val="20"/>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80"/>
        <w:spacing w:after="0" w:line="274" w:lineRule="auto"/>
        <w:rPr>
          <w:sz w:val="20"/>
          <w:szCs w:val="20"/>
          <w:color w:val="auto"/>
        </w:rPr>
      </w:pPr>
      <w:r>
        <w:rPr>
          <w:rFonts w:ascii="Arial" w:cs="Arial" w:eastAsia="Arial" w:hAnsi="Arial"/>
          <w:sz w:val="17"/>
          <w:szCs w:val="17"/>
          <w:color w:val="auto"/>
        </w:rPr>
        <w:t>In order to exercise our rights to be discharged, we must deposit with the trustee money or government obligations sufficient to pay all the principal of, and any premium and interest on, the debt securities of the series on the dates payments are due.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Form, Exchange and Transfer</w:t>
      </w:r>
    </w:p>
    <w:p>
      <w:pPr>
        <w:spacing w:after="0" w:line="121" w:lineRule="exact"/>
        <w:rPr>
          <w:sz w:val="20"/>
          <w:szCs w:val="20"/>
          <w:color w:val="auto"/>
        </w:rPr>
      </w:pPr>
    </w:p>
    <w:p>
      <w:pPr>
        <w:ind w:left="200" w:right="60"/>
        <w:spacing w:after="0" w:line="257" w:lineRule="auto"/>
        <w:rPr>
          <w:sz w:val="20"/>
          <w:szCs w:val="20"/>
          <w:color w:val="auto"/>
        </w:rPr>
      </w:pPr>
      <w:r>
        <w:rPr>
          <w:rFonts w:ascii="Arial" w:cs="Arial" w:eastAsia="Arial" w:hAnsi="Arial"/>
          <w:sz w:val="17"/>
          <w:szCs w:val="17"/>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9" w:lineRule="exact"/>
        <w:rPr>
          <w:sz w:val="20"/>
          <w:szCs w:val="20"/>
          <w:color w:val="auto"/>
        </w:rPr>
      </w:pPr>
    </w:p>
    <w:p>
      <w:pPr>
        <w:jc w:val="both"/>
        <w:ind w:left="200" w:right="540"/>
        <w:spacing w:after="0" w:line="261" w:lineRule="auto"/>
        <w:rPr>
          <w:sz w:val="20"/>
          <w:szCs w:val="20"/>
          <w:color w:val="auto"/>
        </w:rPr>
      </w:pPr>
      <w:r>
        <w:rPr>
          <w:rFonts w:ascii="Arial" w:cs="Arial" w:eastAsia="Arial" w:hAnsi="Arial"/>
          <w:sz w:val="17"/>
          <w:szCs w:val="17"/>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6" w:lineRule="exact"/>
        <w:rPr>
          <w:sz w:val="20"/>
          <w:szCs w:val="20"/>
          <w:color w:val="auto"/>
        </w:rPr>
      </w:pPr>
    </w:p>
    <w:p>
      <w:pPr>
        <w:ind w:left="200" w:right="120"/>
        <w:spacing w:after="0" w:line="274"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9" w:lineRule="exact"/>
        <w:rPr>
          <w:sz w:val="20"/>
          <w:szCs w:val="20"/>
          <w:color w:val="auto"/>
        </w:rPr>
      </w:pPr>
    </w:p>
    <w:p>
      <w:pPr>
        <w:jc w:val="both"/>
        <w:ind w:left="200"/>
        <w:spacing w:after="0" w:line="312" w:lineRule="auto"/>
        <w:rPr>
          <w:sz w:val="20"/>
          <w:szCs w:val="20"/>
          <w:color w:val="auto"/>
        </w:rPr>
      </w:pPr>
      <w:r>
        <w:rPr>
          <w:rFonts w:ascii="Arial" w:cs="Arial" w:eastAsia="Arial" w:hAnsi="Arial"/>
          <w:sz w:val="15"/>
          <w:szCs w:val="15"/>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If we elect to redeem the debt securities of any series, we will not be required to:</w:t>
      </w:r>
    </w:p>
    <w:p>
      <w:pPr>
        <w:spacing w:after="0" w:line="129" w:lineRule="exact"/>
        <w:rPr>
          <w:sz w:val="20"/>
          <w:szCs w:val="20"/>
          <w:color w:val="auto"/>
        </w:rPr>
      </w:pPr>
    </w:p>
    <w:p>
      <w:pPr>
        <w:ind w:left="1060" w:right="20" w:hanging="316"/>
        <w:spacing w:after="0" w:line="261"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91" w:lineRule="exact"/>
        <w:rPr>
          <w:rFonts w:ascii="Arial" w:cs="Arial" w:eastAsia="Arial" w:hAnsi="Arial"/>
          <w:sz w:val="17"/>
          <w:szCs w:val="17"/>
          <w:color w:val="auto"/>
        </w:rPr>
      </w:pPr>
    </w:p>
    <w:p>
      <w:pPr>
        <w:ind w:left="1060" w:right="220" w:hanging="316"/>
        <w:spacing w:after="0" w:line="274"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register the transfer of or exchange any debt securities so selected for redemption, in whole or in part, except the unredeemed portion of any debt securities we are redeeming in part.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Information Concerning the Trustee</w:t>
      </w:r>
    </w:p>
    <w:p>
      <w:pPr>
        <w:spacing w:after="0" w:line="121" w:lineRule="exact"/>
        <w:rPr>
          <w:sz w:val="20"/>
          <w:szCs w:val="20"/>
          <w:color w:val="auto"/>
        </w:rPr>
      </w:pPr>
    </w:p>
    <w:p>
      <w:pPr>
        <w:ind w:left="200"/>
        <w:spacing w:after="0" w:line="302" w:lineRule="auto"/>
        <w:rPr>
          <w:sz w:val="20"/>
          <w:szCs w:val="20"/>
          <w:color w:val="auto"/>
        </w:rPr>
      </w:pPr>
      <w:r>
        <w:rPr>
          <w:rFonts w:ascii="Arial" w:cs="Arial" w:eastAsia="Arial" w:hAnsi="Arial"/>
          <w:sz w:val="15"/>
          <w:szCs w:val="15"/>
          <w:color w:val="auto"/>
        </w:rPr>
        <w:t>The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Payment and Paying Agents</w:t>
      </w:r>
    </w:p>
    <w:p>
      <w:pPr>
        <w:spacing w:after="0" w:line="121" w:lineRule="exact"/>
        <w:rPr>
          <w:sz w:val="20"/>
          <w:szCs w:val="20"/>
          <w:color w:val="auto"/>
        </w:rPr>
      </w:pPr>
    </w:p>
    <w:p>
      <w:pPr>
        <w:ind w:left="200" w:right="60"/>
        <w:spacing w:after="0" w:line="261" w:lineRule="auto"/>
        <w:rPr>
          <w:sz w:val="20"/>
          <w:szCs w:val="20"/>
          <w:color w:val="auto"/>
        </w:rPr>
      </w:pPr>
      <w:r>
        <w:rPr>
          <w:rFonts w:ascii="Arial" w:cs="Arial" w:eastAsia="Arial" w:hAnsi="Arial"/>
          <w:sz w:val="17"/>
          <w:szCs w:val="17"/>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spacing w:after="0" w:line="186" w:lineRule="exact"/>
        <w:rPr>
          <w:sz w:val="20"/>
          <w:szCs w:val="20"/>
          <w:color w:val="auto"/>
        </w:rPr>
      </w:pPr>
    </w:p>
    <w:p>
      <w:pPr>
        <w:ind w:left="200"/>
        <w:spacing w:after="0" w:line="253"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Ranking Debt Securities</w:t>
      </w:r>
    </w:p>
    <w:p>
      <w:pPr>
        <w:spacing w:after="0" w:line="121"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The subordinated debt securities will be unsecured and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spacing w:after="0" w:line="181"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color w:val="auto"/>
        </w:rPr>
        <w:t>The senior debt securities will be unsecured and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WARRANTS WE MAY OFFER</w:t>
      </w:r>
    </w:p>
    <w:p>
      <w:pPr>
        <w:spacing w:after="0" w:line="229" w:lineRule="exact"/>
        <w:rPr>
          <w:sz w:val="20"/>
          <w:szCs w:val="20"/>
          <w:color w:val="auto"/>
        </w:rPr>
      </w:pPr>
    </w:p>
    <w:p>
      <w:pPr>
        <w:ind w:left="200" w:right="320"/>
        <w:spacing w:after="0" w:line="342" w:lineRule="auto"/>
        <w:rPr>
          <w:sz w:val="20"/>
          <w:szCs w:val="20"/>
          <w:color w:val="auto"/>
        </w:rPr>
      </w:pPr>
      <w:r>
        <w:rPr>
          <w:rFonts w:ascii="Arial" w:cs="Arial" w:eastAsia="Arial" w:hAnsi="Arial"/>
          <w:sz w:val="16"/>
          <w:szCs w:val="16"/>
          <w:color w:val="auto"/>
        </w:rPr>
        <w:t>As of June 21, 2019, we had no warrants to purchase shares of our common stock outstanding. We typically issue warrants to purchase shares of our common stock to investors as part of a financing transaction, or in connection with services rendered by placement agents and outside consultants.</w:t>
      </w:r>
    </w:p>
    <w:p>
      <w:pPr>
        <w:spacing w:after="0" w:line="120" w:lineRule="exact"/>
        <w:rPr>
          <w:sz w:val="20"/>
          <w:szCs w:val="20"/>
          <w:color w:val="auto"/>
        </w:rPr>
      </w:pPr>
    </w:p>
    <w:p>
      <w:pPr>
        <w:jc w:val="both"/>
        <w:ind w:left="200"/>
        <w:spacing w:after="0" w:line="309" w:lineRule="auto"/>
        <w:rPr>
          <w:sz w:val="20"/>
          <w:szCs w:val="20"/>
          <w:color w:val="auto"/>
        </w:rPr>
      </w:pPr>
      <w:r>
        <w:rPr>
          <w:rFonts w:ascii="Arial" w:cs="Arial" w:eastAsia="Arial" w:hAnsi="Arial"/>
          <w:sz w:val="15"/>
          <w:szCs w:val="15"/>
          <w:b w:val="1"/>
          <w:bCs w:val="1"/>
          <w:color w:val="auto"/>
        </w:rPr>
        <w:t>We may issue warrants to purchase debt securities, preferred stock, common stock or any combination of the foregoing. We may issue warrants independently or together with any other securities we offer under a prospectus supplement. The warrants may be attached to or separate from the securities. We will issue each series of warrants under a separate warrant agreement to be entered into between a warrant agent and us.</w:t>
      </w:r>
    </w:p>
    <w:p>
      <w:pPr>
        <w:ind w:left="200"/>
        <w:spacing w:after="0" w:line="252" w:lineRule="auto"/>
        <w:rPr>
          <w:sz w:val="20"/>
          <w:szCs w:val="20"/>
          <w:color w:val="auto"/>
        </w:rPr>
      </w:pPr>
      <w:r>
        <w:rPr>
          <w:rFonts w:ascii="Arial" w:cs="Arial" w:eastAsia="Arial" w:hAnsi="Arial"/>
          <w:sz w:val="18"/>
          <w:szCs w:val="18"/>
          <w:b w:val="1"/>
          <w:bCs w:val="1"/>
          <w:color w:val="auto"/>
        </w:rPr>
        <w:t>The warrant agent will act solely as our agent in connection with the warrants and will not have any obligations or relationship of agency or trust for or with holders or beneficial owners of warrants. The following outlines some of the general terms and provisions of the warrants that we may issue from time to time. When we issue warrants, we will provide the specific terms of the warrants and the applicable warrant agreement in a prospectus supplement and any related free writing prospectuses and such terms may differ from those described below. To the extent the information contained in the prospectus supplement differs from this summary description, you should rely on the information in the prospectus supplement. The following description, and any description of the warrants included in a prospectus supplement, may not be complete and is subject to and qualified in its entirety by reference to the terms and provisions of the applicable warrant agreement. Equity Warrants</w:t>
      </w:r>
    </w:p>
    <w:p>
      <w:pPr>
        <w:spacing w:after="0" w:line="192"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We will describe in the applicable prospectus supplement and any related free writing prospectuses the terms of the preferred stock warrants or common stock warrants being offered, the warrant agreement relating to the preferred stock warrants or common stock warrants and the warrant certificates representing the preferred stock warrants or common stock warrants, including, as applicable:</w:t>
      </w:r>
    </w:p>
    <w:p>
      <w:pPr>
        <w:spacing w:after="0" w:line="87" w:lineRule="exact"/>
        <w:rPr>
          <w:sz w:val="20"/>
          <w:szCs w:val="20"/>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securities for which the warrants are exercisable;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number of warrants issued with each share of preferred stock or share of common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applicable, the date on and after which the warrants and the related preferred stock or common stock will be separately transferable;</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maximum or minimum number of warrants which may be exercised at any time;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exercise of the warrants;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237" w:lineRule="exact"/>
        <w:rPr>
          <w:sz w:val="20"/>
          <w:szCs w:val="20"/>
          <w:color w:val="auto"/>
        </w:rPr>
      </w:pPr>
    </w:p>
    <w:p>
      <w:pPr>
        <w:ind w:left="200" w:right="220"/>
        <w:spacing w:after="0" w:line="312" w:lineRule="auto"/>
        <w:rPr>
          <w:sz w:val="20"/>
          <w:szCs w:val="20"/>
          <w:color w:val="auto"/>
        </w:rPr>
      </w:pPr>
      <w:r>
        <w:rPr>
          <w:rFonts w:ascii="Arial" w:cs="Arial" w:eastAsia="Arial" w:hAnsi="Arial"/>
          <w:sz w:val="16"/>
          <w:szCs w:val="16"/>
          <w:color w:val="auto"/>
        </w:rPr>
        <w:t>Unless otherwise provided in the applicable warrant agreement and corresponding prospectus supplement or any related free writing prospectuses, holders of equity warrants will not be entitled, by virtue of being such holders, to vote, consent, receive dividends, receive notice as stockholders with respect to any meeting of stockholders for the election of our directors or any other matter, or to exercise any rights whatsoever as stockholders.</w:t>
      </w:r>
    </w:p>
    <w:p>
      <w:pPr>
        <w:spacing w:after="0" w:line="147"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Except as provided in the applicable warrant agreement and corresponding prospectus supplement or any related free writing prospectuses, the exercise price payable and the number of shares of common stock or preferred stock purchasable upon the exercise of each warrant will be subject to adjustment in certain events, including the issuance of a stock dividend to holders of common stock or preferred stock or a stock split, reverse stock split, combination, subdivision or reclassification of common stock or preferred stock. In lieu of adjusting the number of shares of common stock or preferred stock purchasable upon exercise of each warrant, we may elect to adjust the number of warrants. Unless otherwise provided in the applicable warrant agreement and corresponding prospectus supplement or any related free writing prospectuses, no adjustments in the number of shares purchasable upon exercise of the warrants will be required until all cumulative adjustments require an adjustment of at least 1% thereof. No fractional shares will be issued upon exercise of warrants, but we will pay the cash value of any fractional shares otherwise issuable. Notwithstanding the foregoing, except as otherwise provided in the applicable warrant agreement and corresponding prospectus supplement or any related free writing prospectuses, in case of any consolidation, merger, or sale or conveyance of our property as an entirety or substantially as an entirety, the holder of each outstanding warrant will have the right to the kind and amount of shares of stock and other securities and property, including cash, receivable by a holder of the number of shares of common stock or preferred stock into which each warrant was exercisable immediately prior to the particular triggering event.</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Debt Warrants</w:t>
      </w:r>
    </w:p>
    <w:p>
      <w:pPr>
        <w:spacing w:after="0" w:line="121" w:lineRule="exact"/>
        <w:rPr>
          <w:sz w:val="20"/>
          <w:szCs w:val="20"/>
          <w:color w:val="auto"/>
        </w:rPr>
      </w:pPr>
    </w:p>
    <w:p>
      <w:pPr>
        <w:ind w:left="200" w:right="380"/>
        <w:spacing w:after="0" w:line="342" w:lineRule="auto"/>
        <w:rPr>
          <w:sz w:val="20"/>
          <w:szCs w:val="20"/>
          <w:color w:val="auto"/>
        </w:rPr>
      </w:pPr>
      <w:r>
        <w:rPr>
          <w:rFonts w:ascii="Arial" w:cs="Arial" w:eastAsia="Arial" w:hAnsi="Arial"/>
          <w:sz w:val="16"/>
          <w:szCs w:val="16"/>
          <w:color w:val="auto"/>
        </w:rPr>
        <w:t>We will describe in the applicable prospectus supplement and any related free writing prospectuses the terms of the debt warrants being offered, the warrant agreement relating to the debt warrants and the debt warrant certificates representing the debt warrants, including, as applicable:</w:t>
      </w:r>
    </w:p>
    <w:p>
      <w:pPr>
        <w:spacing w:after="0" w:line="29" w:lineRule="exact"/>
        <w:rPr>
          <w:sz w:val="20"/>
          <w:szCs w:val="20"/>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or prices at which the debt warrants will be issued;</w:t>
      </w:r>
    </w:p>
    <w:p>
      <w:pPr>
        <w:spacing w:after="0" w:line="130" w:lineRule="exact"/>
        <w:rPr>
          <w:rFonts w:ascii="Arial" w:cs="Arial" w:eastAsia="Arial" w:hAnsi="Arial"/>
          <w:sz w:val="18"/>
          <w:szCs w:val="18"/>
          <w:color w:val="auto"/>
        </w:rPr>
      </w:pPr>
    </w:p>
    <w:p>
      <w:pPr>
        <w:ind w:left="1180" w:right="56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aggregate principal amount and terms of the debt securities purchasable upon exercise of the debt warrants, and the procedures and conditions relating to the exercise of the debt warrants;</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and terms of any related debt securities with which the debt warrants are issued, and the number of the debt warrants issued with each security;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if any, on and after which the debt warrants and the related debt securities will be separately transferable;</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each debt warrant, and the price at which the principal amount of the debt securities may be purchased upon exercise;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maximum or minimum number of the debt warrants that may be exercised at any time;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hanging="316"/>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to or adjustments in the exercise price of the debt warrants;</w:t>
      </w:r>
    </w:p>
    <w:p>
      <w:pPr>
        <w:spacing w:after="0" w:line="128" w:lineRule="exact"/>
        <w:rPr>
          <w:rFonts w:ascii="Arial" w:cs="Arial" w:eastAsia="Arial" w:hAnsi="Arial"/>
          <w:sz w:val="17"/>
          <w:szCs w:val="17"/>
          <w:color w:val="auto"/>
        </w:rPr>
      </w:pPr>
    </w:p>
    <w:p>
      <w:pPr>
        <w:ind w:left="1060" w:hanging="316"/>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discussion of the material U.S. federal income tax considerations applicable to the exercise of the debt warrants; and</w:t>
      </w:r>
    </w:p>
    <w:p>
      <w:pPr>
        <w:spacing w:after="0" w:line="128" w:lineRule="exact"/>
        <w:rPr>
          <w:rFonts w:ascii="Arial" w:cs="Arial" w:eastAsia="Arial" w:hAnsi="Arial"/>
          <w:sz w:val="17"/>
          <w:szCs w:val="17"/>
          <w:color w:val="auto"/>
        </w:rPr>
      </w:pPr>
    </w:p>
    <w:p>
      <w:pPr>
        <w:ind w:left="1060" w:hanging="316"/>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other terms of the debt warrants and terms, procedures and limitations relating to the exercise of the debt warrants.</w:t>
      </w:r>
    </w:p>
    <w:p>
      <w:pPr>
        <w:spacing w:after="0" w:line="223" w:lineRule="exact"/>
        <w:rPr>
          <w:sz w:val="20"/>
          <w:szCs w:val="20"/>
          <w:color w:val="auto"/>
        </w:rPr>
      </w:pPr>
    </w:p>
    <w:p>
      <w:pPr>
        <w:ind w:left="200" w:right="100"/>
        <w:spacing w:after="0" w:line="255" w:lineRule="auto"/>
        <w:rPr>
          <w:sz w:val="20"/>
          <w:szCs w:val="20"/>
          <w:color w:val="auto"/>
        </w:rPr>
      </w:pPr>
      <w:r>
        <w:rPr>
          <w:rFonts w:ascii="Arial" w:cs="Arial" w:eastAsia="Arial" w:hAnsi="Arial"/>
          <w:sz w:val="17"/>
          <w:szCs w:val="17"/>
          <w:color w:val="auto"/>
        </w:rPr>
        <w:t>As may be permitted under the warrant agreement, holders may exchange debt warrant certificates for new debt warrant certificates of different denominations, and may exercise debt warrants at the corporate trust office of the warrant agent or any other office indicated in the applicable prospectus supplement and any related free writing prospectuses. Prior to the exercise of their debt warrants, holders of debt warrants will not have any of the rights of holders of the securities purchasable upon the exercise and will not be entitled to payments of principal, premium or interest on the securities purchasable upon the exercise of debt warrants.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Exercise of Warrants</w:t>
      </w:r>
    </w:p>
    <w:p>
      <w:pPr>
        <w:spacing w:after="0" w:line="121" w:lineRule="exact"/>
        <w:rPr>
          <w:sz w:val="20"/>
          <w:szCs w:val="20"/>
          <w:color w:val="auto"/>
        </w:rPr>
      </w:pPr>
    </w:p>
    <w:p>
      <w:pPr>
        <w:ind w:left="200" w:right="80"/>
        <w:spacing w:after="0" w:line="302" w:lineRule="auto"/>
        <w:rPr>
          <w:sz w:val="20"/>
          <w:szCs w:val="20"/>
          <w:color w:val="auto"/>
        </w:rPr>
      </w:pPr>
      <w:r>
        <w:rPr>
          <w:rFonts w:ascii="Arial" w:cs="Arial" w:eastAsia="Arial" w:hAnsi="Arial"/>
          <w:sz w:val="15"/>
          <w:szCs w:val="15"/>
          <w:color w:val="auto"/>
        </w:rPr>
        <w:t>Each warrant will entitle the holder of the warrant to purchase for cash at the exercise price provided in the applicable warrant agreement and corresponding prospectus supplement or any related free writing prospectuses the principal amount of debt securities or shares of preferred stock or shares of common stock being offered. Holders may exercise warrants at any time up to the close of business on the expiration date provided in the applicable warrant agreement and corresponding prospectus supplement or any related free writing prospectuses. After the close of business on the expiration date, unexercised warrants are void.</w:t>
      </w:r>
    </w:p>
    <w:p>
      <w:pPr>
        <w:spacing w:after="0" w:line="158" w:lineRule="exact"/>
        <w:rPr>
          <w:sz w:val="20"/>
          <w:szCs w:val="20"/>
          <w:color w:val="auto"/>
        </w:rPr>
      </w:pPr>
    </w:p>
    <w:p>
      <w:pPr>
        <w:ind w:left="200" w:right="120"/>
        <w:spacing w:after="0" w:line="253" w:lineRule="auto"/>
        <w:rPr>
          <w:sz w:val="20"/>
          <w:szCs w:val="20"/>
          <w:color w:val="auto"/>
        </w:rPr>
      </w:pPr>
      <w:r>
        <w:rPr>
          <w:rFonts w:ascii="Arial" w:cs="Arial" w:eastAsia="Arial" w:hAnsi="Arial"/>
          <w:sz w:val="17"/>
          <w:szCs w:val="17"/>
          <w:color w:val="auto"/>
        </w:rPr>
        <w:t>Holders may exercise warrants as described in the applicable warrant agreement and corresponding prospectus supplement or any free writing prospectuses relating to the warrants being offered. Upon receipt of payment and the warrant certificate properly completed and duly executed at the corporate trust office of the warrant agent or any other office indicated in the applicable warrant agreement and corresponding prospectus supplement or any related free writing prospectuses, we will, as soon as practicable, forward the debt securities, shares of preferred stock or shares of common stock purchasable upon the exercise of the warrant. If less than all of the warrants represented by the warrant certificate are exercised, we will issue a new warrant certificate for the remaining warrants.</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DESCRIPTION OF UNITS WE MAY OFFER</w:t>
      </w:r>
    </w:p>
    <w:p>
      <w:pPr>
        <w:spacing w:after="0" w:line="229" w:lineRule="exact"/>
        <w:rPr>
          <w:sz w:val="20"/>
          <w:szCs w:val="20"/>
          <w:color w:val="auto"/>
        </w:rPr>
      </w:pPr>
    </w:p>
    <w:p>
      <w:pPr>
        <w:ind w:left="200" w:right="200"/>
        <w:spacing w:after="0" w:line="253"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and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95" w:lineRule="exact"/>
        <w:rPr>
          <w:sz w:val="20"/>
          <w:szCs w:val="20"/>
          <w:color w:val="auto"/>
        </w:rPr>
      </w:pPr>
    </w:p>
    <w:p>
      <w:pPr>
        <w:ind w:left="200"/>
        <w:spacing w:after="0" w:line="253" w:lineRule="auto"/>
        <w:rPr>
          <w:sz w:val="20"/>
          <w:szCs w:val="20"/>
          <w:color w:val="auto"/>
        </w:rPr>
      </w:pPr>
      <w:r>
        <w:rPr>
          <w:rFonts w:ascii="Arial" w:cs="Arial" w:eastAsia="Arial" w:hAnsi="Arial"/>
          <w:sz w:val="17"/>
          <w:szCs w:val="17"/>
          <w:color w:val="auto"/>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General</w:t>
      </w:r>
    </w:p>
    <w:p>
      <w:pPr>
        <w:spacing w:after="0" w:line="121" w:lineRule="exact"/>
        <w:rPr>
          <w:sz w:val="20"/>
          <w:szCs w:val="20"/>
          <w:color w:val="auto"/>
        </w:rPr>
      </w:pPr>
    </w:p>
    <w:p>
      <w:pPr>
        <w:ind w:left="200" w:right="20"/>
        <w:spacing w:after="0" w:line="257" w:lineRule="auto"/>
        <w:rPr>
          <w:sz w:val="20"/>
          <w:szCs w:val="20"/>
          <w:color w:val="auto"/>
        </w:rPr>
      </w:pPr>
      <w:r>
        <w:rPr>
          <w:rFonts w:ascii="Arial" w:cs="Arial" w:eastAsia="Arial" w:hAnsi="Arial"/>
          <w:sz w:val="17"/>
          <w:szCs w:val="17"/>
          <w:color w:val="auto"/>
        </w:rPr>
        <w:t>We may issue units comprised of one or more shares of common stock, shares of preferred stock, debt securities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w:t>
      </w:r>
    </w:p>
    <w:p>
      <w:pPr>
        <w:spacing w:after="0" w:line="131" w:lineRule="exact"/>
        <w:rPr>
          <w:sz w:val="20"/>
          <w:szCs w:val="20"/>
          <w:color w:val="auto"/>
        </w:rPr>
      </w:pPr>
    </w:p>
    <w:p>
      <w:pPr>
        <w:ind w:left="1180" w:right="26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w:t>
      </w:r>
    </w:p>
    <w:p>
      <w:pPr>
        <w:spacing w:after="0" w:line="23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provisions described in this section, as well as those described under “Description of Capital Stock We May Offer,” “Description of Debt Securities We May Offer” and “Description of Warrants We May Offer” will apply to each unit and to any common stock, preferred stock, debt security or warrant included in each unit, respectively.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in Series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may issue units in such amounts and in numerous distinct series as we determine.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3"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color w:val="auto"/>
        </w:rPr>
        <w:t>We, the unit agents and any of their agents may treat the registered holder of any unit certificate as an absolute owner of the units evidenced by that certificate for any purpose and as the person entitled to exercise the rights attaching to the units so registered, despite any notice to the contrary.</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may sell the offered securities from time to time.</w:t>
      </w:r>
    </w:p>
    <w:p>
      <w:pPr>
        <w:spacing w:after="0" w:line="131" w:lineRule="exact"/>
        <w:rPr>
          <w:sz w:val="20"/>
          <w:szCs w:val="20"/>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or through broker-dealers (acting as agent or principal);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or auction process or otherwise;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22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will describe the terms of the offering of the securities, including:</w:t>
      </w:r>
    </w:p>
    <w:p>
      <w:pPr>
        <w:spacing w:after="0" w:line="76" w:lineRule="exact"/>
        <w:rPr>
          <w:sz w:val="20"/>
          <w:szCs w:val="20"/>
          <w:color w:val="auto"/>
        </w:rPr>
      </w:pPr>
    </w:p>
    <w:p>
      <w:pPr>
        <w:ind w:left="1180" w:right="120" w:hanging="436"/>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or names of any underwriters, if any, and if required, any dealers or agents and the amount of shares underwritten or purchased by each of them;</w:t>
      </w:r>
    </w:p>
    <w:p>
      <w:pPr>
        <w:spacing w:after="0" w:line="75" w:lineRule="exact"/>
        <w:rPr>
          <w:rFonts w:ascii="Arial" w:cs="Arial" w:eastAsia="Arial" w:hAnsi="Arial"/>
          <w:sz w:val="18"/>
          <w:szCs w:val="18"/>
          <w:color w:val="auto"/>
        </w:rPr>
      </w:pPr>
    </w:p>
    <w:p>
      <w:pPr>
        <w:ind w:left="1180" w:right="280" w:hanging="436"/>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purchase price or other consideration to be paid in connection with the sale of the securities being offered and the proceeds we will receive from the sale;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may distribute the securities from time to time in one or more transactions at:</w:t>
      </w:r>
    </w:p>
    <w:p>
      <w:pPr>
        <w:spacing w:after="0" w:line="131" w:lineRule="exact"/>
        <w:rPr>
          <w:sz w:val="20"/>
          <w:szCs w:val="20"/>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fixed price or prices, which may be changed from time to time;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If we utilize an underwriter in the sale of the securities being offered, we will execute an underwriting agreement with the underwriter at the time of sale. Any underwriters used in the sale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w:t>
      </w:r>
    </w:p>
    <w:p>
      <w:pPr>
        <w:spacing w:after="0" w:line="173"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 Subject to certain conditions, the underwriters will be obligated to purchase all of the securities offered by the prospectus supplement. We may change from time to time the public offering price and any discounts or concessions allowed or reallowed or paid to dealers.</w:t>
      </w:r>
    </w:p>
    <w:p>
      <w:pPr>
        <w:spacing w:after="0" w:line="188"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We may directly solicit offers to purchase the securities. We may also designate agents to solicit offers to purchase the securities from time to time. We will name in a prospectus supplement any agent involved in the offer or sale of our securities. Unless the prospectus supplement states otherwise, our agent will act on a best-efforts basis for the period of its appointment.</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240" w:top="459"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jc w:val="both"/>
        <w:ind w:left="200" w:right="100"/>
        <w:spacing w:after="0" w:line="312" w:lineRule="auto"/>
        <w:rPr>
          <w:sz w:val="20"/>
          <w:szCs w:val="20"/>
          <w:color w:val="auto"/>
        </w:rPr>
      </w:pPr>
      <w:r>
        <w:rPr>
          <w:rFonts w:ascii="Arial" w:cs="Arial" w:eastAsia="Arial" w:hAnsi="Arial"/>
          <w:sz w:val="16"/>
          <w:szCs w:val="16"/>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47"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71" w:lineRule="exact"/>
        <w:rPr>
          <w:sz w:val="20"/>
          <w:szCs w:val="20"/>
          <w:color w:val="auto"/>
        </w:rPr>
      </w:pPr>
    </w:p>
    <w:p>
      <w:pPr>
        <w:ind w:left="200" w:right="100"/>
        <w:spacing w:after="0" w:line="271" w:lineRule="auto"/>
        <w:rPr>
          <w:sz w:val="20"/>
          <w:szCs w:val="20"/>
          <w:color w:val="auto"/>
        </w:rPr>
      </w:pPr>
      <w:r>
        <w:rPr>
          <w:rFonts w:ascii="Arial" w:cs="Arial" w:eastAsia="Arial" w:hAnsi="Arial"/>
          <w:sz w:val="17"/>
          <w:szCs w:val="17"/>
          <w:color w:val="auto"/>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spacing w:after="0" w:line="179"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Shares of our common stock sold pursuant to the registration statement of which this prospectus is a part will be authorized for listing and trading on the NASDAQ. The applicable prospectus supplement will contain information, where applicable, as to any other listing, if any, on the NASDAQ or any securities market or other securities exchange of the securities covered by the prospectus supplement.</w:t>
      </w:r>
    </w:p>
    <w:p>
      <w:pPr>
        <w:spacing w:after="0" w:line="193"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Underwriters may engage in stabilizing and syndicate covering transactions in accordance with Rule 104 under the Exchange Act. Rule 104 permits stabilizing bids to purchase the securities being offered as long as the stabilizing bids do not exceed a specified maximum. Underwriters may over-allot the offered securities in connection with the offering, thus creating a short position in their account. Syndicate covering transactions involve purchases of the offered securities by underwriters in the open market after the distribution has been completed in order to cover syndicate short positions. Underwriters may also cover an over-allotment or short position by exercising their over-allotment option, if any. Stabilizing and syndicate covering transactions may cause the price of the offered securities to be higher than it would otherwise be in the absence of these transactions. These transactions, if commenced, may be discontinued at any time.</w:t>
      </w:r>
    </w:p>
    <w:p>
      <w:pPr>
        <w:spacing w:after="0" w:line="18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Any underwriters who are qualified market makers on the NASDAQ may engage in passive market making transactions in the securities on the NASDAQ in accordance with Rule 103 of Regulation M,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underwriters, dealers and agents may engage in other transactions with us, or perform other services for us, in the ordinary course of their business.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will describe such relationships in the prospectus supplement naming the underwriter and the nature of any such relationship.</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LEGAL MATTERS</w:t>
      </w:r>
    </w:p>
    <w:p>
      <w:pPr>
        <w:spacing w:after="0" w:line="229" w:lineRule="exact"/>
        <w:rPr>
          <w:sz w:val="20"/>
          <w:szCs w:val="20"/>
          <w:color w:val="auto"/>
        </w:rPr>
      </w:pPr>
    </w:p>
    <w:p>
      <w:pPr>
        <w:ind w:left="200" w:right="360"/>
        <w:spacing w:after="0" w:line="274" w:lineRule="auto"/>
        <w:rPr>
          <w:sz w:val="20"/>
          <w:szCs w:val="20"/>
          <w:color w:val="auto"/>
        </w:rPr>
      </w:pPr>
      <w:r>
        <w:rPr>
          <w:rFonts w:ascii="Arial" w:cs="Arial" w:eastAsia="Arial" w:hAnsi="Arial"/>
          <w:sz w:val="17"/>
          <w:szCs w:val="17"/>
          <w:color w:val="auto"/>
        </w:rPr>
        <w:t>The validity of the securities being offered hereby will be passed on by Dentons US LLP. Any underwriters, dealers or agents will also be advised about the validity of the securities and other legal matters by their own counsel, which will be named in the prospectus supplement.</w:t>
      </w:r>
    </w:p>
    <w:p>
      <w:pPr>
        <w:spacing w:after="0" w:line="385"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EXPERTS</w:t>
      </w:r>
    </w:p>
    <w:p>
      <w:pPr>
        <w:spacing w:after="0" w:line="229" w:lineRule="exact"/>
        <w:rPr>
          <w:sz w:val="20"/>
          <w:szCs w:val="20"/>
          <w:color w:val="auto"/>
        </w:rPr>
      </w:pPr>
    </w:p>
    <w:p>
      <w:pPr>
        <w:ind w:left="200" w:right="20"/>
        <w:spacing w:after="0" w:line="253" w:lineRule="auto"/>
        <w:rPr>
          <w:sz w:val="20"/>
          <w:szCs w:val="20"/>
          <w:color w:val="auto"/>
        </w:rPr>
      </w:pPr>
      <w:r>
        <w:rPr>
          <w:rFonts w:ascii="Arial" w:cs="Arial" w:eastAsia="Arial" w:hAnsi="Arial"/>
          <w:sz w:val="17"/>
          <w:szCs w:val="17"/>
          <w:color w:val="auto"/>
        </w:rPr>
        <w:t>The consolidated financial statements of Arcturus Therapeutics Ltd. at December 31, 2018, and for the year ended December 31, 2018, appearing in Arcturus Therapeutics Ltd.’s Annual Report (Form 10-K) for the year ended December 31, 2018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95" w:lineRule="exact"/>
        <w:rPr>
          <w:sz w:val="20"/>
          <w:szCs w:val="20"/>
          <w:color w:val="auto"/>
        </w:rPr>
      </w:pPr>
    </w:p>
    <w:p>
      <w:pPr>
        <w:ind w:left="200" w:right="100"/>
        <w:spacing w:after="0" w:line="257" w:lineRule="auto"/>
        <w:rPr>
          <w:sz w:val="20"/>
          <w:szCs w:val="20"/>
          <w:color w:val="auto"/>
        </w:rPr>
      </w:pPr>
      <w:r>
        <w:rPr>
          <w:rFonts w:ascii="Arial" w:cs="Arial" w:eastAsia="Arial" w:hAnsi="Arial"/>
          <w:sz w:val="17"/>
          <w:szCs w:val="17"/>
          <w:color w:val="auto"/>
        </w:rPr>
        <w:t>The consolidated financial statements of Arcturus Therapeutics Ltd. at December 31, 2017, and for year then ended, have been audited by Kost Forer Gabbay and Kasierer, a member of Ernst &amp; Young Global, independent registered public accounting firm, as set forth in their report thereon and incorporated by reference herein. Such consolidated financial statements are incorporated herein by reference in reliance upon such report given on the authority of such firm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9" w:lineRule="exact"/>
        <w:rPr>
          <w:sz w:val="20"/>
          <w:szCs w:val="20"/>
          <w:color w:val="auto"/>
        </w:rPr>
      </w:pPr>
    </w:p>
    <w:p>
      <w:pPr>
        <w:ind w:left="200" w:right="180"/>
        <w:spacing w:after="0" w:line="255" w:lineRule="auto"/>
        <w:rPr>
          <w:sz w:val="20"/>
          <w:szCs w:val="20"/>
          <w:color w:val="auto"/>
        </w:rPr>
      </w:pPr>
      <w:r>
        <w:rPr>
          <w:rFonts w:ascii="Arial" w:cs="Arial" w:eastAsia="Arial" w:hAnsi="Arial"/>
          <w:sz w:val="17"/>
          <w:szCs w:val="17"/>
          <w:color w:val="auto"/>
        </w:rPr>
        <w:t>We are a reporting company and file annual, quarterly and current reports, proxy and information statements and other information with the SEC. This prospectus is part of a registration statement that we have filed with the SEC relating to the securities to be offered under this prospectus. This prospectus does not contain all of the information set forth in the registration statement and the exhibits to the registration statement. For further information with respect to us and the securities to be offered under this prospectus, we refer you to the registration statement and the exhibits and schedules filed as a part of the registration statement.</w:t>
      </w:r>
    </w:p>
    <w:p>
      <w:pPr>
        <w:spacing w:after="0" w:line="191" w:lineRule="exact"/>
        <w:rPr>
          <w:sz w:val="20"/>
          <w:szCs w:val="20"/>
          <w:color w:val="auto"/>
        </w:rPr>
      </w:pPr>
    </w:p>
    <w:p>
      <w:pPr>
        <w:jc w:val="both"/>
        <w:ind w:left="200" w:right="160"/>
        <w:spacing w:after="0" w:line="261" w:lineRule="auto"/>
        <w:rPr>
          <w:sz w:val="20"/>
          <w:szCs w:val="20"/>
          <w:color w:val="auto"/>
        </w:rPr>
      </w:pPr>
      <w:r>
        <w:rPr>
          <w:rFonts w:ascii="Arial" w:cs="Arial" w:eastAsia="Arial" w:hAnsi="Arial"/>
          <w:sz w:val="17"/>
          <w:szCs w:val="17"/>
          <w:color w:val="auto"/>
        </w:rPr>
        <w:t xml:space="preserve">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86" w:lineRule="exact"/>
        <w:rPr>
          <w:sz w:val="20"/>
          <w:szCs w:val="20"/>
          <w:color w:val="auto"/>
        </w:rPr>
      </w:pPr>
    </w:p>
    <w:p>
      <w:pPr>
        <w:ind w:left="200"/>
        <w:spacing w:after="0" w:line="274" w:lineRule="auto"/>
        <w:rPr>
          <w:sz w:val="20"/>
          <w:szCs w:val="20"/>
          <w:color w:val="auto"/>
        </w:rPr>
      </w:pPr>
      <w:r>
        <w:rPr>
          <w:rFonts w:ascii="Arial" w:cs="Arial" w:eastAsia="Arial" w:hAnsi="Arial"/>
          <w:sz w:val="17"/>
          <w:szCs w:val="17"/>
          <w:color w:val="auto"/>
        </w:rPr>
        <w:t>Copies of certain information filed by us with the SEC are also available on our website at https://arcturusrx.com. Information contained in or accessible through our website does not constitute a part of this prospectus and is not incorporated by reference in this prospectus.</w:t>
      </w:r>
    </w:p>
    <w:p>
      <w:pPr>
        <w:spacing w:after="0" w:line="385"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INCORPORATION OF CERTAIN DOCUMENTS BY REFERENCE</w:t>
      </w:r>
    </w:p>
    <w:p>
      <w:pPr>
        <w:spacing w:after="0" w:line="229" w:lineRule="exact"/>
        <w:rPr>
          <w:sz w:val="20"/>
          <w:szCs w:val="20"/>
          <w:color w:val="auto"/>
        </w:rPr>
      </w:pPr>
    </w:p>
    <w:p>
      <w:pPr>
        <w:ind w:left="200" w:right="280"/>
        <w:spacing w:after="0" w:line="312" w:lineRule="auto"/>
        <w:rPr>
          <w:sz w:val="20"/>
          <w:szCs w:val="20"/>
          <w:color w:val="auto"/>
        </w:rPr>
      </w:pPr>
      <w:r>
        <w:rPr>
          <w:rFonts w:ascii="Arial" w:cs="Arial" w:eastAsia="Arial" w:hAnsi="Arial"/>
          <w:sz w:val="15"/>
          <w:szCs w:val="15"/>
          <w:color w:val="auto"/>
        </w:rPr>
        <w:t>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part of this prospectus. This prospectus incorporates by reference the documents listed below that we have previously filed with the SEC:</w:t>
      </w:r>
    </w:p>
    <w:p>
      <w:pPr>
        <w:spacing w:after="0" w:line="57" w:lineRule="exact"/>
        <w:rPr>
          <w:sz w:val="20"/>
          <w:szCs w:val="20"/>
          <w:color w:val="auto"/>
        </w:rPr>
      </w:pPr>
    </w:p>
    <w:p>
      <w:pPr>
        <w:ind w:left="1060" w:right="460" w:hanging="316"/>
        <w:spacing w:after="0" w:line="274" w:lineRule="auto"/>
        <w:tabs>
          <w:tab w:leader="none" w:pos="1060" w:val="left"/>
        </w:tabs>
        <w:numPr>
          <w:ilvl w:val="0"/>
          <w:numId w:val="33"/>
        </w:numPr>
        <w:rPr>
          <w:rFonts w:ascii="Arial" w:cs="Arial" w:eastAsia="Arial" w:hAnsi="Arial"/>
          <w:sz w:val="17"/>
          <w:szCs w:val="17"/>
          <w:color w:val="0000EE"/>
        </w:rPr>
      </w:pPr>
      <w:r>
        <w:rPr>
          <w:rFonts w:ascii="Arial" w:cs="Arial" w:eastAsia="Arial" w:hAnsi="Arial"/>
          <w:sz w:val="17"/>
          <w:szCs w:val="17"/>
          <w:color w:val="auto"/>
        </w:rPr>
        <w:t xml:space="preserve">Our Annual Report on Form 10-K for the fiscal year ended December 31, 2018, as filed with the SEC on </w:t>
      </w:r>
      <w:hyperlink r:id="rId32">
        <w:r>
          <w:rPr>
            <w:rFonts w:ascii="Arial" w:cs="Arial" w:eastAsia="Arial" w:hAnsi="Arial"/>
            <w:sz w:val="17"/>
            <w:szCs w:val="17"/>
            <w:u w:val="single" w:color="auto"/>
            <w:color w:val="0000EE"/>
          </w:rPr>
          <w:t>March 18, 2019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as amended on </w:t>
      </w:r>
      <w:hyperlink r:id="rId33">
        <w:r>
          <w:rPr>
            <w:rFonts w:ascii="Arial" w:cs="Arial" w:eastAsia="Arial" w:hAnsi="Arial"/>
            <w:sz w:val="17"/>
            <w:szCs w:val="17"/>
            <w:u w:val="single" w:color="auto"/>
            <w:color w:val="0000EE"/>
          </w:rPr>
          <w:t>April 10, 2019</w:t>
        </w:r>
      </w:hyperlink>
      <w:r>
        <w:rPr>
          <w:rFonts w:ascii="Arial" w:cs="Arial" w:eastAsia="Arial" w:hAnsi="Arial"/>
          <w:sz w:val="17"/>
          <w:szCs w:val="17"/>
          <w:color w:val="000000"/>
        </w:rPr>
        <w:t>;</w:t>
      </w:r>
    </w:p>
    <w:p>
      <w:pPr>
        <w:spacing w:after="0" w:line="80" w:lineRule="exact"/>
        <w:rPr>
          <w:rFonts w:ascii="Arial" w:cs="Arial" w:eastAsia="Arial" w:hAnsi="Arial"/>
          <w:sz w:val="17"/>
          <w:szCs w:val="17"/>
          <w:color w:val="0000EE"/>
        </w:rPr>
      </w:pPr>
    </w:p>
    <w:p>
      <w:pPr>
        <w:ind w:left="1060" w:hanging="316"/>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Our Quarterly Report on </w:t>
      </w:r>
      <w:hyperlink r:id="rId34">
        <w:r>
          <w:rPr>
            <w:rFonts w:ascii="Arial" w:cs="Arial" w:eastAsia="Arial" w:hAnsi="Arial"/>
            <w:sz w:val="17"/>
            <w:szCs w:val="17"/>
            <w:u w:val="single" w:color="auto"/>
            <w:color w:val="0000EE"/>
          </w:rPr>
          <w:t>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quarter ended March 31, 2019, as filed with the SEC on May 13, 2019;</w:t>
      </w:r>
    </w:p>
    <w:p>
      <w:pPr>
        <w:spacing w:after="0" w:line="128" w:lineRule="exact"/>
        <w:rPr>
          <w:rFonts w:ascii="Arial" w:cs="Arial" w:eastAsia="Arial" w:hAnsi="Arial"/>
          <w:sz w:val="17"/>
          <w:szCs w:val="17"/>
          <w:color w:val="auto"/>
        </w:rPr>
      </w:pPr>
    </w:p>
    <w:p>
      <w:pPr>
        <w:ind w:left="1060" w:right="320" w:hanging="316"/>
        <w:spacing w:after="0" w:line="274" w:lineRule="auto"/>
        <w:tabs>
          <w:tab w:leader="none" w:pos="1060" w:val="left"/>
        </w:tabs>
        <w:numPr>
          <w:ilvl w:val="0"/>
          <w:numId w:val="33"/>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as filed with the SEC on </w:t>
      </w:r>
      <w:hyperlink r:id="rId36">
        <w:r>
          <w:rPr>
            <w:rFonts w:ascii="Arial" w:cs="Arial" w:eastAsia="Arial" w:hAnsi="Arial"/>
            <w:sz w:val="17"/>
            <w:szCs w:val="17"/>
            <w:u w:val="single" w:color="auto"/>
            <w:color w:val="0000EE"/>
          </w:rPr>
          <w:t>March 19, 2019</w:t>
        </w:r>
      </w:hyperlink>
      <w:r>
        <w:rPr>
          <w:rFonts w:ascii="Arial" w:cs="Arial" w:eastAsia="Arial" w:hAnsi="Arial"/>
          <w:sz w:val="17"/>
          <w:szCs w:val="17"/>
          <w:color w:val="auto"/>
        </w:rPr>
        <w:t xml:space="preserve">, </w:t>
      </w:r>
      <w:hyperlink r:id="rId37">
        <w:r>
          <w:rPr>
            <w:rFonts w:ascii="Arial" w:cs="Arial" w:eastAsia="Arial" w:hAnsi="Arial"/>
            <w:sz w:val="17"/>
            <w:szCs w:val="17"/>
            <w:u w:val="single" w:color="auto"/>
            <w:color w:val="0000EE"/>
          </w:rPr>
          <w:t>May 13, 2019</w:t>
        </w:r>
      </w:hyperlink>
      <w:r>
        <w:rPr>
          <w:rFonts w:ascii="Arial" w:cs="Arial" w:eastAsia="Arial" w:hAnsi="Arial"/>
          <w:sz w:val="17"/>
          <w:szCs w:val="17"/>
          <w:color w:val="auto"/>
        </w:rPr>
        <w:t xml:space="preserve">, </w:t>
      </w:r>
      <w:hyperlink r:id="rId38">
        <w:r>
          <w:rPr>
            <w:rFonts w:ascii="Arial" w:cs="Arial" w:eastAsia="Arial" w:hAnsi="Arial"/>
            <w:sz w:val="17"/>
            <w:szCs w:val="17"/>
            <w:u w:val="single" w:color="auto"/>
            <w:color w:val="0000EE"/>
          </w:rPr>
          <w:t>May 20, 2019</w:t>
        </w:r>
      </w:hyperlink>
      <w:r>
        <w:rPr>
          <w:rFonts w:ascii="Arial" w:cs="Arial" w:eastAsia="Arial" w:hAnsi="Arial"/>
          <w:sz w:val="17"/>
          <w:szCs w:val="17"/>
          <w:color w:val="auto"/>
        </w:rPr>
        <w:t xml:space="preserve">, </w:t>
      </w:r>
      <w:hyperlink r:id="rId39">
        <w:r>
          <w:rPr>
            <w:rFonts w:ascii="Arial" w:cs="Arial" w:eastAsia="Arial" w:hAnsi="Arial"/>
            <w:sz w:val="17"/>
            <w:szCs w:val="17"/>
            <w:u w:val="single" w:color="auto"/>
            <w:color w:val="0000EE"/>
          </w:rPr>
          <w:t>June 14, 2019</w:t>
        </w:r>
      </w:hyperlink>
      <w:r>
        <w:rPr>
          <w:rFonts w:ascii="Arial" w:cs="Arial" w:eastAsia="Arial" w:hAnsi="Arial"/>
          <w:sz w:val="17"/>
          <w:szCs w:val="17"/>
          <w:color w:val="auto"/>
        </w:rPr>
        <w:t xml:space="preserve">, </w:t>
      </w:r>
      <w:hyperlink r:id="rId40">
        <w:r>
          <w:rPr>
            <w:rFonts w:ascii="Arial" w:cs="Arial" w:eastAsia="Arial" w:hAnsi="Arial"/>
            <w:sz w:val="17"/>
            <w:szCs w:val="17"/>
            <w:u w:val="single" w:color="auto"/>
            <w:color w:val="0000EE"/>
          </w:rPr>
          <w:t>June 19, 2019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41">
        <w:r>
          <w:rPr>
            <w:rFonts w:ascii="Arial" w:cs="Arial" w:eastAsia="Arial" w:hAnsi="Arial"/>
            <w:sz w:val="17"/>
            <w:szCs w:val="17"/>
            <w:u w:val="single" w:color="auto"/>
            <w:color w:val="0000EE"/>
          </w:rPr>
          <w:t>June 20, 2019</w:t>
        </w:r>
        <w:r>
          <w:rPr>
            <w:rFonts w:ascii="Arial" w:cs="Arial" w:eastAsia="Arial" w:hAnsi="Arial"/>
            <w:sz w:val="17"/>
            <w:szCs w:val="17"/>
            <w:color w:val="0000EE"/>
          </w:rPr>
          <w:t xml:space="preserve"> </w:t>
        </w:r>
      </w:hyperlink>
      <w:r>
        <w:rPr>
          <w:rFonts w:ascii="Arial" w:cs="Arial" w:eastAsia="Arial" w:hAnsi="Arial"/>
          <w:sz w:val="17"/>
          <w:szCs w:val="17"/>
          <w:color w:val="000000"/>
        </w:rPr>
        <w:t>(in</w:t>
      </w:r>
      <w:r>
        <w:rPr>
          <w:rFonts w:ascii="Arial" w:cs="Arial" w:eastAsia="Arial" w:hAnsi="Arial"/>
          <w:sz w:val="17"/>
          <w:szCs w:val="17"/>
          <w:color w:val="0000EE"/>
        </w:rPr>
        <w:t xml:space="preserve"> </w:t>
      </w:r>
      <w:r>
        <w:rPr>
          <w:rFonts w:ascii="Arial" w:cs="Arial" w:eastAsia="Arial" w:hAnsi="Arial"/>
          <w:sz w:val="17"/>
          <w:szCs w:val="17"/>
          <w:color w:val="000000"/>
        </w:rPr>
        <w:t>each case, except for information contained therein which is furnished rather than filed); and</w:t>
      </w:r>
    </w:p>
    <w:p>
      <w:pPr>
        <w:spacing w:after="0" w:line="80" w:lineRule="exact"/>
        <w:rPr>
          <w:rFonts w:ascii="Arial" w:cs="Arial" w:eastAsia="Arial" w:hAnsi="Arial"/>
          <w:sz w:val="17"/>
          <w:szCs w:val="17"/>
          <w:color w:val="0000EE"/>
        </w:rPr>
      </w:pPr>
    </w:p>
    <w:p>
      <w:pPr>
        <w:ind w:left="1060" w:right="420" w:hanging="316"/>
        <w:spacing w:after="0" w:line="261"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set forth in the registration statement on </w:t>
      </w:r>
      <w:hyperlink r:id="rId48">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registering our common stock under Section 12 of the Exchange Act, which was filed with the SEC on May 17, 2013, including any amendments or reports filed for purposes of updating such description, including the </w:t>
      </w:r>
      <w:hyperlink r:id="rId49">
        <w:r>
          <w:rPr>
            <w:rFonts w:ascii="Arial" w:cs="Arial" w:eastAsia="Arial" w:hAnsi="Arial"/>
            <w:sz w:val="17"/>
            <w:szCs w:val="17"/>
            <w:u w:val="single" w:color="auto"/>
            <w:color w:val="0000EE"/>
          </w:rPr>
          <w:t>Form 8-K12B</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June 14, 2019.</w:t>
      </w:r>
    </w:p>
    <w:p>
      <w:pPr>
        <w:spacing w:after="0" w:line="122" w:lineRule="exact"/>
        <w:rPr>
          <w:rFonts w:ascii="Arial" w:cs="Arial" w:eastAsia="Arial" w:hAnsi="Arial"/>
          <w:sz w:val="17"/>
          <w:szCs w:val="17"/>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We also incorporate by reference into this prospectus all documents filed by us with the SEC pursuant to Sections 13(a), 13(c), 14 or 15(d) of the Exchange Act prior to the termination of any offering of securities made by this prospectus. Nothing in this prospectus shall be deemed to incorporate information furnished but not filed with the SEC (including without limitation, information furnished under Item 2.02 or Item 7.01 of Form 8-K, and any exhibits relating to such information).</w:t>
      </w:r>
    </w:p>
    <w:p>
      <w:pPr>
        <w:spacing w:after="0" w:line="187"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the applicable prospectus supplement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154"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Telephone: (858) 900-2660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648970</wp:posOffset>
            </wp:positionV>
            <wp:extent cx="2075180" cy="7118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2075180" cy="7118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80"/>
        <w:spacing w:after="0"/>
        <w:rPr>
          <w:sz w:val="20"/>
          <w:szCs w:val="20"/>
          <w:color w:val="auto"/>
        </w:rPr>
      </w:pPr>
      <w:r>
        <w:rPr>
          <w:rFonts w:ascii="Arial" w:cs="Arial" w:eastAsia="Arial" w:hAnsi="Arial"/>
          <w:sz w:val="27"/>
          <w:szCs w:val="27"/>
          <w:b w:val="1"/>
          <w:bCs w:val="1"/>
          <w:color w:val="auto"/>
        </w:rPr>
        <w:t>850,000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1367155</wp:posOffset>
            </wp:positionV>
            <wp:extent cx="14662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260"/>
        <w:spacing w:after="0"/>
        <w:rPr>
          <w:sz w:val="20"/>
          <w:szCs w:val="20"/>
          <w:color w:val="auto"/>
        </w:rPr>
      </w:pPr>
      <w:r>
        <w:rPr>
          <w:rFonts w:ascii="Arial" w:cs="Arial" w:eastAsia="Arial" w:hAnsi="Arial"/>
          <w:sz w:val="29"/>
          <w:szCs w:val="29"/>
          <w:b w:val="1"/>
          <w:bCs w:val="1"/>
          <w:color w:val="auto"/>
        </w:rPr>
        <w:t>H.C. Wainwright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1360805</wp:posOffset>
            </wp:positionV>
            <wp:extent cx="14662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60"/>
        <w:spacing w:after="0"/>
        <w:rPr>
          <w:sz w:val="20"/>
          <w:szCs w:val="20"/>
          <w:color w:val="auto"/>
        </w:rPr>
      </w:pPr>
      <w:r>
        <w:rPr>
          <w:rFonts w:ascii="Arial" w:cs="Arial" w:eastAsia="Arial" w:hAnsi="Arial"/>
          <w:sz w:val="15"/>
          <w:szCs w:val="15"/>
          <w:b w:val="1"/>
          <w:bCs w:val="1"/>
          <w:color w:val="auto"/>
        </w:rPr>
        <w:t>The date of this prospectus supplement is September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476885</wp:posOffset>
            </wp:positionV>
            <wp:extent cx="6997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528320</wp:posOffset>
            </wp:positionV>
            <wp:extent cx="699770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858"/>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lvl w:ilvl="1">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jpe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jpe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32" Type="http://schemas.openxmlformats.org/officeDocument/2006/relationships/hyperlink" Target="http://www.sec.gov/Archives/edgar/data/0001566049/000156459019008092/arct-10k_20181231.htm" TargetMode="External"/><Relationship Id="rId33" Type="http://schemas.openxmlformats.org/officeDocument/2006/relationships/hyperlink" Target="http://www.sec.gov/Archives/edgar/data/0001566049/000156459019011220/arct-10ka_20181231.htm" TargetMode="External"/><Relationship Id="rId34" Type="http://schemas.openxmlformats.org/officeDocument/2006/relationships/hyperlink" Target="http://www.sec.gov/Archives/edgar/data/0001566049/000156459019018656/arct-10q_20190331.htm" TargetMode="External"/><Relationship Id="rId35" Type="http://schemas.openxmlformats.org/officeDocument/2006/relationships/hyperlink" Target="http://www.sec.gov/Archives/edgar/data/1768224/000156459019032166/arct-10q_20190630.htm" TargetMode="External"/><Relationship Id="rId36" Type="http://schemas.openxmlformats.org/officeDocument/2006/relationships/hyperlink" Target="http://www.sec.gov/Archives/edgar/data/0001566049/000156459019008354/arct-8k_20190318.htm" TargetMode="External"/><Relationship Id="rId37" Type="http://schemas.openxmlformats.org/officeDocument/2006/relationships/hyperlink" Target="http://www.sec.gov/Archives/edgar/data/0001566049/000156459019018889/arct-8k_20190513.htm" TargetMode="External"/><Relationship Id="rId38" Type="http://schemas.openxmlformats.org/officeDocument/2006/relationships/hyperlink" Target="http://www.sec.gov/Archives/edgar/data/0001566049/000156459019019850/arct-8k_20190520.htm" TargetMode="External"/><Relationship Id="rId39" Type="http://schemas.openxmlformats.org/officeDocument/2006/relationships/hyperlink" Target="http://www.sec.gov/Archives/edgar/data/1768224/000119312519173808/d826633d8k12b.htm" TargetMode="External"/><Relationship Id="rId40" Type="http://schemas.openxmlformats.org/officeDocument/2006/relationships/hyperlink" Target="http://www.sec.gov/Archives/edgar/data/0001768224/000119312519176112/d754519d8k.htm" TargetMode="External"/><Relationship Id="rId41" Type="http://schemas.openxmlformats.org/officeDocument/2006/relationships/hyperlink" Target="http://www.sec.gov/Archives/edgar/data/0001768224/000119312519176908/d721252d8k.htm" TargetMode="External"/><Relationship Id="rId42" Type="http://schemas.openxmlformats.org/officeDocument/2006/relationships/hyperlink" Target="http://www.sec.gov/Archives/edgar/data/1768224/000119312519205403/d753524d8k.htm" TargetMode="External"/><Relationship Id="rId43" Type="http://schemas.openxmlformats.org/officeDocument/2006/relationships/hyperlink" Target="http://www.sec.gov/Archives/edgar/data/1768224/000119380519000694/e618580_8k-at.htm" TargetMode="External"/><Relationship Id="rId44" Type="http://schemas.openxmlformats.org/officeDocument/2006/relationships/hyperlink" Target="http://www.sec.gov/Archives/edgar/data/1768224/000119312519212082/d776215d8k.htm" TargetMode="External"/><Relationship Id="rId45" Type="http://schemas.openxmlformats.org/officeDocument/2006/relationships/hyperlink" Target="http://www.sec.gov/Archives/edgar/data/1768224/000119312519212594/d717626d8k.htm" TargetMode="External"/><Relationship Id="rId46" Type="http://schemas.openxmlformats.org/officeDocument/2006/relationships/hyperlink" Target="http://www.sec.gov/Archives/edgar/data/1768224/000119312519245891/d736035d8k.htm" TargetMode="External"/><Relationship Id="rId47" Type="http://schemas.openxmlformats.org/officeDocument/2006/relationships/hyperlink" Target="http://www.sec.gov/Archives/edgar/data/1768224/000119312519252227/d808435d8k.htm" TargetMode="External"/><Relationship Id="rId48" Type="http://schemas.openxmlformats.org/officeDocument/2006/relationships/hyperlink" Target="http://www.sec.gov/Archives/edgar/data/0001566049/000114420413030169/v345563_8a12b.htm" TargetMode="External"/><Relationship Id="rId49" Type="http://schemas.openxmlformats.org/officeDocument/2006/relationships/hyperlink" Target="http://www.sec.gov/Archives/edgar/data/0001768224/000119312519173808/d826633d8k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2019-11-28T23:51:40Z</dcterms:created>
  <dcterms:modified xsi:type="dcterms:W3CDTF">2019-11-28T23:51:40Z</dcterms:modified>
</cp:coreProperties>
</file>