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line="236"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140" w:hanging="484"/>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140" w:hanging="484"/>
        <w:spacing w:after="0"/>
        <w:tabs>
          <w:tab w:leader="none" w:pos="114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225" w:lineRule="exact"/>
        <w:rPr>
          <w:rFonts w:ascii="Wingdings" w:cs="Wingdings" w:eastAsia="Wingdings" w:hAnsi="Wingdings"/>
          <w:sz w:val="18"/>
          <w:szCs w:val="18"/>
          <w:b w:val="1"/>
          <w:bCs w:val="1"/>
          <w:color w:val="auto"/>
        </w:rPr>
      </w:pPr>
    </w:p>
    <w:p>
      <w:pPr>
        <w:ind w:left="1140" w:hanging="484"/>
        <w:spacing w:after="0"/>
        <w:tabs>
          <w:tab w:leader="none" w:pos="114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00" w:lineRule="exact"/>
        <w:rPr>
          <w:rFonts w:ascii="Wingdings" w:cs="Wingdings" w:eastAsia="Wingdings" w:hAnsi="Wingdings"/>
          <w:sz w:val="18"/>
          <w:szCs w:val="18"/>
          <w:b w:val="1"/>
          <w:bCs w:val="1"/>
          <w:color w:val="auto"/>
        </w:rPr>
      </w:pPr>
    </w:p>
    <w:p>
      <w:pPr>
        <w:spacing w:after="0" w:line="200" w:lineRule="exact"/>
        <w:rPr>
          <w:rFonts w:ascii="Wingdings" w:cs="Wingdings" w:eastAsia="Wingdings" w:hAnsi="Wingdings"/>
          <w:sz w:val="18"/>
          <w:szCs w:val="18"/>
          <w:b w:val="1"/>
          <w:bCs w:val="1"/>
          <w:color w:val="auto"/>
        </w:rPr>
      </w:pPr>
    </w:p>
    <w:p>
      <w:pPr>
        <w:spacing w:after="0" w:line="257" w:lineRule="exact"/>
        <w:rPr>
          <w:rFonts w:ascii="Wingdings" w:cs="Wingdings" w:eastAsia="Wingdings" w:hAnsi="Wingdings"/>
          <w:sz w:val="18"/>
          <w:szCs w:val="18"/>
          <w:b w:val="1"/>
          <w:bCs w:val="1"/>
          <w:color w:val="auto"/>
        </w:rPr>
      </w:pPr>
    </w:p>
    <w:p>
      <w:pPr>
        <w:spacing w:after="0" w:line="282" w:lineRule="auto"/>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1742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14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 of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
        </w:trPr>
        <w:tc>
          <w:tcPr>
            <w:tcW w:w="6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80" w:type="dxa"/>
            <w:vAlign w:val="bottom"/>
            <w:vMerge w:val="restart"/>
          </w:tcPr>
          <w:p>
            <w:pPr>
              <w:jc w:val="center"/>
              <w:ind w:right="788"/>
              <w:spacing w:after="0"/>
              <w:rPr>
                <w:sz w:val="20"/>
                <w:szCs w:val="20"/>
                <w:color w:val="auto"/>
              </w:rPr>
            </w:pPr>
            <w:r>
              <w:rPr>
                <w:rFonts w:ascii="Times New Roman" w:cs="Times New Roman" w:eastAsia="Times New Roman" w:hAnsi="Times New Roman"/>
                <w:sz w:val="22"/>
                <w:szCs w:val="22"/>
                <w:b w:val="1"/>
                <w:bCs w:val="1"/>
                <w:color w:val="auto"/>
                <w:w w:val="98"/>
              </w:rPr>
              <w:t>13G/A</w:t>
            </w: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03969T109</w:t>
            </w:r>
          </w:p>
        </w:tc>
        <w:tc>
          <w:tcPr>
            <w:tcW w:w="680" w:type="dxa"/>
            <w:vAlign w:val="bottom"/>
            <w:tcBorders>
              <w:bottom w:val="single" w:sz="8" w:color="auto"/>
              <w:right w:val="single" w:sz="8" w:color="auto"/>
            </w:tcBorders>
          </w:tcPr>
          <w:p>
            <w:pPr>
              <w:spacing w:after="0"/>
              <w:rPr>
                <w:sz w:val="19"/>
                <w:szCs w:val="19"/>
                <w:color w:val="auto"/>
              </w:rPr>
            </w:pPr>
          </w:p>
        </w:tc>
        <w:tc>
          <w:tcPr>
            <w:tcW w:w="688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right w:val="single" w:sz="8" w:color="auto"/>
            </w:tcBorders>
          </w:tcPr>
          <w:p>
            <w:pPr>
              <w:spacing w:after="0"/>
              <w:rPr>
                <w:sz w:val="20"/>
                <w:szCs w:val="20"/>
                <w:color w:val="auto"/>
              </w:rPr>
            </w:pPr>
          </w:p>
        </w:tc>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Sumitomo Mitsui Trust Holdings, Inc. (“SMTH”)</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jc w:val="center"/>
              <w:ind w:left="50"/>
              <w:spacing w:after="0" w:line="191" w:lineRule="exact"/>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16"/>
                <w:szCs w:val="16"/>
                <w:color w:val="auto"/>
              </w:rPr>
            </w:pPr>
          </w:p>
        </w:tc>
        <w:tc>
          <w:tcPr>
            <w:tcW w:w="892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580"/>
              <w:spacing w:after="0" w:line="191" w:lineRule="exact"/>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7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spacing w:after="0"/>
              <w:rPr>
                <w:sz w:val="16"/>
                <w:szCs w:val="16"/>
                <w:color w:val="auto"/>
              </w:rPr>
            </w:pPr>
          </w:p>
        </w:tc>
        <w:tc>
          <w:tcPr>
            <w:tcW w:w="6880" w:type="dxa"/>
            <w:vAlign w:val="bottom"/>
            <w:tcBorders>
              <w:bottom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0"/>
                <w:szCs w:val="20"/>
                <w:color w:val="auto"/>
              </w:rPr>
            </w:pPr>
          </w:p>
        </w:tc>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6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w:t>
            </w:r>
          </w:p>
        </w:tc>
        <w:tc>
          <w:tcPr>
            <w:tcW w:w="6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88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60" w:type="dxa"/>
            <w:vAlign w:val="bottom"/>
            <w:tcBorders>
              <w:left w:val="single" w:sz="8" w:color="auto"/>
            </w:tcBorders>
          </w:tcPr>
          <w:p>
            <w:pPr>
              <w:spacing w:after="0"/>
              <w:rPr>
                <w:sz w:val="9"/>
                <w:szCs w:val="9"/>
                <w:color w:val="auto"/>
              </w:rPr>
            </w:pPr>
          </w:p>
        </w:tc>
        <w:tc>
          <w:tcPr>
            <w:tcW w:w="1260" w:type="dxa"/>
            <w:vAlign w:val="bottom"/>
            <w:tcBorders>
              <w:right w:val="single" w:sz="8" w:color="auto"/>
            </w:tcBorders>
            <w:gridSpan w:val="2"/>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8"/>
              </w:rPr>
              <w:t>SHARES</w:t>
            </w:r>
          </w:p>
        </w:tc>
        <w:tc>
          <w:tcPr>
            <w:tcW w:w="24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80" w:type="dxa"/>
            <w:vAlign w:val="bottom"/>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60" w:type="dxa"/>
            <w:vAlign w:val="bottom"/>
            <w:tcBorders>
              <w:left w:val="single" w:sz="8" w:color="auto"/>
            </w:tcBorders>
          </w:tcPr>
          <w:p>
            <w:pPr>
              <w:spacing w:after="0"/>
              <w:rPr>
                <w:sz w:val="9"/>
                <w:szCs w:val="9"/>
                <w:color w:val="auto"/>
              </w:rPr>
            </w:pPr>
          </w:p>
        </w:tc>
        <w:tc>
          <w:tcPr>
            <w:tcW w:w="1260" w:type="dxa"/>
            <w:vAlign w:val="bottom"/>
            <w:tcBorders>
              <w:right w:val="single" w:sz="8" w:color="auto"/>
            </w:tcBorders>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1,320,652</w:t>
            </w: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0" w:type="dxa"/>
            <w:vAlign w:val="bottom"/>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8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EACH</w:t>
            </w:r>
          </w:p>
        </w:tc>
        <w:tc>
          <w:tcPr>
            <w:tcW w:w="240" w:type="dxa"/>
            <w:vAlign w:val="bottom"/>
          </w:tcPr>
          <w:p>
            <w:pPr>
              <w:spacing w:after="0"/>
              <w:rPr>
                <w:sz w:val="10"/>
                <w:szCs w:val="10"/>
                <w:color w:val="auto"/>
              </w:rPr>
            </w:pPr>
          </w:p>
        </w:tc>
        <w:tc>
          <w:tcPr>
            <w:tcW w:w="68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w:t>
            </w:r>
          </w:p>
        </w:tc>
        <w:tc>
          <w:tcPr>
            <w:tcW w:w="688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6880" w:type="dxa"/>
            <w:vAlign w:val="bottom"/>
            <w:vMerge w:val="continue"/>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80" w:type="dxa"/>
            <w:vAlign w:val="bottom"/>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8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80" w:type="dxa"/>
            <w:vAlign w:val="bottom"/>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w:t>
            </w:r>
          </w:p>
        </w:tc>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1,320,652</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140" w:type="dxa"/>
            <w:vAlign w:val="bottom"/>
            <w:tcBorders>
              <w:right w:val="single" w:sz="8" w:color="auto"/>
            </w:tcBorders>
          </w:tcPr>
          <w:p>
            <w:pPr>
              <w:spacing w:after="0"/>
              <w:rPr>
                <w:sz w:val="20"/>
                <w:szCs w:val="20"/>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1,320,652</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920" w:type="dxa"/>
            <w:vAlign w:val="bottom"/>
            <w:tcBorders>
              <w:bottom w:val="single" w:sz="8" w:color="auto"/>
            </w:tcBorders>
            <w:gridSpan w:val="4"/>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Borders>
              <w:right w:val="single" w:sz="8" w:color="auto"/>
            </w:tcBorders>
          </w:tcPr>
          <w:p>
            <w:pPr>
              <w:spacing w:after="0"/>
              <w:rPr>
                <w:sz w:val="20"/>
                <w:szCs w:val="20"/>
                <w:color w:val="auto"/>
              </w:rPr>
            </w:pPr>
          </w:p>
        </w:tc>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spacing w:after="0"/>
              <w:rPr>
                <w:sz w:val="20"/>
                <w:szCs w:val="20"/>
                <w:color w:val="auto"/>
              </w:rPr>
            </w:pPr>
            <w:r>
              <w:rPr>
                <w:rFonts w:ascii="Wingdings" w:cs="Wingdings" w:eastAsia="Wingdings" w:hAnsi="Wingdings"/>
                <w:sz w:val="18"/>
                <w:szCs w:val="18"/>
                <w:b w:val="1"/>
                <w:bCs w:val="1"/>
                <w:color w:val="auto"/>
              </w:rPr>
              <w:t>o</w:t>
            </w: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0"/>
                <w:szCs w:val="20"/>
                <w:color w:val="auto"/>
              </w:rPr>
            </w:pPr>
          </w:p>
        </w:tc>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4.94%</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0"/>
                <w:szCs w:val="20"/>
                <w:color w:val="auto"/>
              </w:rPr>
            </w:pPr>
          </w:p>
        </w:tc>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HC, FI</w:t>
            </w: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jc w:val="center"/>
              <w:ind w:right="808"/>
              <w:spacing w:after="0"/>
              <w:rPr>
                <w:sz w:val="20"/>
                <w:szCs w:val="20"/>
                <w:color w:val="auto"/>
              </w:rPr>
            </w:pPr>
            <w:r>
              <w:rPr>
                <w:rFonts w:ascii="Times New Roman" w:cs="Times New Roman" w:eastAsia="Times New Roman" w:hAnsi="Times New Roman"/>
                <w:sz w:val="18"/>
                <w:szCs w:val="18"/>
                <w:color w:val="auto"/>
              </w:rPr>
              <w:t>Page 2 of 9</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29"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
        </w:trPr>
        <w:tc>
          <w:tcPr>
            <w:tcW w:w="6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80" w:type="dxa"/>
            <w:vAlign w:val="bottom"/>
            <w:vMerge w:val="restart"/>
          </w:tcPr>
          <w:p>
            <w:pPr>
              <w:jc w:val="center"/>
              <w:ind w:right="788"/>
              <w:spacing w:after="0"/>
              <w:rPr>
                <w:sz w:val="20"/>
                <w:szCs w:val="20"/>
                <w:color w:val="auto"/>
              </w:rPr>
            </w:pPr>
            <w:r>
              <w:rPr>
                <w:rFonts w:ascii="Times New Roman" w:cs="Times New Roman" w:eastAsia="Times New Roman" w:hAnsi="Times New Roman"/>
                <w:sz w:val="22"/>
                <w:szCs w:val="22"/>
                <w:b w:val="1"/>
                <w:bCs w:val="1"/>
                <w:color w:val="auto"/>
                <w:w w:val="98"/>
              </w:rPr>
              <w:t>13G/A</w:t>
            </w: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03969T109</w:t>
            </w:r>
          </w:p>
        </w:tc>
        <w:tc>
          <w:tcPr>
            <w:tcW w:w="680" w:type="dxa"/>
            <w:vAlign w:val="bottom"/>
            <w:tcBorders>
              <w:bottom w:val="single" w:sz="8" w:color="auto"/>
              <w:right w:val="single" w:sz="8" w:color="auto"/>
            </w:tcBorders>
          </w:tcPr>
          <w:p>
            <w:pPr>
              <w:spacing w:after="0"/>
              <w:rPr>
                <w:sz w:val="19"/>
                <w:szCs w:val="19"/>
                <w:color w:val="auto"/>
              </w:rPr>
            </w:pPr>
          </w:p>
        </w:tc>
        <w:tc>
          <w:tcPr>
            <w:tcW w:w="688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right w:val="single" w:sz="8" w:color="auto"/>
            </w:tcBorders>
          </w:tcPr>
          <w:p>
            <w:pPr>
              <w:spacing w:after="0"/>
              <w:rPr>
                <w:sz w:val="20"/>
                <w:szCs w:val="20"/>
                <w:color w:val="auto"/>
              </w:rPr>
            </w:pPr>
          </w:p>
        </w:tc>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Nikko Asset Management Co., Ltd. (“NAM”)</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jc w:val="center"/>
              <w:ind w:left="50"/>
              <w:spacing w:after="0" w:line="191" w:lineRule="exact"/>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16"/>
                <w:szCs w:val="16"/>
                <w:color w:val="auto"/>
              </w:rPr>
            </w:pPr>
          </w:p>
        </w:tc>
        <w:tc>
          <w:tcPr>
            <w:tcW w:w="892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580"/>
              <w:spacing w:after="0" w:line="191" w:lineRule="exact"/>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7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spacing w:after="0"/>
              <w:rPr>
                <w:sz w:val="16"/>
                <w:szCs w:val="16"/>
                <w:color w:val="auto"/>
              </w:rPr>
            </w:pPr>
          </w:p>
        </w:tc>
        <w:tc>
          <w:tcPr>
            <w:tcW w:w="6880" w:type="dxa"/>
            <w:vAlign w:val="bottom"/>
            <w:tcBorders>
              <w:bottom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0"/>
                <w:szCs w:val="20"/>
                <w:color w:val="auto"/>
              </w:rPr>
            </w:pPr>
          </w:p>
        </w:tc>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6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w:t>
            </w:r>
          </w:p>
        </w:tc>
        <w:tc>
          <w:tcPr>
            <w:tcW w:w="6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88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60" w:type="dxa"/>
            <w:vAlign w:val="bottom"/>
            <w:tcBorders>
              <w:left w:val="single" w:sz="8" w:color="auto"/>
            </w:tcBorders>
          </w:tcPr>
          <w:p>
            <w:pPr>
              <w:spacing w:after="0"/>
              <w:rPr>
                <w:sz w:val="9"/>
                <w:szCs w:val="9"/>
                <w:color w:val="auto"/>
              </w:rPr>
            </w:pPr>
          </w:p>
        </w:tc>
        <w:tc>
          <w:tcPr>
            <w:tcW w:w="1260" w:type="dxa"/>
            <w:vAlign w:val="bottom"/>
            <w:tcBorders>
              <w:right w:val="single" w:sz="8" w:color="auto"/>
            </w:tcBorders>
            <w:gridSpan w:val="2"/>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8"/>
              </w:rPr>
              <w:t>SHARES</w:t>
            </w:r>
          </w:p>
        </w:tc>
        <w:tc>
          <w:tcPr>
            <w:tcW w:w="24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80" w:type="dxa"/>
            <w:vAlign w:val="bottom"/>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60" w:type="dxa"/>
            <w:vAlign w:val="bottom"/>
            <w:tcBorders>
              <w:left w:val="single" w:sz="8" w:color="auto"/>
            </w:tcBorders>
          </w:tcPr>
          <w:p>
            <w:pPr>
              <w:spacing w:after="0"/>
              <w:rPr>
                <w:sz w:val="9"/>
                <w:szCs w:val="9"/>
                <w:color w:val="auto"/>
              </w:rPr>
            </w:pPr>
          </w:p>
        </w:tc>
        <w:tc>
          <w:tcPr>
            <w:tcW w:w="1260" w:type="dxa"/>
            <w:vAlign w:val="bottom"/>
            <w:tcBorders>
              <w:right w:val="single" w:sz="8" w:color="auto"/>
            </w:tcBorders>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1,320,652</w:t>
            </w: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0" w:type="dxa"/>
            <w:vAlign w:val="bottom"/>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8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EACH</w:t>
            </w:r>
          </w:p>
        </w:tc>
        <w:tc>
          <w:tcPr>
            <w:tcW w:w="240" w:type="dxa"/>
            <w:vAlign w:val="bottom"/>
          </w:tcPr>
          <w:p>
            <w:pPr>
              <w:spacing w:after="0"/>
              <w:rPr>
                <w:sz w:val="10"/>
                <w:szCs w:val="10"/>
                <w:color w:val="auto"/>
              </w:rPr>
            </w:pPr>
          </w:p>
        </w:tc>
        <w:tc>
          <w:tcPr>
            <w:tcW w:w="68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w:t>
            </w:r>
          </w:p>
        </w:tc>
        <w:tc>
          <w:tcPr>
            <w:tcW w:w="688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6880" w:type="dxa"/>
            <w:vAlign w:val="bottom"/>
            <w:vMerge w:val="continue"/>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80" w:type="dxa"/>
            <w:vAlign w:val="bottom"/>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8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80" w:type="dxa"/>
            <w:vAlign w:val="bottom"/>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w:t>
            </w:r>
          </w:p>
        </w:tc>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1,320,652</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140" w:type="dxa"/>
            <w:vAlign w:val="bottom"/>
            <w:tcBorders>
              <w:right w:val="single" w:sz="8" w:color="auto"/>
            </w:tcBorders>
          </w:tcPr>
          <w:p>
            <w:pPr>
              <w:spacing w:after="0"/>
              <w:rPr>
                <w:sz w:val="20"/>
                <w:szCs w:val="20"/>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1,320,652</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920" w:type="dxa"/>
            <w:vAlign w:val="bottom"/>
            <w:tcBorders>
              <w:bottom w:val="single" w:sz="8" w:color="auto"/>
            </w:tcBorders>
            <w:gridSpan w:val="4"/>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Borders>
              <w:right w:val="single" w:sz="8" w:color="auto"/>
            </w:tcBorders>
          </w:tcPr>
          <w:p>
            <w:pPr>
              <w:spacing w:after="0"/>
              <w:rPr>
                <w:sz w:val="20"/>
                <w:szCs w:val="20"/>
                <w:color w:val="auto"/>
              </w:rPr>
            </w:pPr>
          </w:p>
        </w:tc>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spacing w:after="0"/>
              <w:rPr>
                <w:sz w:val="20"/>
                <w:szCs w:val="20"/>
                <w:color w:val="auto"/>
              </w:rPr>
            </w:pPr>
            <w:r>
              <w:rPr>
                <w:rFonts w:ascii="Wingdings" w:cs="Wingdings" w:eastAsia="Wingdings" w:hAnsi="Wingdings"/>
                <w:sz w:val="18"/>
                <w:szCs w:val="18"/>
                <w:b w:val="1"/>
                <w:bCs w:val="1"/>
                <w:color w:val="auto"/>
              </w:rPr>
              <w:t>o</w:t>
            </w: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0"/>
                <w:szCs w:val="20"/>
                <w:color w:val="auto"/>
              </w:rPr>
            </w:pPr>
          </w:p>
        </w:tc>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4.94%</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0"/>
                <w:szCs w:val="20"/>
                <w:color w:val="auto"/>
              </w:rPr>
            </w:pPr>
          </w:p>
        </w:tc>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IA, HC, FI</w:t>
            </w:r>
          </w:p>
        </w:tc>
        <w:tc>
          <w:tcPr>
            <w:tcW w:w="6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jc w:val="center"/>
              <w:ind w:right="808"/>
              <w:spacing w:after="0"/>
              <w:rPr>
                <w:sz w:val="20"/>
                <w:szCs w:val="20"/>
                <w:color w:val="auto"/>
              </w:rPr>
            </w:pPr>
            <w:r>
              <w:rPr>
                <w:rFonts w:ascii="Times New Roman" w:cs="Times New Roman" w:eastAsia="Times New Roman" w:hAnsi="Times New Roman"/>
                <w:sz w:val="18"/>
                <w:szCs w:val="18"/>
                <w:color w:val="auto"/>
              </w:rPr>
              <w:t>Page 3 of 9</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Item 1(a). Name of Issuer: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1(b). Address of Issuer’s Principal Executive Offices: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10628 Science Center Drive, Suite 250 San Diego, California 92121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2(a). Name of Person Filing: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Sumitomo Mitsui Trust Holdings, Inc.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Nikko Asset Management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2(b). Address of Principal Business Office or, if None, Residence: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SMTH: 1-4-1 Marunouchi, Chiyoda-ku, Tokyo 100-8233, Japan</w:t>
      </w:r>
    </w:p>
    <w:p>
      <w:pPr>
        <w:spacing w:after="0" w:line="225" w:lineRule="exact"/>
        <w:rPr>
          <w:sz w:val="20"/>
          <w:szCs w:val="20"/>
          <w:color w:val="auto"/>
        </w:rPr>
      </w:pPr>
    </w:p>
    <w:p>
      <w:pPr>
        <w:ind w:right="4359" w:firstLine="324"/>
        <w:spacing w:after="0" w:line="500" w:lineRule="auto"/>
        <w:rPr>
          <w:sz w:val="20"/>
          <w:szCs w:val="20"/>
          <w:color w:val="auto"/>
        </w:rPr>
      </w:pPr>
      <w:r>
        <w:rPr>
          <w:rFonts w:ascii="Times New Roman" w:cs="Times New Roman" w:eastAsia="Times New Roman" w:hAnsi="Times New Roman"/>
          <w:sz w:val="18"/>
          <w:szCs w:val="18"/>
          <w:color w:val="auto"/>
        </w:rPr>
        <w:t>NAM: Midtown Tower, 9-7-1 Akasaka, Minato-ku, Tokyo 107-6242, Japan Item 2(c). Citizenship:</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SMTH: Japan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 Japan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2(d). Title of Class of Securities: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2(e). CUSIP Number: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03969T109</w:t>
      </w:r>
    </w:p>
    <w:p>
      <w:pPr>
        <w:spacing w:after="0" w:line="364"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8"/>
          <w:szCs w:val="18"/>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2" w:right="1440" w:bottom="1440" w:gutter="0" w:footer="0" w:header="0"/>
        </w:sectPr>
      </w:pPr>
    </w:p>
    <w:bookmarkStart w:id="4" w:name="page5"/>
    <w:bookmarkEnd w:id="4"/>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color w:val="auto"/>
        </w:rPr>
        <w:t>If this Statement is Filed Pursuant to Rule 13d-1(b), or 13d-2(b) or (c), Check Whether the Person Filing is 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SMTH:</w:t>
      </w:r>
    </w:p>
    <w:p>
      <w:pPr>
        <w:spacing w:after="0" w:line="225" w:lineRule="exact"/>
        <w:rPr>
          <w:sz w:val="20"/>
          <w:szCs w:val="20"/>
          <w:color w:val="auto"/>
        </w:rPr>
      </w:pPr>
    </w:p>
    <w:p>
      <w:pPr>
        <w:ind w:left="680" w:hanging="672"/>
        <w:spacing w:after="0"/>
        <w:tabs>
          <w:tab w:leader="none" w:pos="680" w:val="left"/>
        </w:tabs>
        <w:numPr>
          <w:ilvl w:val="0"/>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pacing w:after="0" w:line="184"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parent holding company or control person in accordance with §240.13d-1(b)(1)(ii)(G);</w:t>
      </w:r>
    </w:p>
    <w:p>
      <w:pPr>
        <w:spacing w:after="0" w:line="26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260" w:hanging="1252"/>
        <w:spacing w:after="0" w:line="282" w:lineRule="auto"/>
        <w:tabs>
          <w:tab w:leader="none" w:pos="693" w:val="left"/>
        </w:tabs>
        <w:numPr>
          <w:ilvl w:val="0"/>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1940 (15 U.S.C. 80a-3);</w:t>
      </w:r>
    </w:p>
    <w:p>
      <w:pPr>
        <w:spacing w:after="0" w:line="120"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non-U.S. institution in accordance with §240.13d-1(b)(1)(ii)(J);</w:t>
      </w:r>
    </w:p>
    <w:p>
      <w:pPr>
        <w:spacing w:after="0" w:line="26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Group, in accordance with §240.13d-1(b)(1)(ii)(K).</w:t>
      </w:r>
    </w:p>
    <w:p>
      <w:pPr>
        <w:spacing w:after="0" w:line="225" w:lineRule="exact"/>
        <w:rPr>
          <w:sz w:val="20"/>
          <w:szCs w:val="20"/>
          <w:color w:val="auto"/>
        </w:rPr>
      </w:pPr>
    </w:p>
    <w:p>
      <w:pPr>
        <w:ind w:left="340" w:right="580"/>
        <w:spacing w:after="0" w:line="500" w:lineRule="auto"/>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 Parent Holding Company NAM:</w:t>
      </w:r>
    </w:p>
    <w:p>
      <w:pPr>
        <w:spacing w:after="0" w:line="2" w:lineRule="exact"/>
        <w:rPr>
          <w:sz w:val="20"/>
          <w:szCs w:val="20"/>
          <w:color w:val="auto"/>
        </w:rPr>
      </w:pPr>
    </w:p>
    <w:p>
      <w:pPr>
        <w:ind w:left="680" w:hanging="672"/>
        <w:spacing w:after="0"/>
        <w:tabs>
          <w:tab w:leader="none" w:pos="68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184"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investment adviser in accordance with §240.13d-1(b)(1)(ii)(E);</w:t>
      </w:r>
    </w:p>
    <w:p>
      <w:pPr>
        <w:spacing w:after="0" w:line="26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pacing w:after="0" w:line="184"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parent holding company or control person in accordance with §240.13d-1(b)(1)(ii)(G);</w:t>
      </w:r>
    </w:p>
    <w:p>
      <w:pPr>
        <w:spacing w:after="0" w:line="26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260" w:hanging="1252"/>
        <w:spacing w:after="0" w:line="282" w:lineRule="auto"/>
        <w:tabs>
          <w:tab w:leader="none" w:pos="693"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1940 (15 U.S.C. 80a-3);</w:t>
      </w:r>
    </w:p>
    <w:p>
      <w:pPr>
        <w:spacing w:after="0" w:line="120"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non-U.S. institution in accordance with §240.13d-1(b)(1)(ii)(J);</w:t>
      </w:r>
    </w:p>
    <w:p>
      <w:pPr>
        <w:spacing w:after="0" w:line="26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Group, in accordance with §240.13d-1(b)(1)(ii)(K).</w:t>
      </w:r>
    </w:p>
    <w:p>
      <w:pPr>
        <w:spacing w:after="0" w:line="36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742" w:right="599" w:bottom="1440" w:gutter="0" w:footer="0" w:header="0"/>
        </w:sectPr>
      </w:pPr>
    </w:p>
    <w:bookmarkStart w:id="5" w:name="page6"/>
    <w:bookmarkEnd w:id="5"/>
    <w:p>
      <w:pPr>
        <w:ind w:right="400"/>
        <w:spacing w:after="0" w:line="282" w:lineRule="auto"/>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 Investment Adviser, Parent Holding Company</w:t>
      </w:r>
    </w:p>
    <w:p>
      <w:pPr>
        <w:spacing w:after="0" w:line="16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issuer identified in Item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Amount beneficially owned: </w:t>
            </w:r>
            <w:r>
              <w:rPr>
                <w:rFonts w:ascii="Times New Roman" w:cs="Times New Roman" w:eastAsia="Times New Roman" w:hAnsi="Times New Roman"/>
                <w:sz w:val="18"/>
                <w:szCs w:val="18"/>
                <w:b w:val="1"/>
                <w:bCs w:val="1"/>
                <w:color w:val="auto"/>
              </w:rPr>
              <w:t>1,320,652</w:t>
            </w:r>
          </w:p>
        </w:tc>
      </w:tr>
      <w:tr>
        <w:trPr>
          <w:trHeight w:val="432"/>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Percent of class: </w:t>
            </w:r>
            <w:r>
              <w:rPr>
                <w:rFonts w:ascii="Times New Roman" w:cs="Times New Roman" w:eastAsia="Times New Roman" w:hAnsi="Times New Roman"/>
                <w:sz w:val="18"/>
                <w:szCs w:val="18"/>
                <w:b w:val="1"/>
                <w:bCs w:val="1"/>
                <w:color w:val="auto"/>
              </w:rPr>
              <w:t>4.94%</w:t>
            </w:r>
          </w:p>
        </w:tc>
      </w:tr>
      <w:tr>
        <w:trPr>
          <w:trHeight w:val="432"/>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shares as to which such person has:</w:t>
            </w:r>
          </w:p>
        </w:tc>
      </w:tr>
      <w:tr>
        <w:trPr>
          <w:trHeight w:val="432"/>
        </w:trPr>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power to vote or to direct the vote: 0</w:t>
            </w:r>
          </w:p>
        </w:tc>
      </w:tr>
      <w:tr>
        <w:trPr>
          <w:trHeight w:val="432"/>
        </w:trPr>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(ii)</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Shared power to vote or to direct the vote: </w:t>
            </w:r>
            <w:r>
              <w:rPr>
                <w:rFonts w:ascii="Times New Roman" w:cs="Times New Roman" w:eastAsia="Times New Roman" w:hAnsi="Times New Roman"/>
                <w:sz w:val="18"/>
                <w:szCs w:val="18"/>
                <w:b w:val="1"/>
                <w:bCs w:val="1"/>
                <w:color w:val="auto"/>
              </w:rPr>
              <w:t>1,320,652</w:t>
            </w:r>
          </w:p>
        </w:tc>
      </w:tr>
      <w:tr>
        <w:trPr>
          <w:trHeight w:val="432"/>
        </w:trPr>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(iii)</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power to dispose or to direct the disposition of: 0</w:t>
            </w:r>
          </w:p>
        </w:tc>
      </w:tr>
      <w:tr>
        <w:trPr>
          <w:trHeight w:val="432"/>
        </w:trPr>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(iv)</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Shared power to dispose or to direct the disposition of: </w:t>
            </w:r>
            <w:r>
              <w:rPr>
                <w:rFonts w:ascii="Times New Roman" w:cs="Times New Roman" w:eastAsia="Times New Roman" w:hAnsi="Times New Roman"/>
                <w:sz w:val="18"/>
                <w:szCs w:val="18"/>
                <w:b w:val="1"/>
                <w:bCs w:val="1"/>
                <w:color w:val="auto"/>
              </w:rPr>
              <w:t>1,320,652</w:t>
            </w:r>
          </w:p>
        </w:tc>
      </w:tr>
      <w:tr>
        <w:trPr>
          <w:trHeight w:val="432"/>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NAM:</w:t>
            </w:r>
          </w:p>
        </w:tc>
        <w:tc>
          <w:tcPr>
            <w:tcW w:w="9680" w:type="dxa"/>
            <w:vAlign w:val="bottom"/>
          </w:tcPr>
          <w:p>
            <w:pPr>
              <w:spacing w:after="0"/>
              <w:rPr>
                <w:sz w:val="24"/>
                <w:szCs w:val="24"/>
                <w:color w:val="auto"/>
              </w:rPr>
            </w:pPr>
          </w:p>
        </w:tc>
      </w:tr>
      <w:tr>
        <w:trPr>
          <w:trHeight w:val="432"/>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Amount beneficially owned: </w:t>
            </w:r>
            <w:r>
              <w:rPr>
                <w:rFonts w:ascii="Times New Roman" w:cs="Times New Roman" w:eastAsia="Times New Roman" w:hAnsi="Times New Roman"/>
                <w:sz w:val="18"/>
                <w:szCs w:val="18"/>
                <w:b w:val="1"/>
                <w:bCs w:val="1"/>
                <w:color w:val="auto"/>
              </w:rPr>
              <w:t>1,320,652</w:t>
            </w:r>
          </w:p>
        </w:tc>
      </w:tr>
      <w:tr>
        <w:trPr>
          <w:trHeight w:val="432"/>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Percent of class: </w:t>
            </w:r>
            <w:r>
              <w:rPr>
                <w:rFonts w:ascii="Times New Roman" w:cs="Times New Roman" w:eastAsia="Times New Roman" w:hAnsi="Times New Roman"/>
                <w:sz w:val="18"/>
                <w:szCs w:val="18"/>
                <w:b w:val="1"/>
                <w:bCs w:val="1"/>
                <w:color w:val="auto"/>
              </w:rPr>
              <w:t>4.94%</w:t>
            </w:r>
          </w:p>
        </w:tc>
      </w:tr>
      <w:tr>
        <w:trPr>
          <w:trHeight w:val="432"/>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shares as to which such person has:</w:t>
            </w:r>
          </w:p>
        </w:tc>
      </w:tr>
      <w:tr>
        <w:trPr>
          <w:trHeight w:val="432"/>
        </w:trPr>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power to vote or to direct the vote: 0</w:t>
            </w:r>
          </w:p>
        </w:tc>
      </w:tr>
      <w:tr>
        <w:trPr>
          <w:trHeight w:val="432"/>
        </w:trPr>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(ii)</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Shared power to vote or to direct the vote: </w:t>
            </w:r>
            <w:r>
              <w:rPr>
                <w:rFonts w:ascii="Times New Roman" w:cs="Times New Roman" w:eastAsia="Times New Roman" w:hAnsi="Times New Roman"/>
                <w:sz w:val="18"/>
                <w:szCs w:val="18"/>
                <w:b w:val="1"/>
                <w:bCs w:val="1"/>
                <w:color w:val="auto"/>
              </w:rPr>
              <w:t>1,320,652</w:t>
            </w:r>
          </w:p>
        </w:tc>
      </w:tr>
      <w:tr>
        <w:trPr>
          <w:trHeight w:val="432"/>
        </w:trPr>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(iii)</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power to dispose or to direct the disposition of: 0</w:t>
            </w:r>
          </w:p>
        </w:tc>
      </w:tr>
      <w:tr>
        <w:trPr>
          <w:trHeight w:val="432"/>
        </w:trPr>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(iv)</w:t>
            </w:r>
          </w:p>
        </w:tc>
        <w:tc>
          <w:tcPr>
            <w:tcW w:w="9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Shared power to dispose or to direct the disposition of: </w:t>
            </w:r>
            <w:r>
              <w:rPr>
                <w:rFonts w:ascii="Times New Roman" w:cs="Times New Roman" w:eastAsia="Times New Roman" w:hAnsi="Times New Roman"/>
                <w:sz w:val="18"/>
                <w:szCs w:val="18"/>
                <w:b w:val="1"/>
                <w:bCs w:val="1"/>
                <w:color w:val="auto"/>
              </w:rPr>
              <w:t>1,320,652</w:t>
            </w:r>
          </w:p>
        </w:tc>
      </w:tr>
      <w:tr>
        <w:trPr>
          <w:trHeight w:val="574"/>
        </w:trPr>
        <w:tc>
          <w:tcPr>
            <w:tcW w:w="1560" w:type="dxa"/>
            <w:vAlign w:val="bottom"/>
            <w:tcBorders>
              <w:bottom w:val="single" w:sz="8" w:color="auto"/>
            </w:tcBorders>
          </w:tcPr>
          <w:p>
            <w:pPr>
              <w:spacing w:after="0"/>
              <w:rPr>
                <w:sz w:val="24"/>
                <w:szCs w:val="24"/>
                <w:color w:val="auto"/>
              </w:rPr>
            </w:pPr>
          </w:p>
        </w:tc>
        <w:tc>
          <w:tcPr>
            <w:tcW w:w="968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8"/>
                <w:szCs w:val="18"/>
                <w:color w:val="auto"/>
              </w:rPr>
              <w:t>Page 6 of 9</w:t>
            </w:r>
          </w:p>
        </w:tc>
      </w:tr>
    </w:tbl>
    <w:p>
      <w:pPr>
        <w:sectPr>
          <w:pgSz w:w="11900" w:h="16838" w:orient="portrait"/>
          <w:cols w:equalWidth="0" w:num="1">
            <w:col w:w="11240"/>
          </w:cols>
          <w:pgMar w:left="320" w:top="742" w:right="339" w:bottom="1440" w:gutter="0" w:footer="0" w:header="0"/>
        </w:sectPr>
      </w:pPr>
    </w:p>
    <w:bookmarkStart w:id="6" w:name="page7"/>
    <w:bookmarkEnd w:id="6"/>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Exhibit A.</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Certifications.</w:t>
      </w:r>
    </w:p>
    <w:p>
      <w:pPr>
        <w:spacing w:after="0" w:line="22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742" w:right="539" w:bottom="1440" w:gutter="0" w:footer="0" w:header="0"/>
        </w:sectPr>
      </w:pPr>
    </w:p>
    <w:bookmarkStart w:id="7" w:name="page8"/>
    <w:bookmarkEnd w:id="7"/>
    <w:p>
      <w:pPr>
        <w:ind w:left="3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February 5, 2024</w:t>
      </w:r>
    </w:p>
    <w:p>
      <w:pPr>
        <w:spacing w:after="0" w:line="225"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Sumitomo Mitsui Trust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(Company)</w:t>
      </w:r>
    </w:p>
    <w:p>
      <w:pPr>
        <w:spacing w:after="0" w:line="220"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/s/ Hideaki Takamiya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Hideaki Takamiya / Senior Manager of Risk</w:t>
      </w:r>
    </w:p>
    <w:p>
      <w:pPr>
        <w:spacing w:after="0" w:line="2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Management Dept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jc w:val="center"/>
        <w:ind w:left="61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color w:val="auto"/>
        </w:rPr>
        <w:t>Nikko Asset Management Co.,Ltd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(Company)</w:t>
      </w:r>
    </w:p>
    <w:p>
      <w:pPr>
        <w:spacing w:after="0" w:line="220"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/s/ Atsushi Ohya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color w:val="auto"/>
        </w:rPr>
        <w:t>Atsushi Ohya / Head of Business Regulatory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(Name/Title)</w:t>
      </w:r>
    </w:p>
    <w:p>
      <w:pPr>
        <w:spacing w:after="0" w:line="35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738" w:right="799" w:bottom="1440" w:gutter="0" w:footer="0" w:header="0"/>
        </w:sectPr>
      </w:pPr>
    </w:p>
    <w:bookmarkStart w:id="8" w:name="page9"/>
    <w:bookmarkEnd w:id="8"/>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instructions in Item 7 of Schedule 13G, the securities being reported on by each of SMTH and NAM, as parent holding companies, are owned, or may be deemed to be beneficially owned, by their subsidiary Nikko Asset Management Americas, Inc., which is classified as an investment adviser in accordance with §240.13d-1(b)(1)(ii)(E).</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9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73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o"/>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2024-02-05T05:19:02Z</dcterms:created>
  <dcterms:modified xsi:type="dcterms:W3CDTF">2024-02-05T05:19:02Z</dcterms:modified>
</cp:coreProperties>
</file>