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8,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4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3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0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0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8, 2021, Arcturus Therapeutics Holdings Inc. (the “Company” or “Arcturus”) issued a press release, a copy of which is furnished herewith as Exhibit 99.1, announcing the Company’s financial results for the quarter ended September 30, 2021 and providing a corporate update (the “Press Release”).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Note Regarding Forward-Looking Statements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on Form 8-K and the Press Release, are forward-looking statements, including those regarding strategy, future operations, the expectations for or likelihood of success of any collaborations (including with respect to LUNAR-HBV), the likelihood of success (including safety and efficacy) of the Company’s pipeline (including LUNAR-FLU, ARCT-021, ARCT-032, ARCT-154, ARCT-165 and ARCT-810), anticipated sponsorship and/or funding of clinical trials of the Company’s candidates, the Company’s efforts to develop a vaccine against COVID-19 and therapeutic potential thereof based on the Company’s mRNA therapeutics, the planned initiation, design or completion of clinical trials, the likelihood that the Company will obtain clearance from regulatory authorities to proceed with future planned clinical trials, the likelihood that preclinical or clinical data will be predictive of future clinical results (including with respect to safety, immunogenicity and efficacy), the ability to enroll, and timing for enrollment of, subjects in clinical trials, the timing and nature of any study results, the likelihood that clinical data will be sufficient for regulatory approval or completed in time to submit an application for regulatory approval within a particular timeframe, the likelihood or timing of any regulatory approval, the Company’s manufacturing plans or technologies (including with its partner, Vinbiotech), the likelihood that a patent will issue from any patent application, its current cash position and adequacy of its capital to support future operations,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for the fiscal year ended December 31, 2020 and in subsequent filings with, or submissions to, the SEC, which are available on the SEC’s website at www.sec.gov. Except as otherwise required by law, Arcturus disclaims any intention or obligation to update or revise any forward-looking statements made in this Current Report on Form 8-K and the Press Release,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color w:val="auto"/>
        </w:rPr>
        <w:t>The statements made in this Current Report on Form 8-K and the Press Release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(d) Exhibits.</w:t>
            </w:r>
          </w:p>
        </w:tc>
        <w:tc>
          <w:tcPr>
            <w:tcW w:w="2820" w:type="dxa"/>
            <w:vAlign w:val="bottom"/>
          </w:tcPr>
          <w:p>
            <w:pPr>
              <w:spacing w:after="0"/>
              <w:rPr>
                <w:sz w:val="20"/>
                <w:szCs w:val="20"/>
                <w:color w:val="auto"/>
              </w:rPr>
            </w:pPr>
          </w:p>
        </w:tc>
        <w:tc>
          <w:tcPr>
            <w:tcW w:w="6740" w:type="dxa"/>
            <w:vAlign w:val="bottom"/>
          </w:tcPr>
          <w:p>
            <w:pPr>
              <w:spacing w:after="0"/>
              <w:rPr>
                <w:sz w:val="20"/>
                <w:szCs w:val="20"/>
                <w:color w:val="auto"/>
              </w:rPr>
            </w:pP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392"/>
        </w:trPr>
        <w:tc>
          <w:tcPr>
            <w:tcW w:w="1680" w:type="dxa"/>
            <w:vAlign w:val="bottom"/>
          </w:tcPr>
          <w:p>
            <w:pPr>
              <w:spacing w:after="0"/>
              <w:rPr>
                <w:sz w:val="20"/>
                <w:szCs w:val="20"/>
                <w:color w:val="auto"/>
              </w:rPr>
            </w:pPr>
            <w:r>
              <w:rPr>
                <w:rFonts w:ascii="Arial" w:cs="Arial" w:eastAsia="Arial" w:hAnsi="Arial"/>
                <w:sz w:val="18"/>
                <w:szCs w:val="18"/>
                <w:color w:val="auto"/>
              </w:rPr>
              <w:t>99.1</w:t>
            </w:r>
          </w:p>
        </w:tc>
        <w:tc>
          <w:tcPr>
            <w:tcW w:w="282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Press Release dated November 8, 2021</w:t>
              </w:r>
            </w:hyperlink>
          </w:p>
        </w:tc>
        <w:tc>
          <w:tcPr>
            <w:tcW w:w="6740" w:type="dxa"/>
            <w:vAlign w:val="bottom"/>
          </w:tcPr>
          <w:p>
            <w:pPr>
              <w:spacing w:after="0"/>
              <w:rPr>
                <w:sz w:val="24"/>
                <w:szCs w:val="24"/>
                <w:color w:val="auto"/>
              </w:rPr>
            </w:pPr>
          </w:p>
        </w:tc>
      </w:tr>
      <w:tr>
        <w:trPr>
          <w:trHeight w:val="453"/>
        </w:trPr>
        <w:tc>
          <w:tcPr>
            <w:tcW w:w="168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to this Current Report on Form 8-K in Inline XBRL</w:t>
            </w:r>
          </w:p>
        </w:tc>
      </w:tr>
      <w:tr>
        <w:trPr>
          <w:trHeight w:val="574"/>
        </w:trPr>
        <w:tc>
          <w:tcPr>
            <w:tcW w:w="16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69"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333333"/>
        </w:rPr>
        <w:t>Arcturus Therapeutics Announces Third Quarter 2021 Financial Update and Pipeline Progress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Phase 1/2/3a and 3b study of ARCT-154 COVID-19 vaccine candidate completed enrollment with over 17,000 participants</w:t>
      </w:r>
    </w:p>
    <w:p>
      <w:pPr>
        <w:spacing w:after="0" w:line="225" w:lineRule="exact"/>
        <w:rPr>
          <w:sz w:val="20"/>
          <w:szCs w:val="20"/>
          <w:color w:val="auto"/>
        </w:rPr>
      </w:pPr>
    </w:p>
    <w:p>
      <w:pPr>
        <w:jc w:val="center"/>
        <w:ind w:left="340" w:right="20"/>
        <w:spacing w:after="0" w:line="277" w:lineRule="auto"/>
        <w:rPr>
          <w:sz w:val="20"/>
          <w:szCs w:val="20"/>
          <w:color w:val="auto"/>
        </w:rPr>
      </w:pPr>
      <w:r>
        <w:rPr>
          <w:rFonts w:ascii="Arial" w:cs="Arial" w:eastAsia="Arial" w:hAnsi="Arial"/>
          <w:sz w:val="18"/>
          <w:szCs w:val="18"/>
          <w:i w:val="1"/>
          <w:iCs w:val="1"/>
          <w:color w:val="auto"/>
        </w:rPr>
        <w:t>Initiated ~2,000 participant ARCT-154 Phase 3c sub-study to compare immunogenicity noninferiority to AstraZeneca COVID-19 vaccine; enrollment to be completed this week</w:t>
      </w:r>
    </w:p>
    <w:p>
      <w:pPr>
        <w:spacing w:after="0" w:line="170" w:lineRule="exact"/>
        <w:rPr>
          <w:sz w:val="20"/>
          <w:szCs w:val="20"/>
          <w:color w:val="auto"/>
        </w:rPr>
      </w:pPr>
    </w:p>
    <w:p>
      <w:pPr>
        <w:jc w:val="center"/>
        <w:ind w:left="340" w:right="180"/>
        <w:spacing w:after="0" w:line="277" w:lineRule="auto"/>
        <w:rPr>
          <w:sz w:val="20"/>
          <w:szCs w:val="20"/>
          <w:color w:val="auto"/>
        </w:rPr>
      </w:pPr>
      <w:r>
        <w:rPr>
          <w:rFonts w:ascii="Arial" w:cs="Arial" w:eastAsia="Arial" w:hAnsi="Arial"/>
          <w:sz w:val="18"/>
          <w:szCs w:val="18"/>
          <w:i w:val="1"/>
          <w:iCs w:val="1"/>
          <w:color w:val="auto"/>
        </w:rPr>
        <w:t>Preparing to file Emergency Use Authorization (EUA) application for ARCT-154, pending interim study results, with the Vietnam Ministry of Health in December 2021; potential for EUA approval in Q1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Investor conference call at 4:30 p.m. ET today</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San Diego, Calif., Nov. 8, 2021 </w:t>
      </w:r>
      <w:r>
        <w:rPr>
          <w:rFonts w:ascii="Arial" w:cs="Arial" w:eastAsia="Arial" w:hAnsi="Arial"/>
          <w:sz w:val="17"/>
          <w:szCs w:val="17"/>
          <w:color w:val="auto"/>
        </w:rPr>
        <w:t>– Arcturus Therapeutics Holdings Inc. (the “Company”, “Arcturus”, Nasdaq: ARCT), a leading clinical-stage messenger</w:t>
      </w:r>
      <w:r>
        <w:rPr>
          <w:rFonts w:ascii="Arial" w:cs="Arial" w:eastAsia="Arial" w:hAnsi="Arial"/>
          <w:sz w:val="17"/>
          <w:szCs w:val="17"/>
          <w:b w:val="1"/>
          <w:bCs w:val="1"/>
          <w:color w:val="auto"/>
        </w:rPr>
        <w:t xml:space="preserve"> </w:t>
      </w:r>
      <w:r>
        <w:rPr>
          <w:rFonts w:ascii="Arial" w:cs="Arial" w:eastAsia="Arial" w:hAnsi="Arial"/>
          <w:sz w:val="17"/>
          <w:szCs w:val="17"/>
          <w:color w:val="auto"/>
        </w:rPr>
        <w:t>RNA medicines company focused on the development of infectious disease vaccines and significant opportunities within liver and respiratory rare diseases, today announced its financial results for the third quarter ended September 30, 2021 and provided corporate updates.</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extremely pleased to have rapidly completed full enrollment of the Phase 1/2/3a and 3b cohorts and are looking forward to completing enrollment in the Phase 3c sub-study of the ARCT-154 pivotal trial this week, in collaboration with Vinbiotech. Assuming favorable data, we look forward to filing for Emergency Use Authorization as soon as December of this year,” said Joseph Payne, President and CEO of Arcturus Therapeutics. “ARCT-154 has an attractive and differentiated profile as a low dose, self-amplifying mRNA vaccine candidate that targets multiple SARS-CoV2 variants of concern, and we are working diligently with our global manufacturing partners to make it available as soon as possible.”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Highlights</w:t>
      </w:r>
    </w:p>
    <w:p>
      <w:pPr>
        <w:spacing w:after="0" w:line="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August, Arcturus, together with Vinbiotech, advanced ARCT-154 into a Phase 1/2/3 study in Vietnam.</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October, Arcturus received approval to proceed with enrollment of the Phase 3b cohort of the study following a review by the Vietnam Ministry of Health of early safety data from the initial 1,000 participants enrolled in the Phase 1/2/3a cohorts.</w:t>
      </w:r>
    </w:p>
    <w:p>
      <w:pPr>
        <w:jc w:val="both"/>
        <w:ind w:left="660" w:right="640" w:hanging="328"/>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November, the Phase 3b cohort of this randomized, placebo-controlled portion of the trial was modified to enroll approximately 16,000 participants with a Phase 3c sub-study of approximately 2,000 participants added to evaluate immunogenicity noninferiority compared to AstraZeneca COVID-19 vaccine. This sub-study provides an additional path to potential full approval.</w:t>
      </w: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Phase 3b cohort is now fully enrolled. Enrollment in the Phase 3c sub-study is underway and expected to be completed this week.</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phases (1, 2, 3a, 3b and 3c) of the ARCT-154 clinical trial in Vietnam are sponsored and funded by Arcturus’ partner Vinbiotech.</w:t>
      </w:r>
    </w:p>
    <w:p>
      <w:pPr>
        <w:spacing w:after="0" w:line="9" w:lineRule="exact"/>
        <w:rPr>
          <w:rFonts w:ascii="Arial" w:cs="Arial" w:eastAsia="Arial" w:hAnsi="Arial"/>
          <w:sz w:val="18"/>
          <w:szCs w:val="18"/>
          <w:color w:val="auto"/>
        </w:rPr>
      </w:pPr>
    </w:p>
    <w:p>
      <w:pPr>
        <w:ind w:left="660" w:right="32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Arcturus and Vinbiotech continue to make progress towards completion of a manufacturing facility in Hanoi capable of producing 200 million doses per year, and technology transfer for commercial manufacturing is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both"/>
        <w:ind w:left="660" w:hanging="328"/>
        <w:spacing w:after="0" w:line="26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August, Arcturus announced approval from the Singapore Health Sciences Authority (HSA) to advance ARCT-154 and ARCT-165 into a Phase 1/2 clinical trial to evaluate the vaccines both as a primary vaccination series and as a booster following initial vaccination with Comirnaty®. This study was also approved by U.S. Food and Drug Administration (FDA). The Comirnaty booster cohort (with ARCT-021, ARCT-154, ARCT-165) in this study is now fully enrolled. Previously disclosed preclinical data demonstrate that ARCT-154 elicits strong neutralizing immunogenicity in non-human primates to SARS-CoV-2 Alpha, Beta, Gamma, and Delta variants.</w:t>
      </w:r>
    </w:p>
    <w:p>
      <w:pPr>
        <w:spacing w:after="0" w:line="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ARCT-021 has been selected by a global entity for inclusion in a multinational Phase 3 vaccine trial against COVID-19.</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October, we successfully achieved a milestone in our ongoing LUNAR-HBV program licensed by Janssen Pharmaceuticals (a subsidiary of Johnson and Johnson) and anticipate receiving one million dollars in the fourth quarter.</w:t>
      </w:r>
    </w:p>
    <w:p>
      <w:pPr>
        <w:ind w:left="660" w:right="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July, Arcturus announced approval from the UK Health Research Authority to advance ARCT-810, a novel mRNA-based therapeutic candidate for Ornithine Transcarbamylase (OTC) Deficiency, into a multi-dose Phase 2 clinical study. The ARCT-810 Phase 2 study is a randomized, double-blind, placebo-controlled, nested single and multiple ascending dose study designed to enroll 24 adolescents and adults with OTC deficiency. We anticipate dosing will commence in the first quarter of 2022 and remain on track for interim data in the second half of 2022.</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ARCT-032, our mRNA therapeutic candidate for cystic fibrosis, is on track for a Clinical Trial Application (CTA) in first half of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LUNAR-FLU mRNA vaccine candidate targeting influenza is on track for a CTA in the second half of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Quarter Ended September 30, 2021</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conjunction with strategic alliances and collaborations: Arcturus’ primary sources of revenues were from license fees and collaborative payments received from research and development arrangements with pharmaceutical and biotechnology partners. For the three months ended September 30, 2021, the Company reported revenue of $2.4 million, compared with $2.3 million in the three months ended September 30, 2020 and $2.0 million for the three months ended June 30, 2021.</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Total operating expenses for the three months ended September 30, 2021, were $56.3 million compared with $23.3 million for the three months ended September 30, 2020 and $55.7 million for the three months ended June 30,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to $45.4 million year over year compared to $17.7 million from the third quarter of 2020. Research and development expenses were relatively consistent compared to $45.7 million in the second quarter of 2021.</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three months ended September 30, 2021, Arcturus reported a net loss of approximately $54.1 million, or ($2.05) per basic and diluted share, compared with a net loss of $21 million, or ($0.92) per basic and diluted share in the three months ended September 30, 2020 and a net loss of $54.6 million, or ($2.07) per basic and diluted share in the three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The Company’s cash balance totaled $413.9 million as of September 30, 2021, compared to a cash balance of $433.6 million at June 30, 2021 and $462.9 million at December 31, 2020. The cash balance includes $40 million received from Vinbiotech Research and Manufacture Joint Stock Company, of which $30 million was received during the current quarter ended September 30, 2021. Based on the current pipeline, the Company’s cash position is expected to be sufficient to support operations for two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Monday, Nov. 8 at 4:30 p.m. 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Domestic: 877-407-0784 International: 201-689-8560  Conference ID: 13724305  Webcast: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https://78449.themediaframe.com/dataconf/productusers/vvdb/mediaframe/47084/indexl.html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Founded in 2013 and based in San Diego, California, Arcturus Therapeutics Holdings Inc. (Nasdaq: ARCT) is a clinical-stage mRNA medicines and vaccines company with enabling technologies: (i) LUNAR® lipid-mediated delivery, (ii) STARR™ mRNA Technology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3, Hepatitis B Virus,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(with patents and patent applications, issued and filed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Duke-NUS Medical School, and the Cystic Fibrosis Foundation. For more information visit </w:t>
      </w:r>
      <w:r>
        <w:rPr>
          <w:rFonts w:ascii="Arial" w:cs="Arial" w:eastAsia="Arial" w:hAnsi="Arial"/>
          <w:sz w:val="16"/>
          <w:szCs w:val="16"/>
          <w:color w:val="0563C1"/>
        </w:rPr>
        <w:t>www.ArcturusRx.com</w:t>
      </w:r>
      <w:r>
        <w:rPr>
          <w:rFonts w:ascii="Arial" w:cs="Arial" w:eastAsia="Arial" w:hAnsi="Arial"/>
          <w:sz w:val="16"/>
          <w:szCs w:val="16"/>
          <w:color w:val="auto"/>
        </w:rPr>
        <w:t xml:space="preserve">. In addition, please connect with us on </w:t>
      </w:r>
      <w:r>
        <w:rPr>
          <w:rFonts w:ascii="Arial" w:cs="Arial" w:eastAsia="Arial" w:hAnsi="Arial"/>
          <w:sz w:val="16"/>
          <w:szCs w:val="16"/>
          <w:color w:val="0563C1"/>
        </w:rPr>
        <w:t>Twitter</w:t>
      </w:r>
      <w:r>
        <w:rPr>
          <w:rFonts w:ascii="Arial" w:cs="Arial" w:eastAsia="Arial" w:hAnsi="Arial"/>
          <w:sz w:val="16"/>
          <w:szCs w:val="16"/>
          <w:color w:val="auto"/>
        </w:rPr>
        <w:t xml:space="preserve"> and </w:t>
      </w:r>
      <w:r>
        <w:rPr>
          <w:rFonts w:ascii="Arial" w:cs="Arial" w:eastAsia="Arial" w:hAnsi="Arial"/>
          <w:sz w:val="16"/>
          <w:szCs w:val="16"/>
          <w:color w:val="0563C1"/>
        </w:rPr>
        <w:t>LinkedIn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333333"/>
        </w:rPr>
        <w:t>Forward Looking Statements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expectations for or likelihood of success of any collaborations (including with respect to LUNAR-HBV), the likelihood of success (including safety and efficacy) of the Company’s pipeline (including LUNAR-FLU, ARCT-021, ARCT-032, ARCT-154, ARCT-165 and ARCT-810), anticipated sponsorship and/or funding of clinical trials of the Company’s candidates, the Company’s efforts to develop a vaccine against COVID-19 and therapeutic potential thereof based on the Company’s mRNA therapeutics, the planned initiation, design or completion of clinical trials, the likelihood that the Company will obtain clearance from regulatory authorities to proceed with future planned clinical trials, the likelihood that preclinical or clinical data will be predictive of future clinical results (including with respect to safety, immunogenicity and efficacy), the ability to enroll, and timing for enrollment of, subjects in clinical trials, the timing and nature of any study results, the likelihood that clinical data will be sufficient for regulatory approval or completed in time to submit an application for regulatory approval within a particular timeframe, the likelihood or timing of any regulatory approval, the Company’s manufacturing plans or technologies (including with its partner, Vinbiotech), the likelihood that a patent will issue from any patent application, its current cash position and adequacy of its capital to support future operations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Acknowledgements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9580" w:type="dxa"/>
            <w:vAlign w:val="bottom"/>
            <w:gridSpan w:val="7"/>
          </w:tcPr>
          <w:p>
            <w:pPr>
              <w:jc w:val="center"/>
              <w:ind w:left="1590"/>
              <w:spacing w:after="0"/>
              <w:rPr>
                <w:sz w:val="20"/>
                <w:szCs w:val="20"/>
                <w:color w:val="auto"/>
              </w:rPr>
            </w:pPr>
            <w:r>
              <w:rPr>
                <w:rFonts w:ascii="Arial" w:cs="Arial" w:eastAsia="Arial" w:hAnsi="Arial"/>
                <w:sz w:val="18"/>
                <w:szCs w:val="18"/>
                <w:b w:val="1"/>
                <w:bCs w:val="1"/>
                <w:color w:val="auto"/>
              </w:rPr>
              <w:t>ARCTURUS THERAPEUTICS HOLDINGS INC. AND ITS SUBSIDIARIES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140" w:type="dxa"/>
            <w:vAlign w:val="bottom"/>
            <w:gridSpan w:val="5"/>
          </w:tcPr>
          <w:p>
            <w:pPr>
              <w:jc w:val="center"/>
              <w:ind w:left="30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8140" w:type="dxa"/>
            <w:vAlign w:val="bottom"/>
            <w:gridSpan w:val="5"/>
          </w:tcPr>
          <w:p>
            <w:pPr>
              <w:jc w:val="center"/>
              <w:ind w:left="3030"/>
              <w:spacing w:after="0"/>
              <w:rPr>
                <w:sz w:val="20"/>
                <w:szCs w:val="20"/>
                <w:color w:val="auto"/>
              </w:rPr>
            </w:pPr>
            <w:r>
              <w:rPr>
                <w:rFonts w:ascii="Arial" w:cs="Arial" w:eastAsia="Arial" w:hAnsi="Arial"/>
                <w:sz w:val="18"/>
                <w:szCs w:val="18"/>
                <w:color w:val="auto"/>
                <w:w w:val="90"/>
              </w:rPr>
              <w:t>(in thousands, except par value information)</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4"/>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4"/>
                <w:szCs w:val="24"/>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(unaudited)</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(unaudited)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63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413,880</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433,574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462,895</w:t>
            </w:r>
          </w:p>
        </w:tc>
      </w:tr>
      <w:tr>
        <w:trPr>
          <w:trHeight w:val="216"/>
        </w:trPr>
        <w:tc>
          <w:tcPr>
            <w:tcW w:w="6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2,125</w:t>
            </w:r>
          </w:p>
        </w:tc>
      </w:tr>
      <w:tr>
        <w:trPr>
          <w:trHeight w:val="229"/>
        </w:trPr>
        <w:tc>
          <w:tcPr>
            <w:tcW w:w="63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5,071</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2,769</w:t>
            </w: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420,966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438,038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467,789</w:t>
            </w:r>
          </w:p>
        </w:tc>
      </w:tr>
      <w:tr>
        <w:trPr>
          <w:trHeight w:val="216"/>
        </w:trPr>
        <w:tc>
          <w:tcPr>
            <w:tcW w:w="630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4,843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3,378</w:t>
            </w:r>
          </w:p>
        </w:tc>
      </w:tr>
      <w:tr>
        <w:trPr>
          <w:trHeight w:val="216"/>
        </w:trPr>
        <w:tc>
          <w:tcPr>
            <w:tcW w:w="6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 right-of-use asset,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5,182</w:t>
            </w:r>
          </w:p>
        </w:tc>
      </w:tr>
      <w:tr>
        <w:trPr>
          <w:trHeight w:val="216"/>
        </w:trPr>
        <w:tc>
          <w:tcPr>
            <w:tcW w:w="6300" w:type="dxa"/>
            <w:vAlign w:val="bottom"/>
          </w:tcPr>
          <w:p>
            <w:pPr>
              <w:ind w:left="260"/>
              <w:spacing w:after="0"/>
              <w:rPr>
                <w:sz w:val="20"/>
                <w:szCs w:val="20"/>
                <w:color w:val="auto"/>
              </w:rPr>
            </w:pPr>
            <w:r>
              <w:rPr>
                <w:rFonts w:ascii="Arial" w:cs="Arial" w:eastAsia="Arial" w:hAnsi="Arial"/>
                <w:sz w:val="18"/>
                <w:szCs w:val="18"/>
                <w:color w:val="auto"/>
              </w:rPr>
              <w:t>Equity-method investment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Non-current restricted cash</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2,074</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63"/>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434,536</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448,813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476,456</w:t>
            </w:r>
          </w:p>
        </w:tc>
      </w:tr>
      <w:tr>
        <w:trPr>
          <w:trHeight w:val="197"/>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10,774</w:t>
            </w:r>
          </w:p>
        </w:tc>
      </w:tr>
      <w:tr>
        <w:trPr>
          <w:trHeight w:val="216"/>
        </w:trPr>
        <w:tc>
          <w:tcPr>
            <w:tcW w:w="63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52,358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42,614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20,639</w:t>
            </w:r>
          </w:p>
        </w:tc>
      </w:tr>
      <w:tr>
        <w:trPr>
          <w:trHeight w:val="230"/>
        </w:trPr>
        <w:tc>
          <w:tcPr>
            <w:tcW w:w="6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57,616</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18,071</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18,108</w:t>
            </w:r>
          </w:p>
        </w:tc>
      </w:tr>
      <w:tr>
        <w:trPr>
          <w:trHeight w:val="209"/>
        </w:trPr>
        <w:tc>
          <w:tcPr>
            <w:tcW w:w="63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118,239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70,769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49,521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12,512</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42,345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56,309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13,845</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4,025</w:t>
            </w:r>
          </w:p>
        </w:tc>
      </w:tr>
      <w:tr>
        <w:trPr>
          <w:trHeight w:val="230"/>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1,394</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175,410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143,165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79,903</w:t>
            </w:r>
          </w:p>
        </w:tc>
      </w:tr>
      <w:tr>
        <w:trPr>
          <w:trHeight w:val="209"/>
        </w:trPr>
        <w:tc>
          <w:tcPr>
            <w:tcW w:w="63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2"/>
        </w:trPr>
        <w:tc>
          <w:tcPr>
            <w:tcW w:w="6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$0.001 par value; 60,000 shares authorized; 26,349 issued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outstanding at September 30, 2021, 26,327 issued and outstanding at June 30, 2021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26,192 issued and outstanding at December 31, 2020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567,927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560,365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540,343</w:t>
            </w:r>
          </w:p>
        </w:tc>
      </w:tr>
      <w:tr>
        <w:trPr>
          <w:trHeight w:val="229"/>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(308,827)</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(254,743)</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(143,816)</w:t>
            </w:r>
          </w:p>
        </w:tc>
      </w:tr>
      <w:tr>
        <w:trPr>
          <w:trHeight w:val="210"/>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259,126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305,648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396,553</w:t>
            </w:r>
          </w:p>
        </w:tc>
      </w:tr>
      <w:tr>
        <w:trPr>
          <w:trHeight w:val="223"/>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434,536</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448,813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476,456</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55"/>
        </w:trPr>
        <w:tc>
          <w:tcPr>
            <w:tcW w:w="6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6"/>
          </w:tcPr>
          <w:p>
            <w:pPr>
              <w:jc w:val="center"/>
              <w:ind w:left="2530"/>
              <w:spacing w:after="0"/>
              <w:rPr>
                <w:sz w:val="20"/>
                <w:szCs w:val="20"/>
                <w:color w:val="auto"/>
              </w:rPr>
            </w:pPr>
            <w:r>
              <w:rPr>
                <w:rFonts w:ascii="Arial" w:cs="Arial" w:eastAsia="Arial" w:hAnsi="Arial"/>
                <w:sz w:val="18"/>
                <w:szCs w:val="18"/>
                <w:b w:val="1"/>
                <w:bCs w:val="1"/>
                <w:color w:val="auto"/>
              </w:rPr>
              <w:t>ARCTURUS THERAPEUTICS HOLDINGS INC. AND ITS SUBSIDIARIES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720" w:type="dxa"/>
            <w:vAlign w:val="bottom"/>
            <w:gridSpan w:val="8"/>
          </w:tcPr>
          <w:p>
            <w:pPr>
              <w:jc w:val="center"/>
              <w:ind w:left="1430"/>
              <w:spacing w:after="0"/>
              <w:rPr>
                <w:sz w:val="20"/>
                <w:szCs w:val="20"/>
                <w:color w:val="auto"/>
              </w:rPr>
            </w:pPr>
            <w:r>
              <w:rPr>
                <w:rFonts w:ascii="Arial" w:cs="Arial" w:eastAsia="Arial" w:hAnsi="Arial"/>
                <w:sz w:val="18"/>
                <w:szCs w:val="18"/>
                <w:b w:val="1"/>
                <w:bCs w:val="1"/>
                <w:color w:val="auto"/>
                <w:w w:val="98"/>
              </w:rPr>
              <w:t>CONDENSED CONSOLIDATED STATEMENTS OF OPERATIONS AND COMPREHENSIVE LOSS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4"/>
                <w:szCs w:val="24"/>
                <w:color w:val="auto"/>
              </w:rPr>
            </w:pPr>
          </w:p>
        </w:tc>
        <w:tc>
          <w:tcPr>
            <w:tcW w:w="27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4"/>
                <w:szCs w:val="24"/>
                <w:color w:val="auto"/>
              </w:rPr>
            </w:pPr>
          </w:p>
        </w:tc>
        <w:tc>
          <w:tcPr>
            <w:tcW w:w="278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(in thousands except per share data)</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4"/>
              </w:rPr>
              <w:t>Three Months Ended</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2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2,437</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net</w:t>
            </w:r>
          </w:p>
        </w:tc>
        <w:tc>
          <w:tcPr>
            <w:tcW w:w="2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45,398</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45,679</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10,860</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10,042</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22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56,258</w:t>
            </w: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55,721</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8"/>
                <w:szCs w:val="18"/>
                <w:color w:val="auto"/>
              </w:rPr>
              <w:t>Loss from operations</w:t>
            </w: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(53,821)</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(53,720)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gain from equity-method investment</w:t>
            </w:r>
          </w:p>
        </w:tc>
        <w:tc>
          <w:tcPr>
            <w:tcW w:w="2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(Loss) gain from foreign currency</w:t>
            </w: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 net</w:t>
            </w:r>
          </w:p>
        </w:tc>
        <w:tc>
          <w:tcPr>
            <w:tcW w:w="2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w:t>
            </w:r>
          </w:p>
        </w:tc>
        <w:tc>
          <w:tcPr>
            <w:tcW w:w="226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(54,084)</w:t>
            </w:r>
          </w:p>
        </w:tc>
        <w:tc>
          <w:tcPr>
            <w:tcW w:w="2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(54,581)</w:t>
            </w:r>
          </w:p>
        </w:tc>
        <w:tc>
          <w:tcPr>
            <w:tcW w:w="0" w:type="dxa"/>
            <w:vAlign w:val="bottom"/>
          </w:tcPr>
          <w:p>
            <w:pPr>
              <w:spacing w:after="0"/>
              <w:rPr>
                <w:sz w:val="1"/>
                <w:szCs w:val="1"/>
                <w:color w:val="auto"/>
              </w:rPr>
            </w:pPr>
          </w:p>
        </w:tc>
      </w:tr>
      <w:tr>
        <w:trPr>
          <w:trHeight w:val="197"/>
        </w:trPr>
        <w:tc>
          <w:tcPr>
            <w:tcW w:w="41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share, basic and diluted</w:t>
            </w:r>
          </w:p>
        </w:tc>
        <w:tc>
          <w:tcPr>
            <w:tcW w:w="2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w w:val="92"/>
              </w:rPr>
              <w:t>Weighted-average shares outstanding, basic and diluted</w:t>
            </w:r>
          </w:p>
        </w:tc>
        <w:tc>
          <w:tcPr>
            <w:tcW w:w="2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26,338</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22,938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26,323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7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(54,084)</w:t>
            </w:r>
          </w:p>
        </w:tc>
        <w:tc>
          <w:tcPr>
            <w:tcW w:w="74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(21,004)</w:t>
            </w:r>
          </w:p>
        </w:tc>
        <w:tc>
          <w:tcPr>
            <w:tcW w:w="14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(54,581)</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Comprehensive loss</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(54,084)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Deepankar Roy, Ph.D.</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Kendall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914-0008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ctanzi@kendallir.com</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858"/>
    </w:lvl>
  </w:abstractNum>
  <w:abstractNum w:abstractNumId="4">
    <w:nsid w:val="46E87CCD"/>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2021-11-08T15:33:22Z</dcterms:created>
  <dcterms:modified xsi:type="dcterms:W3CDTF">2021-11-08T15:33:22Z</dcterms:modified>
</cp:coreProperties>
</file>