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560" w:type="dxa"/>
            <w:vAlign w:val="bottom"/>
            <w:gridSpan w:val="2"/>
            <w:vMerge w:val="restart"/>
          </w:tcPr>
          <w:p>
            <w:pPr>
              <w:spacing w:after="0" w:line="250" w:lineRule="exact"/>
              <w:rPr>
                <w:rFonts w:ascii="Arial" w:cs="Arial" w:eastAsia="Arial" w:hAnsi="Arial"/>
                <w:sz w:val="22"/>
                <w:szCs w:val="22"/>
                <w:color w:val="0000EE"/>
                <w:w w:val="94"/>
              </w:rPr>
            </w:pPr>
            <w:hyperlink r:id="rId12">
              <w:r>
                <w:rPr>
                  <w:rFonts w:ascii="Arial" w:cs="Arial" w:eastAsia="Arial" w:hAnsi="Arial"/>
                  <w:sz w:val="22"/>
                  <w:szCs w:val="22"/>
                  <w:color w:val="0000EE"/>
                  <w:w w:val="94"/>
                </w:rPr>
                <w:t>SASSINE ANDY</w:t>
              </w:r>
            </w:hyperlink>
          </w:p>
        </w:tc>
        <w:tc>
          <w:tcPr>
            <w:tcW w:w="5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Arcturus Therapeutics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ARCT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920" w:type="dxa"/>
            <w:vAlign w:val="bottom"/>
            <w:gridSpan w:val="2"/>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560" w:type="dxa"/>
            <w:vAlign w:val="bottom"/>
            <w:tcBorders>
              <w:bottom w:val="single" w:sz="8" w:color="0000EE"/>
            </w:tcBorders>
            <w:gridSpan w:val="2"/>
            <w:vMerge w:val="continue"/>
          </w:tcPr>
          <w:p>
            <w:pPr>
              <w:spacing w:after="0"/>
              <w:rPr>
                <w:sz w:val="5"/>
                <w:szCs w:val="5"/>
                <w:color w:val="auto"/>
              </w:rPr>
            </w:pPr>
          </w:p>
        </w:tc>
        <w:tc>
          <w:tcPr>
            <w:tcW w:w="540" w:type="dxa"/>
            <w:vAlign w:val="bottom"/>
            <w:vMerge w:val="restart"/>
          </w:tcPr>
          <w:p>
            <w:pPr>
              <w:spacing w:after="0"/>
              <w:rPr>
                <w:sz w:val="5"/>
                <w:szCs w:val="5"/>
                <w:color w:val="auto"/>
              </w:rPr>
            </w:pPr>
          </w:p>
        </w:tc>
        <w:tc>
          <w:tcPr>
            <w:tcW w:w="1700" w:type="dxa"/>
            <w:vAlign w:val="bottom"/>
          </w:tcPr>
          <w:p>
            <w:pPr>
              <w:spacing w:after="0"/>
              <w:rPr>
                <w:sz w:val="5"/>
                <w:szCs w:val="5"/>
                <w:color w:val="auto"/>
              </w:rPr>
            </w:pPr>
          </w:p>
        </w:tc>
        <w:tc>
          <w:tcPr>
            <w:tcW w:w="3300" w:type="dxa"/>
            <w:vAlign w:val="bottom"/>
            <w:gridSpan w:val="3"/>
            <w:vMerge w:val="restart"/>
          </w:tcPr>
          <w:p>
            <w:pPr>
              <w:ind w:left="160"/>
              <w:spacing w:after="0" w:line="250" w:lineRule="exact"/>
              <w:rPr>
                <w:sz w:val="20"/>
                <w:szCs w:val="20"/>
                <w:color w:val="auto"/>
              </w:rPr>
            </w:pPr>
            <w:r>
              <w:rPr>
                <w:rFonts w:ascii="Arial" w:cs="Arial" w:eastAsia="Arial" w:hAnsi="Arial"/>
                <w:sz w:val="22"/>
                <w:szCs w:val="22"/>
                <w:color w:val="auto"/>
              </w:rPr>
              <w:t>]</w:t>
            </w: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560" w:type="dxa"/>
            <w:vAlign w:val="bottom"/>
            <w:gridSpan w:val="2"/>
          </w:tcPr>
          <w:p>
            <w:pPr>
              <w:spacing w:after="0"/>
              <w:rPr>
                <w:sz w:val="4"/>
                <w:szCs w:val="4"/>
                <w:color w:val="auto"/>
              </w:rPr>
            </w:pPr>
          </w:p>
        </w:tc>
        <w:tc>
          <w:tcPr>
            <w:tcW w:w="540" w:type="dxa"/>
            <w:vAlign w:val="bottom"/>
            <w:vMerge w:val="continue"/>
          </w:tcPr>
          <w:p>
            <w:pPr>
              <w:spacing w:after="0"/>
              <w:rPr>
                <w:sz w:val="4"/>
                <w:szCs w:val="4"/>
                <w:color w:val="auto"/>
              </w:rPr>
            </w:pPr>
          </w:p>
        </w:tc>
        <w:tc>
          <w:tcPr>
            <w:tcW w:w="1700" w:type="dxa"/>
            <w:vAlign w:val="bottom"/>
          </w:tcPr>
          <w:p>
            <w:pPr>
              <w:spacing w:after="0"/>
              <w:rPr>
                <w:sz w:val="4"/>
                <w:szCs w:val="4"/>
                <w:color w:val="auto"/>
              </w:rPr>
            </w:pPr>
          </w:p>
        </w:tc>
        <w:tc>
          <w:tcPr>
            <w:tcW w:w="330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330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7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820" w:type="dxa"/>
            <w:vAlign w:val="bottom"/>
            <w:vMerge w:val="restart"/>
          </w:tcPr>
          <w:p>
            <w:pPr>
              <w:spacing w:after="0" w:line="104" w:lineRule="exact"/>
              <w:rPr>
                <w:sz w:val="20"/>
                <w:szCs w:val="20"/>
                <w:color w:val="auto"/>
              </w:rPr>
            </w:pPr>
            <w:r>
              <w:rPr>
                <w:rFonts w:ascii="Arial" w:cs="Arial" w:eastAsia="Arial" w:hAnsi="Arial"/>
                <w:sz w:val="12"/>
                <w:szCs w:val="12"/>
                <w:color w:val="auto"/>
              </w:rPr>
              <w:t>(Last)</w:t>
            </w:r>
          </w:p>
        </w:tc>
        <w:tc>
          <w:tcPr>
            <w:tcW w:w="1280" w:type="dxa"/>
            <w:vAlign w:val="bottom"/>
            <w:gridSpan w:val="2"/>
            <w:vMerge w:val="restart"/>
          </w:tcPr>
          <w:p>
            <w:pPr>
              <w:ind w:left="460"/>
              <w:spacing w:after="0" w:line="104" w:lineRule="exact"/>
              <w:rPr>
                <w:sz w:val="20"/>
                <w:szCs w:val="20"/>
                <w:color w:val="auto"/>
              </w:rPr>
            </w:pPr>
            <w:r>
              <w:rPr>
                <w:rFonts w:ascii="Arial" w:cs="Arial" w:eastAsia="Arial" w:hAnsi="Arial"/>
                <w:sz w:val="12"/>
                <w:szCs w:val="12"/>
                <w:color w:val="auto"/>
              </w:rPr>
              <w:t>(First)</w:t>
            </w:r>
          </w:p>
        </w:tc>
        <w:tc>
          <w:tcPr>
            <w:tcW w:w="1700" w:type="dxa"/>
            <w:vAlign w:val="bottom"/>
            <w:vMerge w:val="restart"/>
          </w:tcPr>
          <w:p>
            <w:pPr>
              <w:ind w:left="440"/>
              <w:spacing w:after="0" w:line="104" w:lineRule="exact"/>
              <w:rPr>
                <w:sz w:val="20"/>
                <w:szCs w:val="20"/>
                <w:color w:val="auto"/>
              </w:rPr>
            </w:pPr>
            <w:r>
              <w:rPr>
                <w:rFonts w:ascii="Arial" w:cs="Arial" w:eastAsia="Arial" w:hAnsi="Arial"/>
                <w:sz w:val="12"/>
                <w:szCs w:val="12"/>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7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8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9"/>
              </w:rPr>
              <w:t>C/O ARCTURUS THERAPEUTICS HOLDINGS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5"/>
                <w:szCs w:val="15"/>
                <w:color w:val="auto"/>
              </w:rPr>
            </w:pPr>
          </w:p>
        </w:tc>
        <w:tc>
          <w:tcPr>
            <w:tcW w:w="2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0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gridSpan w:val="2"/>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0" w:type="dxa"/>
            <w:vAlign w:val="bottom"/>
          </w:tcPr>
          <w:p>
            <w:pPr>
              <w:spacing w:after="0"/>
              <w:rPr>
                <w:sz w:val="9"/>
                <w:szCs w:val="9"/>
                <w:color w:val="auto"/>
              </w:rPr>
            </w:pPr>
          </w:p>
        </w:tc>
        <w:tc>
          <w:tcPr>
            <w:tcW w:w="3800" w:type="dxa"/>
            <w:vAlign w:val="bottom"/>
            <w:gridSpan w:val="4"/>
            <w:vMerge w:val="continue"/>
          </w:tcPr>
          <w:p>
            <w:pPr>
              <w:spacing w:after="0"/>
              <w:rPr>
                <w:sz w:val="9"/>
                <w:szCs w:val="9"/>
                <w:color w:val="auto"/>
              </w:rPr>
            </w:pPr>
          </w:p>
        </w:tc>
        <w:tc>
          <w:tcPr>
            <w:tcW w:w="3300" w:type="dxa"/>
            <w:vAlign w:val="bottom"/>
            <w:gridSpan w:val="3"/>
            <w:vMerge w:val="restart"/>
          </w:tcPr>
          <w:p>
            <w:pPr>
              <w:ind w:left="160"/>
              <w:spacing w:after="0"/>
              <w:rPr>
                <w:sz w:val="20"/>
                <w:szCs w:val="20"/>
                <w:color w:val="auto"/>
              </w:rPr>
            </w:pPr>
            <w:r>
              <w:rPr>
                <w:rFonts w:ascii="Arial" w:cs="Arial" w:eastAsia="Arial" w:hAnsi="Arial"/>
                <w:sz w:val="18"/>
                <w:szCs w:val="18"/>
                <w:color w:val="0000FF"/>
              </w:rPr>
              <w:t>08/23/2019</w:t>
            </w: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82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30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10628 SCIENCE CENTER DRIVE, SUITE 250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1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38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34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8060"/>
        <w:spacing w:after="0"/>
        <w:rPr>
          <w:sz w:val="20"/>
          <w:szCs w:val="20"/>
          <w:color w:val="auto"/>
        </w:rPr>
      </w:pPr>
      <w:r>
        <w:rPr>
          <w:rFonts w:ascii="Arial" w:cs="Arial" w:eastAsia="Arial" w:hAnsi="Arial"/>
          <w:sz w:val="14"/>
          <w:szCs w:val="14"/>
          <w:color w:val="auto"/>
        </w:rPr>
        <w:t>Line)</w:t>
      </w:r>
    </w:p>
    <w:p>
      <w:pPr>
        <w:sectPr>
          <w:pgSz w:w="11900" w:h="16838" w:orient="portrait"/>
          <w:cols w:equalWidth="0" w:num="1">
            <w:col w:w="11420"/>
          </w:cols>
          <w:pgMar w:left="240" w:top="226" w:right="239" w:bottom="1440" w:gutter="0" w:footer="0" w:header="0"/>
          <w:type w:val="continuous"/>
        </w:sectPr>
      </w:pP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SAN DIEGO</w:t>
            </w:r>
          </w:p>
        </w:tc>
        <w:tc>
          <w:tcPr>
            <w:tcW w:w="1000" w:type="dxa"/>
            <w:vAlign w:val="bottom"/>
          </w:tcPr>
          <w:p>
            <w:pPr>
              <w:ind w:left="16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92121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left="356" w:hanging="356"/>
        <w:spacing w:after="0"/>
        <w:tabs>
          <w:tab w:leader="none" w:pos="356" w:val="left"/>
        </w:tabs>
        <w:numPr>
          <w:ilvl w:val="0"/>
          <w:numId w:val="1"/>
        </w:numPr>
        <w:rPr>
          <w:rFonts w:ascii="Arial" w:cs="Arial" w:eastAsia="Arial" w:hAnsi="Arial"/>
          <w:sz w:val="18"/>
          <w:szCs w:val="18"/>
          <w:color w:val="0000FF"/>
        </w:rPr>
      </w:pPr>
      <w:r>
        <w:rPr>
          <w:rFonts w:ascii="Arial" w:cs="Arial" w:eastAsia="Arial" w:hAnsi="Arial"/>
          <w:sz w:val="14"/>
          <w:szCs w:val="14"/>
          <w:color w:val="auto"/>
        </w:rPr>
        <w:t>Form filed by One Reporting Person</w:t>
      </w:r>
    </w:p>
    <w:p>
      <w:pPr>
        <w:spacing w:after="0" w:line="80" w:lineRule="exact"/>
        <w:rPr>
          <w:rFonts w:ascii="Arial" w:cs="Arial" w:eastAsia="Arial" w:hAnsi="Arial"/>
          <w:sz w:val="18"/>
          <w:szCs w:val="18"/>
          <w:color w:val="0000FF"/>
        </w:rPr>
      </w:pPr>
    </w:p>
    <w:p>
      <w:pPr>
        <w:ind w:left="356" w:right="460"/>
        <w:spacing w:after="0" w:line="231" w:lineRule="auto"/>
        <w:rPr>
          <w:rFonts w:ascii="Arial" w:cs="Arial" w:eastAsia="Arial" w:hAnsi="Arial"/>
          <w:sz w:val="18"/>
          <w:szCs w:val="18"/>
          <w:color w:val="0000FF"/>
        </w:rPr>
      </w:pPr>
      <w:r>
        <w:rPr>
          <w:rFonts w:ascii="Arial" w:cs="Arial" w:eastAsia="Arial" w:hAnsi="Arial"/>
          <w:sz w:val="14"/>
          <w:szCs w:val="14"/>
          <w:color w:val="auto"/>
        </w:rPr>
        <w:t>Form filed by More than One Reporting Person</w:t>
      </w:r>
    </w:p>
    <w:p>
      <w:pPr>
        <w:spacing w:after="0" w:line="495" w:lineRule="exact"/>
        <w:rPr>
          <w:sz w:val="20"/>
          <w:szCs w:val="20"/>
          <w:color w:val="auto"/>
        </w:rPr>
      </w:pPr>
    </w:p>
    <w:p>
      <w:pPr>
        <w:sectPr>
          <w:pgSz w:w="11900" w:h="16838" w:orient="portrait"/>
          <w:cols w:equalWidth="0" w:num="2">
            <w:col w:w="7544" w:space="720"/>
            <w:col w:w="3156"/>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08/23/2019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10,000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10.9</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247,596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1,500 shares were purchased at a price of $10.91 per share, 5,000 shares were purchased at a price of $10.94 per share and 3,500 shares were purchased at a price of $10.85 per share.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Jeffrey Baumel, attorney-in- </w:t>
      </w:r>
      <w:r>
        <w:rPr>
          <w:rFonts w:ascii="Arial" w:cs="Arial" w:eastAsia="Arial" w:hAnsi="Arial"/>
          <w:sz w:val="34"/>
          <w:szCs w:val="34"/>
          <w:color w:val="0000FF"/>
          <w:vertAlign w:val="subscript"/>
        </w:rPr>
        <w:t>08/26/2019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7180"/>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 SEC FILINGS ON FORMS ID, 3, 4, 5, 144, SCHEDULES 13D and 13G</w:t>
      </w:r>
    </w:p>
    <w:p>
      <w:pPr>
        <w:jc w:val="center"/>
        <w:ind w:right="1879"/>
        <w:spacing w:after="0"/>
        <w:rPr>
          <w:sz w:val="20"/>
          <w:szCs w:val="20"/>
          <w:color w:val="auto"/>
        </w:rPr>
      </w:pPr>
      <w:r>
        <w:rPr>
          <w:rFonts w:ascii="Courier New" w:cs="Courier New" w:eastAsia="Courier New" w:hAnsi="Courier New"/>
          <w:sz w:val="18"/>
          <w:szCs w:val="18"/>
          <w:color w:val="auto"/>
        </w:rPr>
        <w:t>IN RESPECT OF SECURITIES OF</w:t>
      </w:r>
    </w:p>
    <w:p>
      <w:pPr>
        <w:jc w:val="center"/>
        <w:ind w:right="1879"/>
        <w:spacing w:after="0" w:line="237" w:lineRule="auto"/>
        <w:rPr>
          <w:sz w:val="20"/>
          <w:szCs w:val="20"/>
          <w:color w:val="auto"/>
        </w:rPr>
      </w:pPr>
      <w:r>
        <w:rPr>
          <w:rFonts w:ascii="Courier New" w:cs="Courier New" w:eastAsia="Courier New" w:hAnsi="Courier New"/>
          <w:sz w:val="18"/>
          <w:szCs w:val="18"/>
          <w:color w:val="auto"/>
        </w:rPr>
        <w:t>ARCTURUS THERAPEUTICS HOLDINGS INC.</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undersigned hereby constitutes and appoints each of Jeffrey Baumel and Ilan Katz as his or her true and lawful attorneys - in - fact and agents, each with full power of substitution and resubstitution for him or her in his or her name and stead in any and all capacities, to sign and file for and on his or her behalf, in respect of any acquisition, disposition or other change in ownership of any Common Stock or derivative securities thereof of Arcturus Therapeutics Holdings Inc. (the "Company"), the following:</w:t>
      </w:r>
    </w:p>
    <w:p>
      <w:pPr>
        <w:spacing w:after="0" w:line="211" w:lineRule="exact"/>
        <w:rPr>
          <w:sz w:val="20"/>
          <w:szCs w:val="20"/>
          <w:color w:val="auto"/>
        </w:rPr>
      </w:pPr>
    </w:p>
    <w:p>
      <w:pPr>
        <w:ind w:left="1900" w:right="2419" w:hanging="839"/>
        <w:spacing w:after="0" w:line="235"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Form ID to be filed with the Securities and Exchange Commission (the "SEC");</w:t>
      </w:r>
    </w:p>
    <w:p>
      <w:pPr>
        <w:spacing w:after="0" w:line="208" w:lineRule="exact"/>
        <w:rPr>
          <w:rFonts w:ascii="Courier New" w:cs="Courier New" w:eastAsia="Courier New" w:hAnsi="Courier New"/>
          <w:sz w:val="18"/>
          <w:szCs w:val="18"/>
          <w:color w:val="auto"/>
        </w:rPr>
      </w:pPr>
    </w:p>
    <w:p>
      <w:pPr>
        <w:ind w:left="1900" w:right="1779" w:hanging="839"/>
        <w:spacing w:after="0" w:line="235"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Initial Statement of Beneficial Ownership of Securities on Form 3 to be filed with the SEC;</w:t>
      </w:r>
    </w:p>
    <w:p>
      <w:pPr>
        <w:spacing w:after="0" w:line="208" w:lineRule="exact"/>
        <w:rPr>
          <w:rFonts w:ascii="Courier New" w:cs="Courier New" w:eastAsia="Courier New" w:hAnsi="Courier New"/>
          <w:sz w:val="18"/>
          <w:szCs w:val="18"/>
          <w:color w:val="auto"/>
        </w:rPr>
      </w:pPr>
    </w:p>
    <w:p>
      <w:pPr>
        <w:ind w:left="1900" w:right="1779" w:hanging="839"/>
        <w:spacing w:after="0" w:line="235"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Statement of Changes of Beneficial Ownership of Securities on Form 4 to be filed with the SEC;</w:t>
      </w:r>
    </w:p>
    <w:p>
      <w:pPr>
        <w:spacing w:after="0" w:line="208" w:lineRule="exact"/>
        <w:rPr>
          <w:rFonts w:ascii="Courier New" w:cs="Courier New" w:eastAsia="Courier New" w:hAnsi="Courier New"/>
          <w:sz w:val="18"/>
          <w:szCs w:val="18"/>
          <w:color w:val="auto"/>
        </w:rPr>
      </w:pPr>
    </w:p>
    <w:p>
      <w:pPr>
        <w:ind w:left="1900" w:right="1879" w:hanging="839"/>
        <w:spacing w:after="0" w:line="235"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Annual Statement of Beneficial Ownership of Securities on Form 5 to be filed with the SEC;</w:t>
      </w:r>
    </w:p>
    <w:p>
      <w:pPr>
        <w:spacing w:after="0" w:line="208" w:lineRule="exact"/>
        <w:rPr>
          <w:rFonts w:ascii="Courier New" w:cs="Courier New" w:eastAsia="Courier New" w:hAnsi="Courier New"/>
          <w:sz w:val="18"/>
          <w:szCs w:val="18"/>
          <w:color w:val="auto"/>
        </w:rPr>
      </w:pPr>
    </w:p>
    <w:p>
      <w:pPr>
        <w:ind w:left="1900" w:right="2099" w:hanging="839"/>
        <w:spacing w:after="0" w:line="235"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of Proposed Sale of Securities on Form 144 to be filed with the SEC;</w:t>
      </w:r>
    </w:p>
    <w:p>
      <w:pPr>
        <w:spacing w:after="0" w:line="208" w:lineRule="exact"/>
        <w:rPr>
          <w:rFonts w:ascii="Courier New" w:cs="Courier New" w:eastAsia="Courier New" w:hAnsi="Courier New"/>
          <w:sz w:val="18"/>
          <w:szCs w:val="18"/>
          <w:color w:val="auto"/>
        </w:rPr>
      </w:pPr>
    </w:p>
    <w:p>
      <w:pPr>
        <w:ind w:left="1900" w:right="1779" w:hanging="839"/>
        <w:spacing w:after="0" w:line="237"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any other forms or reports the undersigned may be required to file in connection with the undersigned's ownership, acquisition or disposition of securities of the Company, including Schedules 13G and 13D; and</w:t>
      </w:r>
    </w:p>
    <w:p>
      <w:pPr>
        <w:spacing w:after="0" w:line="207" w:lineRule="exact"/>
        <w:rPr>
          <w:rFonts w:ascii="Courier New" w:cs="Courier New" w:eastAsia="Courier New" w:hAnsi="Courier New"/>
          <w:sz w:val="18"/>
          <w:szCs w:val="18"/>
          <w:color w:val="auto"/>
        </w:rPr>
      </w:pPr>
    </w:p>
    <w:p>
      <w:pPr>
        <w:ind w:left="1900" w:right="1779" w:hanging="839"/>
        <w:spacing w:after="0" w:line="238"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agreements, certificates, receipts, or other documents in connection therewith. The undersigned hereby gives full power and authority to each attorney-in-fact to seek and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such information to the undersigned and approves and ratifies any such release of information. The undersigned hereby grants unto each attorney-in-fact and agent full power and authority to do and perform each and every act and thing requisite and necessary in connection with such matters and hereby ratifies and confirms all that any such attorney-in-fact and agent or substitute may do or cause to be done by virtue hereof. The undersigned acknowledges that:</w:t>
      </w:r>
    </w:p>
    <w:p>
      <w:pPr>
        <w:spacing w:after="0" w:line="208" w:lineRule="exact"/>
        <w:rPr>
          <w:rFonts w:ascii="Courier New" w:cs="Courier New" w:eastAsia="Courier New" w:hAnsi="Courier New"/>
          <w:sz w:val="18"/>
          <w:szCs w:val="18"/>
          <w:color w:val="auto"/>
        </w:rPr>
      </w:pPr>
    </w:p>
    <w:p>
      <w:pPr>
        <w:ind w:left="2540" w:right="1999" w:hanging="636"/>
        <w:spacing w:after="0" w:line="268" w:lineRule="auto"/>
        <w:tabs>
          <w:tab w:leader="none" w:pos="254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such attorney-in-fact assumes (i) any liability for the undersigned's responsibility to comply with the requirement of the Securities Exchange Act of 1934, as amended (the "Exchange Act"), (ii) any liability of the undersigned for any failure to comply with such requirements or</w:t>
      </w:r>
    </w:p>
    <w:p>
      <w:pPr>
        <w:spacing w:after="0" w:line="1" w:lineRule="exact"/>
        <w:rPr>
          <w:rFonts w:ascii="Courier New" w:cs="Courier New" w:eastAsia="Courier New" w:hAnsi="Courier New"/>
          <w:sz w:val="16"/>
          <w:szCs w:val="16"/>
          <w:color w:val="auto"/>
        </w:rPr>
      </w:pPr>
    </w:p>
    <w:p>
      <w:pPr>
        <w:ind w:left="2540" w:right="1779" w:hanging="4"/>
        <w:spacing w:after="0" w:line="236" w:lineRule="auto"/>
        <w:tabs>
          <w:tab w:leader="none" w:pos="3172"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obligation or liability of the undersigned for profit disgorgement under Section 16(b) of the Exchange Act; and</w:t>
      </w:r>
    </w:p>
    <w:p>
      <w:pPr>
        <w:spacing w:after="0" w:line="208" w:lineRule="exact"/>
        <w:rPr>
          <w:rFonts w:ascii="Courier New" w:cs="Courier New" w:eastAsia="Courier New" w:hAnsi="Courier New"/>
          <w:sz w:val="18"/>
          <w:szCs w:val="18"/>
          <w:color w:val="auto"/>
        </w:rPr>
      </w:pPr>
    </w:p>
    <w:p>
      <w:pPr>
        <w:ind w:left="2540" w:right="1779" w:hanging="636"/>
        <w:spacing w:after="0" w:line="237" w:lineRule="auto"/>
        <w:tabs>
          <w:tab w:leader="none" w:pos="25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 including without limitation the reporting requirements under Section 16 of the Exchange Act. This Power of Attorney shall remain in full force and effect until revoked by the undersigned in a signed writing delivered to such attorney-in-fact.</w:t>
      </w: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 Page Follows]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executed this Power of Attorney.</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15,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Andy Sassine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3">
            <w:col w:w="540" w:space="200"/>
            <w:col w:w="2120" w:space="720"/>
            <w:col w:w="6639"/>
          </w:cols>
          <w:pgMar w:left="240" w:top="136" w:right="1440" w:bottom="0" w:gutter="0" w:footer="0" w:header="0"/>
          <w:type w:val="continuous"/>
        </w:sectPr>
      </w:pPr>
    </w:p>
    <w:bookmarkStart w:id="2" w:name="page3"/>
    <w:bookmarkEnd w:id="2"/>
    <w:p>
      <w:pPr>
        <w:ind w:left="2380"/>
        <w:spacing w:after="0"/>
        <w:rPr>
          <w:sz w:val="20"/>
          <w:szCs w:val="20"/>
          <w:color w:val="auto"/>
        </w:rPr>
      </w:pPr>
      <w:r>
        <w:rPr>
          <w:rFonts w:ascii="Courier New" w:cs="Courier New" w:eastAsia="Courier New" w:hAnsi="Courier New"/>
          <w:sz w:val="16"/>
          <w:szCs w:val="16"/>
          <w:color w:val="auto"/>
        </w:rPr>
        <w:t>Name: Andy Sassine</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15322"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2019-12-23T16:07:23Z</dcterms:created>
  <dcterms:modified xsi:type="dcterms:W3CDTF">2019-12-23T16:07:23Z</dcterms:modified>
</cp:coreProperties>
</file>