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601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0121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SASSINE ANDY</w:t>
              </w:r>
            </w:hyperlink>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12"/>
          </w:tcPr>
          <w:p>
            <w:pPr>
              <w:spacing w:after="0" w:line="16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Arcturus Therapeutics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ARCT</w:t>
            </w:r>
            <w:r>
              <w:rPr>
                <w:rFonts w:ascii="Arial" w:cs="Arial" w:eastAsia="Arial" w:hAnsi="Arial"/>
                <w:sz w:val="15"/>
                <w:szCs w:val="15"/>
                <w:color w:val="0000EE"/>
              </w:rPr>
              <w:t xml:space="preserve"> </w:t>
            </w:r>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8"/>
                <w:szCs w:val="18"/>
                <w:color w:val="000000"/>
                <w:vertAlign w:val="superscript"/>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line="183"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0000FF"/>
                <w:w w:val="93"/>
              </w:rPr>
              <w:t>X</w:t>
            </w:r>
          </w:p>
        </w:tc>
        <w:tc>
          <w:tcPr>
            <w:tcW w:w="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5"/>
                <w:szCs w:val="5"/>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
                <w:szCs w:val="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40" w:type="dxa"/>
            <w:vAlign w:val="bottom"/>
            <w:gridSpan w:val="4"/>
            <w:vMerge w:val="restart"/>
          </w:tcPr>
          <w:p>
            <w:pPr>
              <w:ind w:left="440"/>
              <w:spacing w:after="0"/>
              <w:rPr>
                <w:sz w:val="20"/>
                <w:szCs w:val="20"/>
                <w:color w:val="auto"/>
              </w:rPr>
            </w:pPr>
            <w:r>
              <w:rPr>
                <w:rFonts w:ascii="Arial" w:cs="Arial" w:eastAsia="Arial" w:hAnsi="Arial"/>
                <w:sz w:val="16"/>
                <w:szCs w:val="16"/>
                <w:color w:val="0000FF"/>
              </w:rPr>
              <w:t>Chief Financial Officer</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40" w:type="dxa"/>
            <w:vAlign w:val="bottom"/>
            <w:gridSpan w:val="4"/>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C/O ARCTURUS THERAPEUTICS HOLDINGS</w:t>
            </w:r>
          </w:p>
        </w:tc>
        <w:tc>
          <w:tcPr>
            <w:tcW w:w="1460" w:type="dxa"/>
            <w:vAlign w:val="bottom"/>
            <w:gridSpan w:val="5"/>
          </w:tcPr>
          <w:p>
            <w:pPr>
              <w:ind w:left="280"/>
              <w:spacing w:after="0"/>
              <w:rPr>
                <w:sz w:val="20"/>
                <w:szCs w:val="20"/>
                <w:color w:val="auto"/>
              </w:rPr>
            </w:pPr>
            <w:r>
              <w:rPr>
                <w:rFonts w:ascii="Arial" w:cs="Arial" w:eastAsia="Arial" w:hAnsi="Arial"/>
                <w:sz w:val="16"/>
                <w:szCs w:val="16"/>
                <w:color w:val="0000FF"/>
              </w:rPr>
              <w:t>12/09/2022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6"/>
                <w:szCs w:val="16"/>
                <w:color w:val="0000FF"/>
              </w:rPr>
              <w:t>INC.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500" w:type="dxa"/>
            <w:vAlign w:val="bottom"/>
            <w:gridSpan w:val="7"/>
            <w:vMerge w:val="restart"/>
          </w:tcPr>
          <w:p>
            <w:pPr>
              <w:spacing w:after="0"/>
              <w:rPr>
                <w:sz w:val="20"/>
                <w:szCs w:val="20"/>
                <w:color w:val="auto"/>
              </w:rPr>
            </w:pPr>
            <w:r>
              <w:rPr>
                <w:rFonts w:ascii="Arial" w:cs="Arial" w:eastAsia="Arial" w:hAnsi="Arial"/>
                <w:sz w:val="16"/>
                <w:szCs w:val="16"/>
                <w:color w:val="0000FF"/>
              </w:rPr>
              <w:t>10628 SCIENCE CENTER DRIVE, SUITE 250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w:t>
            </w:r>
          </w:p>
        </w:tc>
        <w:tc>
          <w:tcPr>
            <w:tcW w:w="1040" w:type="dxa"/>
            <w:vAlign w:val="bottom"/>
            <w:vMerge w:val="restart"/>
          </w:tcPr>
          <w:p>
            <w:pPr>
              <w:ind w:left="40"/>
              <w:spacing w:after="0"/>
              <w:rPr>
                <w:sz w:val="20"/>
                <w:szCs w:val="20"/>
                <w:color w:val="auto"/>
              </w:rPr>
            </w:pPr>
            <w:r>
              <w:rPr>
                <w:rFonts w:ascii="Arial" w:cs="Arial" w:eastAsia="Arial" w:hAnsi="Arial"/>
                <w:sz w:val="16"/>
                <w:szCs w:val="16"/>
                <w:color w:val="0000FF"/>
              </w:rPr>
              <w:t>92121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ind w:left="260"/>
              <w:spacing w:after="0" w:line="178"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20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140"/>
              <w:spacing w:after="0" w:line="94" w:lineRule="exact"/>
              <w:rPr>
                <w:sz w:val="20"/>
                <w:szCs w:val="20"/>
                <w:color w:val="auto"/>
              </w:rPr>
            </w:pPr>
            <w:r>
              <w:rPr>
                <w:rFonts w:ascii="Arial" w:cs="Arial" w:eastAsia="Arial" w:hAnsi="Arial"/>
                <w:sz w:val="10"/>
                <w:szCs w:val="10"/>
                <w:color w:val="auto"/>
              </w:rPr>
              <w:t>Person</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7"/>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125,000</w:t>
            </w:r>
            <w:r>
              <w:rPr>
                <w:rFonts w:ascii="Arial" w:cs="Arial" w:eastAsia="Arial" w:hAnsi="Arial"/>
                <w:sz w:val="20"/>
                <w:szCs w:val="20"/>
                <w:color w:val="008000"/>
                <w:vertAlign w:val="superscript"/>
              </w:rPr>
              <w:t>(1)</w:t>
            </w: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125,000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16.92</w:t>
            </w:r>
          </w:p>
        </w:tc>
        <w:tc>
          <w:tcPr>
            <w:tcW w:w="120" w:type="dxa"/>
            <w:vAlign w:val="bottom"/>
          </w:tcPr>
          <w:p>
            <w:pPr>
              <w:spacing w:after="0"/>
              <w:rPr>
                <w:sz w:val="11"/>
                <w:szCs w:val="11"/>
                <w:color w:val="auto"/>
              </w:rPr>
            </w:pPr>
          </w:p>
        </w:tc>
        <w:tc>
          <w:tcPr>
            <w:tcW w:w="10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0000FF"/>
              </w:rPr>
              <w:t>12/09/2022</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ind w:left="100"/>
              <w:spacing w:after="0" w:line="135"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3"/>
                <w:szCs w:val="13"/>
                <w:color w:val="0000FF"/>
              </w:rPr>
              <w:t>12/09/2032</w:t>
            </w:r>
          </w:p>
        </w:tc>
        <w:tc>
          <w:tcPr>
            <w:tcW w:w="6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gridSpan w:val="2"/>
          </w:tcPr>
          <w:p>
            <w:pPr>
              <w:ind w:left="20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line="135" w:lineRule="exact"/>
              <w:rPr>
                <w:sz w:val="20"/>
                <w:szCs w:val="20"/>
                <w:color w:val="auto"/>
              </w:rPr>
            </w:pPr>
            <w:r>
              <w:rPr>
                <w:rFonts w:ascii="Arial" w:cs="Arial" w:eastAsia="Arial" w:hAnsi="Arial"/>
                <w:sz w:val="13"/>
                <w:szCs w:val="13"/>
                <w:color w:val="0000FF"/>
              </w:rPr>
              <w:t>125,000</w:t>
            </w:r>
          </w:p>
        </w:tc>
        <w:tc>
          <w:tcPr>
            <w:tcW w:w="620" w:type="dxa"/>
            <w:vAlign w:val="bottom"/>
          </w:tcPr>
          <w:p>
            <w:pPr>
              <w:ind w:left="300"/>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00"/>
              <w:spacing w:after="0" w:line="126"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54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options to purchase shares of common stock approved by the Board of Directors on December 9, 2022 pursuant to the Company's Amended and Restated 2019 Omnibus Equity Incentive Plan, as amended.</w:t>
      </w:r>
    </w:p>
    <w:p>
      <w:pPr>
        <w:spacing w:after="0" w:line="31" w:lineRule="exact"/>
        <w:rPr>
          <w:rFonts w:ascii="Arial" w:cs="Arial" w:eastAsia="Arial" w:hAnsi="Arial"/>
          <w:sz w:val="13"/>
          <w:szCs w:val="13"/>
          <w:color w:val="008000"/>
        </w:rPr>
      </w:pPr>
    </w:p>
    <w:p>
      <w:pPr>
        <w:ind w:left="40" w:right="20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underlying this option vest 25% on December 9, 2023, the first anniversary of the date this award was approved by the Board of Directors, and the remainder vest in equal increments on each successive one-month anniversary thereafter for the next thirty-six months.</w:t>
      </w:r>
    </w:p>
    <w:p>
      <w:pPr>
        <w:spacing w:after="0" w:line="4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Ilan Katz, attorney-in-fact</w:t>
            </w:r>
          </w:p>
        </w:tc>
        <w:tc>
          <w:tcPr>
            <w:tcW w:w="740" w:type="dxa"/>
            <w:vAlign w:val="bottom"/>
          </w:tcPr>
          <w:p>
            <w:pPr>
              <w:spacing w:after="0"/>
              <w:rPr>
                <w:sz w:val="20"/>
                <w:szCs w:val="20"/>
                <w:color w:val="auto"/>
              </w:rPr>
            </w:pPr>
            <w:r>
              <w:rPr>
                <w:rFonts w:ascii="Arial" w:cs="Arial" w:eastAsia="Arial" w:hAnsi="Arial"/>
                <w:sz w:val="16"/>
                <w:szCs w:val="16"/>
                <w:color w:val="0000FF"/>
                <w:w w:val="89"/>
              </w:rPr>
              <w:t>12/13/2022</w:t>
            </w:r>
          </w:p>
        </w:tc>
      </w:tr>
      <w:tr>
        <w:trPr>
          <w:trHeight w:val="217"/>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322"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2022-12-13T15:14:47Z</dcterms:created>
  <dcterms:modified xsi:type="dcterms:W3CDTF">2022-12-13T15:14:47Z</dcterms:modified>
</cp:coreProperties>
</file>