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Material Definitive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September 23, 2019, Arcturus Therapeutics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engagement letter (the “</w:t>
      </w:r>
      <w:r>
        <w:rPr>
          <w:rFonts w:ascii="Arial" w:cs="Arial" w:eastAsia="Arial" w:hAnsi="Arial"/>
          <w:sz w:val="17"/>
          <w:szCs w:val="17"/>
          <w:u w:val="single" w:color="auto"/>
          <w:color w:val="auto"/>
        </w:rPr>
        <w:t>Letter Agreement</w:t>
      </w:r>
      <w:r>
        <w:rPr>
          <w:rFonts w:ascii="Arial" w:cs="Arial" w:eastAsia="Arial" w:hAnsi="Arial"/>
          <w:sz w:val="17"/>
          <w:szCs w:val="17"/>
          <w:color w:val="auto"/>
        </w:rPr>
        <w:t>”) with H.C. Wainwright &amp; Co., LLC (the “</w:t>
      </w:r>
      <w:r>
        <w:rPr>
          <w:rFonts w:ascii="Arial" w:cs="Arial" w:eastAsia="Arial" w:hAnsi="Arial"/>
          <w:sz w:val="17"/>
          <w:szCs w:val="17"/>
          <w:u w:val="single" w:color="auto"/>
          <w:color w:val="auto"/>
        </w:rPr>
        <w:t>Placement Agent</w:t>
      </w:r>
      <w:r>
        <w:rPr>
          <w:rFonts w:ascii="Arial" w:cs="Arial" w:eastAsia="Arial" w:hAnsi="Arial"/>
          <w:sz w:val="17"/>
          <w:szCs w:val="17"/>
          <w:color w:val="auto"/>
        </w:rPr>
        <w:t>”) relating to the Company’s registered direct offering of common stock (the “</w:t>
      </w:r>
      <w:r>
        <w:rPr>
          <w:rFonts w:ascii="Arial" w:cs="Arial" w:eastAsia="Arial" w:hAnsi="Arial"/>
          <w:sz w:val="17"/>
          <w:szCs w:val="17"/>
          <w:u w:val="single" w:color="auto"/>
          <w:color w:val="auto"/>
        </w:rPr>
        <w:t>Offering</w:t>
      </w:r>
      <w:r>
        <w:rPr>
          <w:rFonts w:ascii="Arial" w:cs="Arial" w:eastAsia="Arial" w:hAnsi="Arial"/>
          <w:sz w:val="17"/>
          <w:szCs w:val="17"/>
          <w:color w:val="auto"/>
        </w:rPr>
        <w:t>”) to select investors (the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the Letter Agreement, the Company agreed to pay the Placement Agent a cash fee of 6.0% of the gross proceeds from the Offering raised from Investors. The Letter Agreement terminates upon the closing of the Offering.</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on September 25, 2019, the Company and the Investors entered into a securities purchase agreement (the “</w:t>
      </w:r>
      <w:r>
        <w:rPr>
          <w:rFonts w:ascii="Arial" w:cs="Arial" w:eastAsia="Arial" w:hAnsi="Arial"/>
          <w:sz w:val="16"/>
          <w:szCs w:val="16"/>
          <w:u w:val="single" w:color="auto"/>
          <w:color w:val="auto"/>
        </w:rPr>
        <w:t>Securities Purchase Agreement</w:t>
      </w:r>
      <w:r>
        <w:rPr>
          <w:rFonts w:ascii="Arial" w:cs="Arial" w:eastAsia="Arial" w:hAnsi="Arial"/>
          <w:sz w:val="16"/>
          <w:szCs w:val="16"/>
          <w:color w:val="auto"/>
        </w:rPr>
        <w:t>”) relating to the issuance and sale of shares of common stock. The purchase price per share for each share offered to the Investors is $11.50. The aggregate gross proceeds of the Offering is $9,775,000, for an aggregate of 850,000 shares of common stock. The Securities Purchase Agreement restricts the Company from issuing additional common stock for a period of 90 days from the closing of the Offering, subject to certain exceptions.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proceeds to the Company from the Offering, after deducting Placement Agent fees and the Company’s estimated offering expenses, are expected to be approximately $9.1 million. The Offering is expected to close on or before September 30, 2019, subject to the satisfaction of customary closing conditions.</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common stock is registered under the Securities Act of 1933, as amended, on the Company’s Registration Statement on Form S-3 (Registration No. 333-232281), previously filed with the Securities and Exchange Commission and declared effective on July 29, 2019.</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representations, warranties and covenants contained in the Securities Purchase Agreement were made solely for the benefit of the parties to the Securities Purchase Agreement. In addition, such representations, warranties and covenants (i) are intended as a way of allocating the risk between the parties to the Securities Purchase Agreement and not as statements of fact, and (ii) may apply standards of materiality in a way that is different from what may be viewed as material by stockholders of, or other investors in, the Company. Accordingly, the Securities Purchase Agreement is included with this filing only to provide investors with information regarding the terms of the transactions. Moreover, information concerning the subject matter of the representations and warranties may change after the date of the Securities Purchase Agreement, which subsequent information may or may not be fully reflected in public disclosures.</w:t>
      </w:r>
    </w:p>
    <w:p>
      <w:pPr>
        <w:spacing w:after="0" w:line="18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foregoing description of the Letter Agreement and the Securities Purchase Agreement are subject to, and qualified in their entirety by, the documents attached hereto as Exhibits 1.1 and 10.1, respectively, and incorporated herein by reference. Dentons US LLP, counsel to the Company, delivered an opinion as to legality of the issuance of the shares in the Offering, a copy of which is attached hereto as Exhibit 5.1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September 26, 2019, the Company issued a press release with respect to the information set forth above. A copy of the press release is furnished as Exhibit 99.1 and is incorporated herein by reference. The disclosure in this Item 7.01 (including the exhibit) shall not be deemed “filed” for purposes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Section 18, nor shall it be deemed incorporated by reference in any of the Company’s filings under the Securities Act of 1933, as amended, or the Exchange Act, except to the extent, if any,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Letter Agreement, dated September 23, 2019, between the Company and the Placement Agent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2">
        <w:r>
          <w:rPr>
            <w:rFonts w:ascii="Arial" w:cs="Arial" w:eastAsia="Arial" w:hAnsi="Arial"/>
            <w:sz w:val="16"/>
            <w:szCs w:val="16"/>
            <w:u w:val="single" w:color="auto"/>
            <w:color w:val="0000EE"/>
          </w:rPr>
          <w:t>Opinion of Dentons US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4">
        <w:r>
          <w:rPr>
            <w:rFonts w:ascii="Arial" w:cs="Arial" w:eastAsia="Arial" w:hAnsi="Arial"/>
            <w:sz w:val="16"/>
            <w:szCs w:val="16"/>
            <w:u w:val="single" w:color="auto"/>
            <w:color w:val="0000EE"/>
          </w:rPr>
          <w:t>Form of Securities Purchase Agreement, dated September 25, 2019, between the Company and the purchasers party thereto</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2">
        <w:r>
          <w:rPr>
            <w:rFonts w:ascii="Arial" w:cs="Arial" w:eastAsia="Arial" w:hAnsi="Arial"/>
            <w:sz w:val="16"/>
            <w:szCs w:val="16"/>
            <w:u w:val="single" w:color="auto"/>
            <w:color w:val="0000EE"/>
          </w:rPr>
          <w:t>Consent of Dentons US LLP (included in Exhibit 5.1)</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7">
        <w:r>
          <w:rPr>
            <w:rFonts w:ascii="Arial" w:cs="Arial" w:eastAsia="Arial" w:hAnsi="Arial"/>
            <w:sz w:val="15"/>
            <w:szCs w:val="15"/>
            <w:u w:val="single" w:color="auto"/>
            <w:color w:val="0000EE"/>
          </w:rPr>
          <w:t>Press Release, dated September 26, 2019.</w:t>
        </w:r>
      </w:hyperlink>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2019</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172085</wp:posOffset>
            </wp:positionV>
            <wp:extent cx="442531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253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Joseph E. Payne,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Payne:</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constitutes the agreement between Arcturus Therapeutics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H.C. Wainwright &amp; Co., LLC (“</w:t>
      </w:r>
      <w:r>
        <w:rPr>
          <w:rFonts w:ascii="Arial" w:cs="Arial" w:eastAsia="Arial" w:hAnsi="Arial"/>
          <w:sz w:val="16"/>
          <w:szCs w:val="16"/>
          <w:u w:val="single" w:color="auto"/>
          <w:color w:val="auto"/>
        </w:rPr>
        <w:t>Wainwright</w:t>
      </w:r>
      <w:r>
        <w:rPr>
          <w:rFonts w:ascii="Arial" w:cs="Arial" w:eastAsia="Arial" w:hAnsi="Arial"/>
          <w:sz w:val="16"/>
          <w:szCs w:val="16"/>
          <w:color w:val="auto"/>
        </w:rPr>
        <w:t>”), that Wainwright shall serve as the sole placement agent or sole book-running manager in an offering of an aggregate of two million shares of the Company’s common stock (the “</w:t>
      </w:r>
      <w:r>
        <w:rPr>
          <w:rFonts w:ascii="Arial" w:cs="Arial" w:eastAsia="Arial" w:hAnsi="Arial"/>
          <w:sz w:val="16"/>
          <w:szCs w:val="16"/>
          <w:u w:val="single" w:color="auto"/>
          <w:color w:val="auto"/>
        </w:rPr>
        <w:t>Securities</w:t>
      </w:r>
      <w:r>
        <w:rPr>
          <w:rFonts w:ascii="Arial" w:cs="Arial" w:eastAsia="Arial" w:hAnsi="Arial"/>
          <w:sz w:val="16"/>
          <w:szCs w:val="16"/>
          <w:color w:val="auto"/>
        </w:rPr>
        <w:t>”) at a price not less than $11.50 per share (the “</w:t>
      </w:r>
      <w:r>
        <w:rPr>
          <w:rFonts w:ascii="Arial" w:cs="Arial" w:eastAsia="Arial" w:hAnsi="Arial"/>
          <w:sz w:val="16"/>
          <w:szCs w:val="16"/>
          <w:u w:val="single" w:color="auto"/>
          <w:color w:val="auto"/>
        </w:rPr>
        <w:t>Offering</w:t>
      </w:r>
      <w:r>
        <w:rPr>
          <w:rFonts w:ascii="Arial" w:cs="Arial" w:eastAsia="Arial" w:hAnsi="Arial"/>
          <w:sz w:val="16"/>
          <w:szCs w:val="16"/>
          <w:color w:val="auto"/>
        </w:rPr>
        <w:t>”) during the Term (as hereinafter defined) of this Agreement. The terms of the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the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the Offering is strictly on a reasonable best efforts basis and that the consummation of the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the Offering.</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Compensation; Reimbursement</w:t>
      </w:r>
      <w:r>
        <w:rPr>
          <w:rFonts w:ascii="Arial" w:cs="Arial" w:eastAsia="Arial" w:hAnsi="Arial"/>
          <w:sz w:val="17"/>
          <w:szCs w:val="17"/>
          <w:color w:val="auto"/>
        </w:rPr>
        <w:t>. At the closing of the Offering (the “</w:t>
      </w:r>
      <w:r>
        <w:rPr>
          <w:rFonts w:ascii="Arial" w:cs="Arial" w:eastAsia="Arial" w:hAnsi="Arial"/>
          <w:sz w:val="17"/>
          <w:szCs w:val="17"/>
          <w:u w:val="single" w:color="auto"/>
          <w:color w:val="auto"/>
        </w:rPr>
        <w:t>Closing</w:t>
      </w:r>
      <w:r>
        <w:rPr>
          <w:rFonts w:ascii="Arial" w:cs="Arial" w:eastAsia="Arial" w:hAnsi="Arial"/>
          <w:sz w:val="17"/>
          <w:szCs w:val="17"/>
          <w:color w:val="auto"/>
        </w:rPr>
        <w:t>”), the Company shall compensate Wainwright as follows:</w:t>
      </w:r>
    </w:p>
    <w:p>
      <w:pPr>
        <w:spacing w:after="0" w:line="142" w:lineRule="exact"/>
        <w:rPr>
          <w:sz w:val="20"/>
          <w:szCs w:val="20"/>
          <w:color w:val="auto"/>
        </w:rPr>
      </w:pPr>
    </w:p>
    <w:p>
      <w:pPr>
        <w:ind w:left="980" w:right="220" w:hanging="54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Cash Fee</w:t>
      </w:r>
      <w:r>
        <w:rPr>
          <w:rFonts w:ascii="Arial" w:cs="Arial" w:eastAsia="Arial" w:hAnsi="Arial"/>
          <w:sz w:val="18"/>
          <w:szCs w:val="18"/>
          <w:color w:val="auto"/>
        </w:rPr>
        <w:t>. The Company shall pay to Wainwright a cash fee, or as to an underwritten Offering an underwriter discount, equal to 6.0%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gross proceeds raised in the Offering.</w:t>
      </w:r>
    </w:p>
    <w:p>
      <w:pPr>
        <w:spacing w:after="0" w:line="75" w:lineRule="exact"/>
        <w:rPr>
          <w:rFonts w:ascii="Arial" w:cs="Arial" w:eastAsia="Arial" w:hAnsi="Arial"/>
          <w:sz w:val="18"/>
          <w:szCs w:val="18"/>
          <w:color w:val="auto"/>
        </w:rPr>
      </w:pPr>
    </w:p>
    <w:p>
      <w:pPr>
        <w:ind w:left="980" w:right="120" w:hanging="54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Expense Allowance</w:t>
      </w:r>
      <w:r>
        <w:rPr>
          <w:rFonts w:ascii="Arial" w:cs="Arial" w:eastAsia="Arial" w:hAnsi="Arial"/>
          <w:sz w:val="18"/>
          <w:szCs w:val="18"/>
          <w:color w:val="auto"/>
        </w:rPr>
        <w:t>. Out of the proceeds of the Closing, the Company also agrees to reimburse Wainwright up to $60,000 for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legal counsel and other out-of-pocket expenses; and, if applicable, the costs associated with the use of a third-party electronic road show service (such as NetRoadshow); provided, however, that such amount in no way limits or impairs the indemnification and contribution provisions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430 Park Avenue | New York, New York 10022 | 212.356.0500 | www.hcwco.com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FINRA/SIPC</w:t>
      </w:r>
    </w:p>
    <w:p>
      <w:pPr>
        <w:sectPr>
          <w:pgSz w:w="11900" w:h="16838" w:orient="portrait"/>
          <w:cols w:equalWidth="0" w:num="1">
            <w:col w:w="11020"/>
          </w:cols>
          <w:pgMar w:left="440" w:top="121" w:right="439" w:bottom="1440" w:gutter="0" w:footer="0" w:header="0"/>
        </w:sectPr>
      </w:pPr>
    </w:p>
    <w:bookmarkStart w:id="4" w:name="page5"/>
    <w:bookmarkEnd w:id="4"/>
    <w:p>
      <w:pPr>
        <w:ind w:right="2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7"/>
          <w:szCs w:val="17"/>
          <w:u w:val="single" w:color="auto"/>
          <w:color w:val="auto"/>
        </w:rPr>
        <w:t>Term and Termination of Engagement; Exclusivity</w:t>
      </w:r>
      <w:r>
        <w:rPr>
          <w:rFonts w:ascii="Arial" w:cs="Arial" w:eastAsia="Arial" w:hAnsi="Arial"/>
          <w:sz w:val="17"/>
          <w:szCs w:val="17"/>
          <w:color w:val="auto"/>
        </w:rPr>
        <w:t>. The term of Wainwright’s exclusive engagement will begin on the date hereof and end on the earlier of (i) the consummation of the Offering, and (ii) 30 calendar days following the date hereof (the “</w:t>
      </w:r>
      <w:r>
        <w:rPr>
          <w:rFonts w:ascii="Arial" w:cs="Arial" w:eastAsia="Arial" w:hAnsi="Arial"/>
          <w:sz w:val="17"/>
          <w:szCs w:val="17"/>
          <w:u w:val="single" w:color="auto"/>
          <w:color w:val="auto"/>
        </w:rPr>
        <w:t>Term</w:t>
      </w:r>
      <w:r>
        <w:rPr>
          <w:rFonts w:ascii="Arial" w:cs="Arial" w:eastAsia="Arial" w:hAnsi="Arial"/>
          <w:sz w:val="17"/>
          <w:szCs w:val="17"/>
          <w:color w:val="auto"/>
        </w:rPr>
        <w:t>”).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or expiration of this Agreement. Notwithstanding anything to the contrary contained in this Agreement, in the event that the Offering pursuant to this Agreement shall not be carried out for any reason whatsoever during the Term, the Company shall be obligated to pay to Wainwright its actual and accountable out-of-pocket expenses related to the Offering (including the fees and disbursements of Wainwright’s legal counsel) and, if applicable, for electronic road show service used in connection with the Offering, up to an aggregate of $25,000. During Wainwright’s engagement hereunder: (i) the Company will not, and will not permit its representatives to, other than in coordination with Wainwright, contact or solicit institutions, corporations or other entities or individuals as potential purchasers of the Securities and (ii) the Company will not pursue any financing transaction which would be in lieu of the Offering. Additionally, except as set forth hereunder, or as set forth in that certain letter agreement between the Company and SVB Leerink LLC dated May 6, 2019,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the Offering.</w:t>
      </w:r>
    </w:p>
    <w:p>
      <w:pPr>
        <w:spacing w:after="0" w:line="18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Information; Reliance</w:t>
      </w:r>
      <w:r>
        <w:rPr>
          <w:rFonts w:ascii="Arial" w:cs="Arial" w:eastAsia="Arial" w:hAnsi="Arial"/>
          <w:sz w:val="16"/>
          <w:szCs w:val="16"/>
          <w:color w:val="auto"/>
        </w:rPr>
        <w:t>. The Company shall furnish, or cause to be furnished, to Wainwright all information requested by Wainwright for the purpose of rendering services hereunder and conducting due diligence (all such information being the “</w:t>
      </w:r>
      <w:r>
        <w:rPr>
          <w:rFonts w:ascii="Arial" w:cs="Arial" w:eastAsia="Arial" w:hAnsi="Arial"/>
          <w:sz w:val="16"/>
          <w:szCs w:val="16"/>
          <w:u w:val="single" w:color="auto"/>
          <w:color w:val="auto"/>
        </w:rPr>
        <w:t>Information</w:t>
      </w:r>
      <w:r>
        <w:rPr>
          <w:rFonts w:ascii="Arial" w:cs="Arial" w:eastAsia="Arial" w:hAnsi="Arial"/>
          <w:sz w:val="16"/>
          <w:szCs w:val="16"/>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the Offering (the “</w:t>
      </w:r>
      <w:r>
        <w:rPr>
          <w:rFonts w:ascii="Arial" w:cs="Arial" w:eastAsia="Arial" w:hAnsi="Arial"/>
          <w:sz w:val="16"/>
          <w:szCs w:val="16"/>
          <w:u w:val="single" w:color="auto"/>
          <w:color w:val="auto"/>
        </w:rPr>
        <w:t>Offering Documents</w:t>
      </w:r>
      <w:r>
        <w:rPr>
          <w:rFonts w:ascii="Arial" w:cs="Arial" w:eastAsia="Arial" w:hAnsi="Arial"/>
          <w:sz w:val="16"/>
          <w:szCs w:val="16"/>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At each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the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u w:val="single" w:color="auto"/>
          <w:color w:val="auto"/>
        </w:rPr>
        <w:t>Related Agreements</w:t>
      </w:r>
      <w:r>
        <w:rPr>
          <w:rFonts w:ascii="Arial" w:cs="Arial" w:eastAsia="Arial" w:hAnsi="Arial"/>
          <w:sz w:val="18"/>
          <w:szCs w:val="18"/>
          <w:color w:val="auto"/>
        </w:rPr>
        <w:t>. At the Offering, the Company shall enter into the following additional agreements:</w:t>
      </w:r>
    </w:p>
    <w:p>
      <w:pPr>
        <w:spacing w:after="0" w:line="131" w:lineRule="exact"/>
        <w:rPr>
          <w:sz w:val="20"/>
          <w:szCs w:val="20"/>
          <w:color w:val="auto"/>
        </w:rPr>
      </w:pPr>
    </w:p>
    <w:p>
      <w:pPr>
        <w:ind w:left="960" w:hanging="54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the Offering is an underwritten Offering, the Company and Wainwright shall enter into a customary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form and substance satisfactory to Wainwright and its counsel.</w:t>
      </w:r>
    </w:p>
    <w:p>
      <w:pPr>
        <w:spacing w:after="0" w:line="75" w:lineRule="exact"/>
        <w:rPr>
          <w:rFonts w:ascii="Arial" w:cs="Arial" w:eastAsia="Arial" w:hAnsi="Arial"/>
          <w:sz w:val="18"/>
          <w:szCs w:val="18"/>
          <w:color w:val="auto"/>
        </w:rPr>
      </w:pPr>
    </w:p>
    <w:p>
      <w:pPr>
        <w:ind w:left="960" w:right="120" w:hanging="544"/>
        <w:spacing w:after="0" w:line="27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Best Efforts Offering</w:t>
      </w:r>
      <w:r>
        <w:rPr>
          <w:rFonts w:ascii="Arial" w:cs="Arial" w:eastAsia="Arial" w:hAnsi="Arial"/>
          <w:sz w:val="17"/>
          <w:szCs w:val="17"/>
          <w:color w:val="auto"/>
        </w:rPr>
        <w:t>. If the Offering is on a best efforts basis, the sale of Securities to the investors in the Offering will be evidenced by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agreement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between the Company and such investors in a form reasonably satisfactory to the Company and Wainwright. Wainwright shall be a third party beneficiary with respect to the representations and warranties included in the Purchase Agreement. Prior to the signing of any Purchase Agreement, officers of the Company with responsibility for financial affairs will be available to answer inquiries from prospective investors.</w:t>
      </w:r>
    </w:p>
    <w:p>
      <w:pPr>
        <w:spacing w:after="0" w:line="77" w:lineRule="exact"/>
        <w:rPr>
          <w:rFonts w:ascii="Arial" w:cs="Arial" w:eastAsia="Arial" w:hAnsi="Arial"/>
          <w:sz w:val="17"/>
          <w:szCs w:val="17"/>
          <w:color w:val="auto"/>
        </w:rPr>
      </w:pPr>
    </w:p>
    <w:p>
      <w:pPr>
        <w:ind w:left="960" w:right="160" w:hanging="54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Escrow, Settlement and Closing</w:t>
      </w:r>
      <w:r>
        <w:rPr>
          <w:rFonts w:ascii="Arial" w:cs="Arial" w:eastAsia="Arial" w:hAnsi="Arial"/>
          <w:sz w:val="18"/>
          <w:szCs w:val="18"/>
          <w:color w:val="auto"/>
        </w:rPr>
        <w:t>. If the Offering is not settled via delivery versus payment (“</w:t>
      </w:r>
      <w:r>
        <w:rPr>
          <w:rFonts w:ascii="Arial" w:cs="Arial" w:eastAsia="Arial" w:hAnsi="Arial"/>
          <w:sz w:val="18"/>
          <w:szCs w:val="18"/>
          <w:u w:val="single" w:color="auto"/>
          <w:color w:val="auto"/>
        </w:rPr>
        <w:t>DVP</w:t>
      </w:r>
      <w:r>
        <w:rPr>
          <w:rFonts w:ascii="Arial" w:cs="Arial" w:eastAsia="Arial" w:hAnsi="Arial"/>
          <w:sz w:val="18"/>
          <w:szCs w:val="18"/>
          <w:color w:val="auto"/>
        </w:rPr>
        <w:t>”), the Company and Wainwright shall</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an escrow agreement with a third party escrow agent pursuant to which Wainwright’s compensation and expenses shall be paid from the gross proceeds of the Securities sold. If the Offering is settled in whole or in part via DVP, Wainwright shall arrange for its clearing agent to provide the funds to facilitate such settlement.</w:t>
      </w:r>
    </w:p>
    <w:p>
      <w:pPr>
        <w:spacing w:after="0" w:line="92" w:lineRule="exact"/>
        <w:rPr>
          <w:rFonts w:ascii="Arial" w:cs="Arial" w:eastAsia="Arial" w:hAnsi="Arial"/>
          <w:sz w:val="18"/>
          <w:szCs w:val="18"/>
          <w:color w:val="auto"/>
        </w:rPr>
      </w:pPr>
    </w:p>
    <w:p>
      <w:pPr>
        <w:ind w:left="960" w:right="60" w:hanging="544"/>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FINRA Amendments</w:t>
      </w:r>
      <w:r>
        <w:rPr>
          <w:rFonts w:ascii="Arial" w:cs="Arial" w:eastAsia="Arial" w:hAnsi="Arial"/>
          <w:sz w:val="18"/>
          <w:szCs w:val="18"/>
          <w:color w:val="auto"/>
        </w:rPr>
        <w:t>. Notwithstanding anything herein to the contrary, in the event that Wainwright determines that any of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80" w:lineRule="exact"/>
        <w:rPr>
          <w:rFonts w:ascii="Arial" w:cs="Arial" w:eastAsia="Arial" w:hAnsi="Arial"/>
          <w:sz w:val="18"/>
          <w:szCs w:val="18"/>
          <w:color w:val="auto"/>
        </w:rPr>
      </w:pPr>
    </w:p>
    <w:p>
      <w:pPr>
        <w:ind w:left="-20" w:right="280" w:firstLine="444"/>
        <w:spacing w:after="0" w:line="264" w:lineRule="auto"/>
        <w:tabs>
          <w:tab w:leader="none" w:pos="62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the Offering, Wainwright shall have the right to disclose its participation in such Offering, including, without limitation, the Offering at its cost of “tombstone” advertisements in financial and other newspapers and journals.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6" w:name="page7"/>
    <w:bookmarkEnd w:id="6"/>
    <w:p>
      <w:pPr>
        <w:ind w:left="184" w:hanging="176"/>
        <w:spacing w:after="0"/>
        <w:tabs>
          <w:tab w:leader="none" w:pos="184"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4" w:right="80" w:hanging="544"/>
        <w:spacing w:after="0" w:line="284" w:lineRule="auto"/>
        <w:tabs>
          <w:tab w:leader="none" w:pos="54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Company’s engagement of Wainwright hereunder,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from and against any and all claims, actions, suits, proceedings (including those of shareholders), damages, liabilities and expenses incurred by any of them (including the reasonable fees and expenses of counsel), as incurred, whether or not the Company is a party thereto (collectively a “</w:t>
      </w:r>
      <w:r>
        <w:rPr>
          <w:rFonts w:ascii="Arial" w:cs="Arial" w:eastAsia="Arial" w:hAnsi="Arial"/>
          <w:sz w:val="16"/>
          <w:szCs w:val="16"/>
          <w:u w:val="single" w:color="auto"/>
          <w:color w:val="auto"/>
        </w:rPr>
        <w:t>Claim</w:t>
      </w:r>
      <w:r>
        <w:rPr>
          <w:rFonts w:ascii="Arial" w:cs="Arial" w:eastAsia="Arial" w:hAnsi="Arial"/>
          <w:sz w:val="16"/>
          <w:szCs w:val="16"/>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w:t>
      </w:r>
    </w:p>
    <w:p>
      <w:pPr>
        <w:spacing w:after="0" w:line="2" w:lineRule="exact"/>
        <w:rPr>
          <w:rFonts w:ascii="Arial" w:cs="Arial" w:eastAsia="Arial" w:hAnsi="Arial"/>
          <w:sz w:val="16"/>
          <w:szCs w:val="16"/>
          <w:color w:val="auto"/>
        </w:rPr>
      </w:pPr>
    </w:p>
    <w:p>
      <w:pPr>
        <w:ind w:left="544" w:right="60"/>
        <w:spacing w:after="0" w:line="268" w:lineRule="auto"/>
        <w:rPr>
          <w:rFonts w:ascii="Arial" w:cs="Arial" w:eastAsia="Arial" w:hAnsi="Arial"/>
          <w:sz w:val="16"/>
          <w:szCs w:val="16"/>
          <w:color w:val="auto"/>
        </w:rPr>
      </w:pPr>
      <w:r>
        <w:rPr>
          <w:rFonts w:ascii="Arial" w:cs="Arial" w:eastAsia="Arial" w:hAnsi="Arial"/>
          <w:sz w:val="17"/>
          <w:szCs w:val="17"/>
          <w:color w:val="auto"/>
        </w:rPr>
        <w:t>(B)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gross negligence or willful misconduct.</w:t>
      </w:r>
    </w:p>
    <w:p>
      <w:pPr>
        <w:spacing w:after="0" w:line="89" w:lineRule="exact"/>
        <w:rPr>
          <w:rFonts w:ascii="Arial" w:cs="Arial" w:eastAsia="Arial" w:hAnsi="Arial"/>
          <w:sz w:val="16"/>
          <w:szCs w:val="16"/>
          <w:color w:val="auto"/>
        </w:rPr>
      </w:pPr>
    </w:p>
    <w:p>
      <w:pPr>
        <w:ind w:left="544" w:right="60" w:hanging="544"/>
        <w:spacing w:after="0" w:line="279" w:lineRule="auto"/>
        <w:tabs>
          <w:tab w:leader="none" w:pos="54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76" w:lineRule="exact"/>
        <w:rPr>
          <w:rFonts w:ascii="Arial" w:cs="Arial" w:eastAsia="Arial" w:hAnsi="Arial"/>
          <w:sz w:val="17"/>
          <w:szCs w:val="17"/>
          <w:color w:val="auto"/>
        </w:rPr>
      </w:pPr>
    </w:p>
    <w:p>
      <w:pPr>
        <w:ind w:left="544" w:hanging="544"/>
        <w:spacing w:after="0" w:line="270" w:lineRule="auto"/>
        <w:tabs>
          <w:tab w:leader="none" w:pos="544"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satisfactory to the Indemnified Person and provided further that if the legal counsel to such Indemnified Person reasonably determines that the use of counsel chosen by the Company to represent the Indemnified Person would present such counsel with a conflict of interest or if the defendant in, or target of, any such Claim, includes</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7" w:name="page8"/>
    <w:bookmarkEnd w:id="7"/>
    <w:p>
      <w:pPr>
        <w:ind w:left="54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Indemnified Person and the Company, and legal counsel to such Indemnified Person reasonably concludes that there may be legal defenses available to it or other Indemnified Persons different from or in addition to 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74" w:lineRule="exact"/>
        <w:rPr>
          <w:sz w:val="20"/>
          <w:szCs w:val="20"/>
          <w:color w:val="auto"/>
        </w:rPr>
      </w:pPr>
    </w:p>
    <w:p>
      <w:pPr>
        <w:ind w:left="544" w:hanging="544"/>
        <w:spacing w:after="0" w:line="289" w:lineRule="auto"/>
        <w:tabs>
          <w:tab w:leader="none" w:pos="5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agrees that if any indemnity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Offering (whether or not consummated) for which Wainwright is engaged to render services bears to (b) the fee paid or proposed to be paid to Wainwright in connection with such engagement.</w:t>
      </w:r>
    </w:p>
    <w:p>
      <w:pPr>
        <w:spacing w:after="0" w:line="72" w:lineRule="exact"/>
        <w:rPr>
          <w:rFonts w:ascii="Arial" w:cs="Arial" w:eastAsia="Arial" w:hAnsi="Arial"/>
          <w:sz w:val="16"/>
          <w:szCs w:val="16"/>
          <w:color w:val="auto"/>
        </w:rPr>
      </w:pPr>
    </w:p>
    <w:p>
      <w:pPr>
        <w:ind w:left="544" w:right="240" w:hanging="544"/>
        <w:spacing w:after="0" w:line="264"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1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4"/>
          </w:cols>
          <w:pgMar w:left="876" w:top="274" w:right="499" w:bottom="1440" w:gutter="0" w:footer="0" w:header="0"/>
        </w:sectPr>
      </w:pPr>
    </w:p>
    <w:bookmarkStart w:id="8" w:name="page9"/>
    <w:bookmarkEnd w:id="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 </w:t>
      </w:r>
      <w:r>
        <w:rPr>
          <w:rFonts w:ascii="Arial" w:cs="Arial" w:eastAsia="Arial" w:hAnsi="Arial"/>
          <w:sz w:val="17"/>
          <w:szCs w:val="17"/>
          <w:u w:val="single" w:color="auto"/>
          <w:color w:val="auto"/>
        </w:rPr>
        <w:t>Limitation of Engagement to the Company</w:t>
      </w:r>
      <w:r>
        <w:rPr>
          <w:rFonts w:ascii="Arial" w:cs="Arial" w:eastAsia="Arial" w:hAnsi="Arial"/>
          <w:sz w:val="17"/>
          <w:szCs w:val="17"/>
          <w:color w:val="auto"/>
        </w:rPr>
        <w:t>. The Company acknowledges that Wainwright has been retained only by the Company,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Wainwright is providing services hereunder as an independent contractor (and not in any fiduciary or agency capacity) and that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engagement of Wainwright is not deemed to be on behalf of, and is not intended to confer rights upon, any shareholder, owner or partner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or any other person not a party hereto as against Wainwright or any of its affiliates, or any of its or their respective officers,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controlling persons (within the meaning of Section 15 of the Securities Act or Section 20 of the Securities Exchange Act of 1934,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rely upon this Agreement or any other statements or conduct of Wainwright, and no one other than the Company is intended to be a beneficiary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Company acknowledges that any recommendation or advice, written or oral, given by Wainwright to the Company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Wainwright’s engagement is intended solely for the benefit and use of the Company’s management and directors in considering a possible Offering,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recommendation or advice is not on behalf of, and shall not confer any rights or remedies upon, any other person or be used or relied upon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other purpose. Wainwright shall not have the authority to make any commitment binding on the Company. The Company, in its sole discretion,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right to reject any investor introduced to it by Wainwright.</w:t>
      </w:r>
    </w:p>
    <w:p>
      <w:pPr>
        <w:spacing w:after="0" w:line="21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Limitation of Wainwright’s Liability to the Company</w:t>
      </w:r>
      <w:r>
        <w:rPr>
          <w:rFonts w:ascii="Arial" w:cs="Arial" w:eastAsia="Arial" w:hAnsi="Arial"/>
          <w:sz w:val="17"/>
          <w:szCs w:val="17"/>
          <w:color w:val="auto"/>
        </w:rPr>
        <w:t>. Wainwright and the Company further agree that neither Wainwright nor any of its affiliates or any of its or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17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ind w:right="34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will be in writing and sent by certified mail, hand delivery, overnight delivery, fax or e-mail, if sent to Wainwright, at the address set forth on the first page hereof, e-mail: notices@hcwco.com, Attention: Head of Investment Banking, and if sent to the Company, to the address set forth on the first page hereof, e-mail: joe@arcturusrx.com, Attention: Chief Executive Officer. Notices sent by certified mail shall be deemed received five days thereafter, notices sent by hand delivery or overnight delivery shall be deemed received on the date of the relevant written record of receipt, notices delivered by fax shall be deemed received as of the date and time printed thereon by the fax machine and notices sent by e-mail shall be deemed received as of the date and time they were sent.</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u w:val="single" w:color="auto"/>
          <w:color w:val="auto"/>
        </w:rPr>
        <w:t>Conflicts</w:t>
      </w:r>
      <w:r>
        <w:rPr>
          <w:rFonts w:ascii="Arial" w:cs="Arial" w:eastAsia="Arial" w:hAnsi="Arial"/>
          <w:sz w:val="16"/>
          <w:szCs w:val="16"/>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47"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 xml:space="preserve">L. </w:t>
      </w:r>
      <w:r>
        <w:rPr>
          <w:rFonts w:ascii="Arial" w:cs="Arial" w:eastAsia="Arial" w:hAnsi="Arial"/>
          <w:sz w:val="17"/>
          <w:szCs w:val="17"/>
          <w:u w:val="single" w:color="auto"/>
          <w:color w:val="auto"/>
        </w:rPr>
        <w:t>Anti-Money Laundering</w:t>
      </w:r>
      <w:r>
        <w:rPr>
          <w:rFonts w:ascii="Arial" w:cs="Arial" w:eastAsia="Arial" w:hAnsi="Arial"/>
          <w:sz w:val="17"/>
          <w:szCs w:val="17"/>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7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M. </w:t>
      </w:r>
      <w:r>
        <w:rPr>
          <w:rFonts w:ascii="Arial" w:cs="Arial" w:eastAsia="Arial" w:hAnsi="Arial"/>
          <w:sz w:val="17"/>
          <w:szCs w:val="17"/>
          <w:u w:val="single" w:color="auto"/>
          <w:color w:val="auto"/>
        </w:rPr>
        <w:t>Miscellaneous</w:t>
      </w:r>
      <w:r>
        <w:rPr>
          <w:rFonts w:ascii="Arial" w:cs="Arial" w:eastAsia="Arial" w:hAnsi="Arial"/>
          <w:sz w:val="17"/>
          <w:szCs w:val="17"/>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or electronic counterparts), each of which shall be deemed an original but all of which together shall constitute one and the same instrument.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W. Viklund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Mark W. Viklund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September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 Payne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440" w:top="274" w:right="7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7640"/>
        <w:spacing w:after="0"/>
        <w:rPr>
          <w:sz w:val="20"/>
          <w:szCs w:val="20"/>
          <w:color w:val="auto"/>
        </w:rPr>
      </w:pPr>
      <w:r>
        <w:rPr>
          <w:sz w:val="1"/>
          <w:szCs w:val="1"/>
          <w:color w:val="auto"/>
        </w:rPr>
        <w:drawing>
          <wp:inline distT="0" distB="0" distL="0" distR="0">
            <wp:extent cx="188595"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94615"/>
                    </a:xfrm>
                    <a:prstGeom prst="rect">
                      <a:avLst/>
                    </a:prstGeom>
                    <a:noFill/>
                    <a:ln>
                      <a:noFill/>
                    </a:ln>
                  </pic:spPr>
                </pic:pic>
              </a:graphicData>
            </a:graphic>
          </wp:inline>
        </w:drawing>
      </w:r>
      <w:r>
        <w:rPr>
          <w:rFonts w:ascii="Arial" w:cs="Arial" w:eastAsia="Arial" w:hAnsi="Arial"/>
          <w:sz w:val="16"/>
          <w:szCs w:val="16"/>
          <w:color w:val="auto"/>
        </w:rPr>
        <w:t xml:space="preserve"> Salans FMC SNR Denton McKenna Long</w:t>
      </w:r>
    </w:p>
    <w:p>
      <w:pPr>
        <w:spacing w:after="0" w:line="4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dentons.com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Sale of Shares of Common Stock registered pursuant to Registration Statement on Form S-3 (File No. 333-232281)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acted as counsel to Arcturus Therapeutics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 registration statement on Form S-3, File No. 333-232281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heretofore filed by the Company with the Securities and Exchange Commission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and the prospectus supplement filed pursuant to Rule 424(b) under the Act, dated as of September 25, 2019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under which the Company offered 850,000 shares of the Company’s common stock,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Shares are being sold pursuant to a securities purchase agreement dated as of September 25, 2019, by and among the Company and certain investors (the “</w:t>
      </w:r>
      <w:r>
        <w:rPr>
          <w:rFonts w:ascii="Arial" w:cs="Arial" w:eastAsia="Arial" w:hAnsi="Arial"/>
          <w:sz w:val="17"/>
          <w:szCs w:val="17"/>
          <w:b w:val="1"/>
          <w:bCs w:val="1"/>
          <w:color w:val="auto"/>
        </w:rPr>
        <w:t>Purchase Agreement</w:t>
      </w:r>
      <w:r>
        <w:rPr>
          <w:rFonts w:ascii="Arial" w:cs="Arial" w:eastAsia="Arial" w:hAnsi="Arial"/>
          <w:sz w:val="17"/>
          <w:szCs w:val="17"/>
          <w:color w:val="auto"/>
        </w:rPr>
        <w:t>”). Capitalized terms used but not otherwise defined herein shall have the meanings assigned to such terms in the Purchase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to you pursuant to Item 601(b)(5) of Regulation S-K under the Act at the request of the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 (i) the Company’s Certificate of Incorporation, (ii) the Company’s By-Laws, (iii) the Registration Statement, including the prospectus (the “</w:t>
      </w:r>
      <w:r>
        <w:rPr>
          <w:rFonts w:ascii="Arial" w:cs="Arial" w:eastAsia="Arial" w:hAnsi="Arial"/>
          <w:sz w:val="18"/>
          <w:szCs w:val="18"/>
          <w:b w:val="1"/>
          <w:bCs w:val="1"/>
          <w:color w:val="auto"/>
        </w:rPr>
        <w:t>Base Prospectus</w:t>
      </w:r>
      <w:r>
        <w:rPr>
          <w:rFonts w:ascii="Arial" w:cs="Arial" w:eastAsia="Arial" w:hAnsi="Arial"/>
          <w:sz w:val="18"/>
          <w:szCs w:val="18"/>
          <w:color w:val="auto"/>
        </w:rPr>
        <w:t>”) contained therein, (iv) the Prospectus Supplement (Prospectus Supplement and the Base Prospectus are collectively referred to herein as the “</w:t>
      </w:r>
      <w:r>
        <w:rPr>
          <w:rFonts w:ascii="Arial" w:cs="Arial" w:eastAsia="Arial" w:hAnsi="Arial"/>
          <w:sz w:val="18"/>
          <w:szCs w:val="18"/>
          <w:b w:val="1"/>
          <w:bCs w:val="1"/>
          <w:color w:val="auto"/>
        </w:rPr>
        <w:t>Prospectus</w:t>
      </w:r>
      <w:r>
        <w:rPr>
          <w:rFonts w:ascii="Arial" w:cs="Arial" w:eastAsia="Arial" w:hAnsi="Arial"/>
          <w:sz w:val="18"/>
          <w:szCs w:val="18"/>
          <w:color w:val="auto"/>
        </w:rPr>
        <w:t>”), (v) corporate proceedings of the Company relating to the Shares, and (vi) such other instruments and documents as we have deemed necessary under the circumstances.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assumed the genuineness and authenticity of all documents examined by us and all signatures thereon, and the conformity to originals of all copies of documents examined by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upon the foregoing, and in reliance thereon, and subject to the qualifications, limitations and exceptions stated herein, we are of the opinion having due regard for such legal considerations as we deemed relevant, that the Shares, have been duly authorized and, when, sold and delivered by the Company against receipt of the purchase price therefor, in the manner contemplated by the Prospectus and the Purchase Agreement, will be validly issued, fully paid and nonassessable.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ectPr>
          <w:pgSz w:w="11900" w:h="16838" w:orient="portrait"/>
          <w:cols w:equalWidth="0" w:num="1">
            <w:col w:w="11020"/>
          </w:cols>
          <w:pgMar w:left="440" w:top="121" w:right="439" w:bottom="1440" w:gutter="0" w:footer="0" w:header="0"/>
        </w:sectPr>
      </w:pPr>
    </w:p>
    <w:bookmarkStart w:id="12" w:name="page13"/>
    <w:bookmarkEnd w:id="1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063625"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17500"/>
                    </a:xfrm>
                    <a:prstGeom prst="rect">
                      <a:avLst/>
                    </a:prstGeom>
                    <a:noFill/>
                  </pic:spPr>
                </pic:pic>
              </a:graphicData>
            </a:graphic>
          </wp:anchor>
        </w:drawing>
      </w:r>
    </w:p>
    <w:p>
      <w:pPr>
        <w:ind w:left="2320"/>
        <w:spacing w:after="0"/>
        <w:rPr>
          <w:sz w:val="20"/>
          <w:szCs w:val="20"/>
          <w:color w:val="auto"/>
        </w:rPr>
      </w:pPr>
      <w:r>
        <w:rPr>
          <w:rFonts w:ascii="Arial" w:cs="Arial" w:eastAsia="Arial" w:hAnsi="Arial"/>
          <w:sz w:val="16"/>
          <w:szCs w:val="16"/>
          <w:color w:val="auto"/>
        </w:rPr>
        <w:t>Arcturus Therapeutics Holdings Inc.</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Salans FMC SNR Denton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dentons.com</w:t>
      </w:r>
    </w:p>
    <w:p>
      <w:pPr>
        <w:spacing w:after="0" w:line="429" w:lineRule="exact"/>
        <w:rPr>
          <w:sz w:val="20"/>
          <w:szCs w:val="20"/>
          <w:color w:val="auto"/>
        </w:rPr>
      </w:pPr>
    </w:p>
    <w:p>
      <w:pPr>
        <w:sectPr>
          <w:pgSz w:w="11900" w:h="16838" w:orient="portrait"/>
          <w:cols w:equalWidth="0" w:num="2">
            <w:col w:w="8000" w:space="720"/>
            <w:col w:w="2120"/>
          </w:cols>
          <w:pgMar w:left="440" w:top="310" w:right="619" w:bottom="1440" w:gutter="0" w:footer="0" w:header="0"/>
        </w:sectPr>
      </w:pPr>
    </w:p>
    <w:p>
      <w:pPr>
        <w:spacing w:after="0" w:line="1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opinions are subject to limitations imposed by general principles of equity or public policy upon the enforceability of any of the remedies or covenants,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express no opinion as to the laws of any jurisdiction other than Delaware general corporation law and the federal laws of the United States of America.</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inclusion of this opinion as an exhibit to a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6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Dentons US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0840"/>
          </w:cols>
          <w:pgMar w:left="440" w:top="310" w:right="61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520" w:firstLine="441"/>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September 25, 2019, between Arcturus Therapeutics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6"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117"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117"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Arial" w:cs="Arial" w:eastAsia="Arial" w:hAnsi="Arial"/>
          <w:sz w:val="15"/>
          <w:szCs w:val="15"/>
          <w:color w:val="auto"/>
        </w:rPr>
        <w:t>nd</w:t>
      </w:r>
      <w:r>
        <w:rPr>
          <w:rFonts w:ascii="Arial" w:cs="Arial" w:eastAsia="Arial" w:hAnsi="Arial"/>
          <w:sz w:val="18"/>
          <w:szCs w:val="18"/>
          <w:color w:val="auto"/>
        </w:rPr>
        <w:t>) Trading Day following the date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62" w:lineRule="exact"/>
        <w:rPr>
          <w:sz w:val="20"/>
          <w:szCs w:val="20"/>
          <w:color w:val="auto"/>
        </w:rPr>
      </w:pPr>
    </w:p>
    <w:p>
      <w:pPr>
        <w:ind w:right="6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Counsel</w:t>
      </w:r>
      <w:r>
        <w:rPr>
          <w:rFonts w:ascii="Arial" w:cs="Arial" w:eastAsia="Arial" w:hAnsi="Arial"/>
          <w:sz w:val="17"/>
          <w:szCs w:val="17"/>
          <w:color w:val="auto"/>
        </w:rPr>
        <w:t>” means Dentons US LLP, with offices located at 1221 Avenue of the Americas, New York, NY 10020-1089.</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20" w:firstLine="42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Issuance</w:t>
      </w:r>
      <w:r>
        <w:rPr>
          <w:rFonts w:ascii="Arial" w:cs="Arial" w:eastAsia="Arial" w:hAnsi="Arial"/>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shares of Common Stock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880" w:top="274" w:right="49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117"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$11.50, subject to adjustment for reverse and forward stock splits, stock dividends, stock combinations and other similar transactions of the Common Stock that occur after the date of this Agreement.</w:t>
      </w:r>
    </w:p>
    <w:p>
      <w:pPr>
        <w:spacing w:after="0" w:line="62"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117"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880" w:top="274" w:right="519" w:bottom="1440" w:gutter="0" w:footer="0" w:header="0"/>
        </w:sectPr>
      </w:pPr>
    </w:p>
    <w:bookmarkStart w:id="16" w:name="page17"/>
    <w:bookmarkEnd w:id="16"/>
    <w:p>
      <w:pPr>
        <w:ind w:right="26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117"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333-232281 which registers the sale of the Shares to the Purchasers.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62" w:lineRule="exact"/>
        <w:rPr>
          <w:sz w:val="20"/>
          <w:szCs w:val="20"/>
          <w:color w:val="auto"/>
        </w:rPr>
      </w:pPr>
    </w:p>
    <w:p>
      <w:pPr>
        <w:jc w:val="both"/>
        <w:ind w:right="2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73"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17" w:name="page18"/>
    <w:bookmarkEnd w:id="17"/>
    <w:p>
      <w:pPr>
        <w:ind w:left="440" w:firstLine="42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73" w:lineRule="exact"/>
        <w:rPr>
          <w:sz w:val="20"/>
          <w:szCs w:val="20"/>
          <w:color w:val="auto"/>
        </w:rPr>
      </w:pPr>
    </w:p>
    <w:p>
      <w:pPr>
        <w:ind w:left="440" w:righ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62"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with a mailing address of State Street, 30th Floor, New York, NY 10004-1561, and any successor transfer agent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$9.775 million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117" w:lineRule="exact"/>
        <w:rPr>
          <w:sz w:val="20"/>
          <w:szCs w:val="20"/>
          <w:color w:val="auto"/>
        </w:rPr>
      </w:pPr>
    </w:p>
    <w:p>
      <w:pPr>
        <w:ind w:left="1120" w:hanging="252"/>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117" w:lineRule="exact"/>
        <w:rPr>
          <w:rFonts w:ascii="Arial" w:cs="Arial" w:eastAsia="Arial" w:hAnsi="Arial"/>
          <w:sz w:val="18"/>
          <w:szCs w:val="18"/>
          <w:color w:val="auto"/>
        </w:rPr>
      </w:pPr>
    </w:p>
    <w:p>
      <w:pPr>
        <w:ind w:left="1000" w:right="40" w:firstLine="397"/>
        <w:spacing w:after="0" w:line="277" w:lineRule="auto"/>
        <w:tabs>
          <w:tab w:leader="none" w:pos="171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the Company’s wire instructions, on Company letterhead and executed by the Chief Executive Officer or Chief Financial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ind w:left="560" w:right="80" w:firstLine="397"/>
        <w:spacing w:after="0" w:line="312" w:lineRule="auto"/>
        <w:tabs>
          <w:tab w:leader="none" w:pos="1266"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38" w:lineRule="exact"/>
        <w:rPr>
          <w:rFonts w:ascii="Arial" w:cs="Arial" w:eastAsia="Arial" w:hAnsi="Arial"/>
          <w:sz w:val="16"/>
          <w:szCs w:val="16"/>
          <w:color w:val="auto"/>
        </w:rPr>
      </w:pPr>
    </w:p>
    <w:p>
      <w:pPr>
        <w:ind w:left="1220" w:hanging="263"/>
        <w:spacing w:after="0"/>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Prospectus and Prospectus Supplement (which may be delivered in accordance with Rule 172 under the Securities Act).</w:t>
      </w:r>
    </w:p>
    <w:p>
      <w:pPr>
        <w:spacing w:after="0" w:line="128" w:lineRule="exact"/>
        <w:rPr>
          <w:rFonts w:ascii="Arial" w:cs="Arial" w:eastAsia="Arial" w:hAnsi="Arial"/>
          <w:sz w:val="17"/>
          <w:szCs w:val="17"/>
          <w:color w:val="auto"/>
        </w:rPr>
      </w:pPr>
    </w:p>
    <w:p>
      <w:pPr>
        <w:ind w:left="680" w:hanging="25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117" w:lineRule="exact"/>
        <w:rPr>
          <w:rFonts w:ascii="Arial" w:cs="Arial" w:eastAsia="Arial" w:hAnsi="Arial"/>
          <w:sz w:val="18"/>
          <w:szCs w:val="18"/>
          <w:color w:val="auto"/>
        </w:rPr>
      </w:pPr>
    </w:p>
    <w:p>
      <w:pPr>
        <w:ind w:left="1180" w:hanging="223"/>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117" w:lineRule="exact"/>
        <w:rPr>
          <w:rFonts w:ascii="Arial" w:cs="Arial" w:eastAsia="Arial" w:hAnsi="Arial"/>
          <w:sz w:val="18"/>
          <w:szCs w:val="18"/>
          <w:color w:val="auto"/>
        </w:rPr>
      </w:pPr>
    </w:p>
    <w:p>
      <w:pPr>
        <w:ind w:left="560" w:right="580" w:firstLine="397"/>
        <w:spacing w:after="0" w:line="277" w:lineRule="auto"/>
        <w:tabs>
          <w:tab w:leader="none" w:pos="1226" w:val="left"/>
        </w:tabs>
        <w:numPr>
          <w:ilvl w:val="1"/>
          <w:numId w:val="9"/>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17" w:lineRule="exact"/>
        <w:rPr>
          <w:sz w:val="20"/>
          <w:szCs w:val="20"/>
          <w:color w:val="auto"/>
        </w:rPr>
      </w:pPr>
    </w:p>
    <w:p>
      <w:pPr>
        <w:ind w:left="680" w:hanging="25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117" w:lineRule="exact"/>
        <w:rPr>
          <w:rFonts w:ascii="Arial" w:cs="Arial" w:eastAsia="Arial" w:hAnsi="Arial"/>
          <w:sz w:val="18"/>
          <w:szCs w:val="18"/>
          <w:color w:val="auto"/>
        </w:rPr>
      </w:pPr>
    </w:p>
    <w:p>
      <w:pPr>
        <w:ind w:left="560" w:right="400" w:firstLine="397"/>
        <w:spacing w:after="0" w:line="286" w:lineRule="auto"/>
        <w:tabs>
          <w:tab w:leader="none" w:pos="117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57" w:lineRule="exact"/>
        <w:rPr>
          <w:rFonts w:ascii="Arial" w:cs="Arial" w:eastAsia="Arial" w:hAnsi="Arial"/>
          <w:sz w:val="17"/>
          <w:szCs w:val="17"/>
          <w:color w:val="auto"/>
        </w:rPr>
      </w:pPr>
    </w:p>
    <w:p>
      <w:pPr>
        <w:ind w:left="560" w:right="200" w:firstLine="397"/>
        <w:spacing w:after="0" w:line="277" w:lineRule="auto"/>
        <w:tabs>
          <w:tab w:leader="none" w:pos="12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62" w:lineRule="exact"/>
        <w:rPr>
          <w:rFonts w:ascii="Arial" w:cs="Arial" w:eastAsia="Arial" w:hAnsi="Arial"/>
          <w:sz w:val="18"/>
          <w:szCs w:val="18"/>
          <w:color w:val="auto"/>
        </w:rPr>
      </w:pPr>
    </w:p>
    <w:p>
      <w:pPr>
        <w:ind w:left="1280" w:hanging="323"/>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140" w:lineRule="exact"/>
        <w:rPr>
          <w:rFonts w:ascii="Arial" w:cs="Arial" w:eastAsia="Arial" w:hAnsi="Arial"/>
          <w:sz w:val="16"/>
          <w:szCs w:val="16"/>
          <w:color w:val="auto"/>
        </w:rPr>
      </w:pPr>
    </w:p>
    <w:p>
      <w:pPr>
        <w:ind w:left="1180" w:hanging="223"/>
        <w:spacing w:after="0"/>
        <w:tabs>
          <w:tab w:leader="none" w:pos="11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w:t>
      </w:r>
    </w:p>
    <w:p>
      <w:pPr>
        <w:spacing w:after="0" w:line="34" w:lineRule="exact"/>
        <w:rPr>
          <w:rFonts w:ascii="Arial" w:cs="Arial" w:eastAsia="Arial" w:hAnsi="Arial"/>
          <w:sz w:val="17"/>
          <w:szCs w:val="17"/>
          <w:color w:val="auto"/>
        </w:rPr>
      </w:pPr>
    </w:p>
    <w:p>
      <w:pPr>
        <w:ind w:left="560"/>
        <w:spacing w:after="0" w:line="261" w:lineRule="auto"/>
        <w:rPr>
          <w:rFonts w:ascii="Arial" w:cs="Arial" w:eastAsia="Arial" w:hAnsi="Arial"/>
          <w:sz w:val="17"/>
          <w:szCs w:val="17"/>
          <w:color w:val="auto"/>
        </w:rPr>
      </w:pPr>
      <w:r>
        <w:rPr>
          <w:rFonts w:ascii="Arial" w:cs="Arial" w:eastAsia="Arial" w:hAnsi="Arial"/>
          <w:sz w:val="18"/>
          <w:szCs w:val="18"/>
          <w:color w:val="auto"/>
        </w:rPr>
        <w:t>Adverse Effect, in all respects) when made and on the Closing Date of the representations and warranties of the Company contained herein (unless as of a specific date therein in which case they shall be accurate as of such date);</w:t>
      </w:r>
    </w:p>
    <w:p>
      <w:pPr>
        <w:spacing w:after="0" w:line="75" w:lineRule="exact"/>
        <w:rPr>
          <w:rFonts w:ascii="Arial" w:cs="Arial" w:eastAsia="Arial" w:hAnsi="Arial"/>
          <w:sz w:val="17"/>
          <w:szCs w:val="17"/>
          <w:color w:val="auto"/>
        </w:rPr>
      </w:pPr>
    </w:p>
    <w:p>
      <w:pPr>
        <w:ind w:left="560" w:right="320" w:firstLine="397"/>
        <w:spacing w:after="0" w:line="277" w:lineRule="auto"/>
        <w:tabs>
          <w:tab w:leader="none" w:pos="12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9" w:name="page20"/>
    <w:bookmarkEnd w:id="19"/>
    <w:p>
      <w:pPr>
        <w:ind w:left="1720" w:hanging="323"/>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delivery by the Company of the items set forth in Section 2.2(a) of this Agreement;</w:t>
      </w:r>
    </w:p>
    <w:p>
      <w:pPr>
        <w:spacing w:after="0" w:line="117" w:lineRule="exact"/>
        <w:rPr>
          <w:rFonts w:ascii="Arial" w:cs="Arial" w:eastAsia="Arial" w:hAnsi="Arial"/>
          <w:sz w:val="18"/>
          <w:szCs w:val="18"/>
          <w:color w:val="auto"/>
        </w:rPr>
      </w:pPr>
    </w:p>
    <w:p>
      <w:pPr>
        <w:ind w:left="1700" w:hanging="303"/>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117" w:lineRule="exact"/>
        <w:rPr>
          <w:rFonts w:ascii="Arial" w:cs="Arial" w:eastAsia="Arial" w:hAnsi="Arial"/>
          <w:sz w:val="18"/>
          <w:szCs w:val="18"/>
          <w:color w:val="auto"/>
        </w:rPr>
      </w:pPr>
    </w:p>
    <w:p>
      <w:pPr>
        <w:ind w:left="1000" w:right="20" w:firstLine="397"/>
        <w:spacing w:after="0" w:line="291" w:lineRule="auto"/>
        <w:tabs>
          <w:tab w:leader="none" w:pos="16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or in the Disclosure Schedules, which SEC Reports and Disclosure Schedules shall be deemed a part hereof and shall qualify any representation or otherwise made herein to the extent of the disclosure contained in the SEC Reports or the corresponding section of the Disclosure Schedules, the Company hereby makes the following representations and warranties to each Purchaser:</w:t>
      </w:r>
    </w:p>
    <w:p>
      <w:pPr>
        <w:spacing w:after="0" w:line="79" w:lineRule="exact"/>
        <w:rPr>
          <w:sz w:val="20"/>
          <w:szCs w:val="20"/>
          <w:color w:val="auto"/>
        </w:rPr>
      </w:pPr>
    </w:p>
    <w:p>
      <w:pPr>
        <w:ind w:left="440" w:right="40" w:firstLine="428"/>
        <w:spacing w:after="0" w:line="257" w:lineRule="auto"/>
        <w:tabs>
          <w:tab w:leader="none" w:pos="110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80" w:lineRule="exact"/>
        <w:rPr>
          <w:rFonts w:ascii="Arial" w:cs="Arial" w:eastAsia="Arial" w:hAnsi="Arial"/>
          <w:sz w:val="18"/>
          <w:szCs w:val="18"/>
          <w:color w:val="auto"/>
        </w:rPr>
      </w:pPr>
    </w:p>
    <w:p>
      <w:pPr>
        <w:ind w:left="440" w:firstLine="428"/>
        <w:spacing w:after="0" w:line="255"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or otherwise organized, validly existing and in good standing under the laws of the jurisdiction of its incorporation or organization (if a good standing concept exists in such jurisdiction),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0" w:name="page21"/>
    <w:bookmarkEnd w:id="2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entity in each jurisdiction in which the nature of the business conducted or property owned by it makes such qualification necessary (if a good standing concept exists in such jurisdiction),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provided that a change in the market price or trading volume of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58" w:lineRule="exact"/>
        <w:rPr>
          <w:sz w:val="20"/>
          <w:szCs w:val="20"/>
          <w:color w:val="auto"/>
        </w:rPr>
      </w:pPr>
    </w:p>
    <w:p>
      <w:pPr>
        <w:ind w:right="60" w:firstLine="428"/>
        <w:spacing w:after="0" w:line="287" w:lineRule="auto"/>
        <w:tabs>
          <w:tab w:leader="none" w:pos="66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4" w:lineRule="exact"/>
        <w:rPr>
          <w:rFonts w:ascii="Arial" w:cs="Arial" w:eastAsia="Arial" w:hAnsi="Arial"/>
          <w:sz w:val="16"/>
          <w:szCs w:val="16"/>
          <w:color w:val="auto"/>
        </w:rPr>
      </w:pPr>
    </w:p>
    <w:p>
      <w:pPr>
        <w:ind w:firstLine="428"/>
        <w:spacing w:after="0" w:line="271"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21" w:name="page22"/>
    <w:bookmarkEnd w:id="21"/>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46" w:lineRule="exact"/>
        <w:rPr>
          <w:sz w:val="20"/>
          <w:szCs w:val="20"/>
          <w:color w:val="auto"/>
        </w:rPr>
      </w:pPr>
    </w:p>
    <w:p>
      <w:pPr>
        <w:ind w:right="160" w:firstLine="428"/>
        <w:spacing w:after="0" w:line="273" w:lineRule="auto"/>
        <w:tabs>
          <w:tab w:leader="none" w:pos="66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428"/>
        <w:spacing w:after="0" w:line="285"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29,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22" w:name="page23"/>
    <w:bookmarkEnd w:id="22"/>
    <w:p>
      <w:pPr>
        <w:ind w:firstLine="428"/>
        <w:spacing w:after="0" w:line="284"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23" w:name="page24"/>
    <w:bookmarkEnd w:id="23"/>
    <w:p>
      <w:pPr>
        <w:ind w:firstLine="428"/>
        <w:spacing w:after="0" w:line="285" w:lineRule="auto"/>
        <w:tabs>
          <w:tab w:leader="none" w:pos="67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69" w:lineRule="exact"/>
        <w:rPr>
          <w:rFonts w:ascii="Arial" w:cs="Arial" w:eastAsia="Arial" w:hAnsi="Arial"/>
          <w:sz w:val="16"/>
          <w:szCs w:val="16"/>
          <w:color w:val="auto"/>
        </w:rPr>
      </w:pPr>
    </w:p>
    <w:p>
      <w:pPr>
        <w:ind w:firstLine="428"/>
        <w:spacing w:after="0" w:line="288" w:lineRule="auto"/>
        <w:tabs>
          <w:tab w:leader="none" w:pos="63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w:t>
      </w:r>
    </w:p>
    <w:p>
      <w:pPr>
        <w:ind w:firstLine="4"/>
        <w:spacing w:after="0" w:line="268" w:lineRule="auto"/>
        <w:tabs>
          <w:tab w:leader="none" w:pos="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time that this representation is made.</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24" w:name="page25"/>
    <w:bookmarkEnd w:id="24"/>
    <w:p>
      <w:pPr>
        <w:ind w:right="20" w:firstLine="428"/>
        <w:spacing w:after="0" w:line="270" w:lineRule="auto"/>
        <w:tabs>
          <w:tab w:leader="none" w:pos="63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r>
        <w:rPr>
          <w:rFonts w:ascii="Arial" w:cs="Arial" w:eastAsia="Arial" w:hAnsi="Arial"/>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69" w:lineRule="exact"/>
        <w:rPr>
          <w:rFonts w:ascii="Arial" w:cs="Arial" w:eastAsia="Arial" w:hAnsi="Arial"/>
          <w:sz w:val="17"/>
          <w:szCs w:val="17"/>
          <w:color w:val="auto"/>
        </w:rPr>
      </w:pPr>
    </w:p>
    <w:p>
      <w:pPr>
        <w:ind w:right="140" w:firstLine="428"/>
        <w:spacing w:after="0" w:line="287" w:lineRule="auto"/>
        <w:tabs>
          <w:tab w:leader="none" w:pos="67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64" w:lineRule="exact"/>
        <w:rPr>
          <w:rFonts w:ascii="Arial" w:cs="Arial" w:eastAsia="Arial" w:hAnsi="Arial"/>
          <w:sz w:val="16"/>
          <w:szCs w:val="16"/>
          <w:color w:val="auto"/>
        </w:rPr>
      </w:pPr>
    </w:p>
    <w:p>
      <w:pPr>
        <w:ind w:firstLine="428"/>
        <w:spacing w:after="0" w:line="290" w:lineRule="auto"/>
        <w:tabs>
          <w:tab w:leader="none" w:pos="63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25" w:name="page26"/>
    <w:bookmarkEnd w:id="25"/>
    <w:p>
      <w:pPr>
        <w:ind w:firstLine="428"/>
        <w:spacing w:after="0" w:line="253" w:lineRule="auto"/>
        <w:tabs>
          <w:tab w:leader="none" w:pos="7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86" w:lineRule="exact"/>
        <w:rPr>
          <w:rFonts w:ascii="Arial" w:cs="Arial" w:eastAsia="Arial" w:hAnsi="Arial"/>
          <w:sz w:val="18"/>
          <w:szCs w:val="18"/>
          <w:color w:val="auto"/>
        </w:rPr>
      </w:pPr>
    </w:p>
    <w:p>
      <w:pPr>
        <w:jc w:val="both"/>
        <w:ind w:right="40" w:firstLine="428"/>
        <w:spacing w:after="0" w:line="302"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46" w:lineRule="exact"/>
        <w:rPr>
          <w:rFonts w:ascii="Arial" w:cs="Arial" w:eastAsia="Arial" w:hAnsi="Arial"/>
          <w:sz w:val="16"/>
          <w:szCs w:val="16"/>
          <w:color w:val="auto"/>
        </w:rPr>
      </w:pPr>
    </w:p>
    <w:p>
      <w:pPr>
        <w:ind w:right="80" w:firstLine="428"/>
        <w:spacing w:after="0" w:line="271"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70" w:lineRule="exact"/>
        <w:rPr>
          <w:rFonts w:ascii="Arial" w:cs="Arial" w:eastAsia="Arial" w:hAnsi="Arial"/>
          <w:sz w:val="17"/>
          <w:szCs w:val="17"/>
          <w:color w:val="auto"/>
        </w:rPr>
      </w:pPr>
    </w:p>
    <w:p>
      <w:pPr>
        <w:jc w:val="center"/>
        <w:ind w:firstLine="428"/>
        <w:spacing w:after="0" w:line="312"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26" w:name="page27"/>
    <w:bookmarkEnd w:id="2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65" w:lineRule="exact"/>
        <w:rPr>
          <w:sz w:val="20"/>
          <w:szCs w:val="20"/>
          <w:color w:val="auto"/>
        </w:rPr>
      </w:pPr>
    </w:p>
    <w:p>
      <w:pPr>
        <w:ind w:right="20" w:firstLine="428"/>
        <w:spacing w:after="0" w:line="297" w:lineRule="auto"/>
        <w:tabs>
          <w:tab w:leader="none" w:pos="67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50" w:lineRule="exact"/>
        <w:rPr>
          <w:rFonts w:ascii="Arial" w:cs="Arial" w:eastAsia="Arial" w:hAnsi="Arial"/>
          <w:sz w:val="16"/>
          <w:szCs w:val="16"/>
          <w:color w:val="auto"/>
        </w:rPr>
      </w:pPr>
    </w:p>
    <w:p>
      <w:pPr>
        <w:ind w:firstLine="428"/>
        <w:spacing w:after="0" w:line="270"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27" w:name="page28"/>
    <w:bookmarkEnd w:id="27"/>
    <w:p>
      <w:pPr>
        <w:ind w:firstLine="428"/>
        <w:spacing w:after="0" w:line="285" w:lineRule="auto"/>
        <w:tabs>
          <w:tab w:leader="none" w:pos="65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Sarbanes-Oxley; Internal Accounting Controls</w:t>
      </w:r>
      <w:r>
        <w:rPr>
          <w:rFonts w:ascii="Arial" w:cs="Arial" w:eastAsia="Arial" w:hAnsi="Arial"/>
          <w:sz w:val="16"/>
          <w:szCs w:val="16"/>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67" w:lineRule="exact"/>
        <w:rPr>
          <w:rFonts w:ascii="Arial" w:cs="Arial" w:eastAsia="Arial" w:hAnsi="Arial"/>
          <w:sz w:val="16"/>
          <w:szCs w:val="16"/>
          <w:color w:val="auto"/>
        </w:rPr>
      </w:pPr>
    </w:p>
    <w:p>
      <w:pPr>
        <w:ind w:right="180" w:firstLine="428"/>
        <w:spacing w:after="0" w:line="257" w:lineRule="auto"/>
        <w:tabs>
          <w:tab w:leader="none" w:pos="63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80" w:lineRule="exact"/>
        <w:rPr>
          <w:rFonts w:ascii="Arial" w:cs="Arial" w:eastAsia="Arial" w:hAnsi="Arial"/>
          <w:sz w:val="18"/>
          <w:szCs w:val="18"/>
          <w:color w:val="auto"/>
        </w:rPr>
      </w:pPr>
    </w:p>
    <w:p>
      <w:pPr>
        <w:jc w:val="both"/>
        <w:ind w:right="40" w:firstLine="428"/>
        <w:spacing w:after="0" w:line="259"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8" w:lineRule="exact"/>
        <w:rPr>
          <w:rFonts w:ascii="Arial" w:cs="Arial" w:eastAsia="Arial" w:hAnsi="Arial"/>
          <w:sz w:val="18"/>
          <w:szCs w:val="18"/>
          <w:color w:val="auto"/>
        </w:rPr>
      </w:pPr>
    </w:p>
    <w:p>
      <w:pPr>
        <w:ind w:right="20" w:firstLine="428"/>
        <w:spacing w:after="0" w:line="277"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8" w:name="page29"/>
    <w:bookmarkEnd w:id="28"/>
    <w:p>
      <w:pPr>
        <w:ind w:right="20" w:firstLine="428"/>
        <w:spacing w:after="0" w:line="270" w:lineRule="auto"/>
        <w:tabs>
          <w:tab w:leader="none" w:pos="71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73" w:lineRule="exact"/>
        <w:rPr>
          <w:rFonts w:ascii="Arial" w:cs="Arial" w:eastAsia="Arial" w:hAnsi="Arial"/>
          <w:sz w:val="17"/>
          <w:szCs w:val="17"/>
          <w:color w:val="auto"/>
        </w:rPr>
      </w:pPr>
    </w:p>
    <w:p>
      <w:pPr>
        <w:ind w:right="60" w:firstLine="428"/>
        <w:spacing w:after="0" w:line="255"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85" w:lineRule="exact"/>
        <w:rPr>
          <w:rFonts w:ascii="Arial" w:cs="Arial" w:eastAsia="Arial" w:hAnsi="Arial"/>
          <w:sz w:val="18"/>
          <w:szCs w:val="18"/>
          <w:color w:val="auto"/>
        </w:rPr>
      </w:pPr>
    </w:p>
    <w:p>
      <w:pPr>
        <w:ind w:firstLine="428"/>
        <w:spacing w:after="0" w:line="268" w:lineRule="auto"/>
        <w:tabs>
          <w:tab w:leader="none" w:pos="67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with the Company’s SEC Reports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9" w:name="page30"/>
    <w:bookmarkEnd w:id="29"/>
    <w:p>
      <w:pPr>
        <w:ind w:right="20" w:firstLine="428"/>
        <w:spacing w:after="0" w:line="257" w:lineRule="auto"/>
        <w:tabs>
          <w:tab w:leader="none" w:pos="6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80" w:lineRule="exact"/>
        <w:rPr>
          <w:sz w:val="20"/>
          <w:szCs w:val="20"/>
          <w:color w:val="auto"/>
        </w:rPr>
      </w:pPr>
    </w:p>
    <w:p>
      <w:pPr>
        <w:ind w:right="20" w:firstLine="428"/>
        <w:spacing w:after="0" w:line="288" w:lineRule="auto"/>
        <w:tabs>
          <w:tab w:leader="none" w:pos="748"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w:t>
      </w:r>
    </w:p>
    <w:p>
      <w:pPr>
        <w:ind w:firstLine="4"/>
        <w:spacing w:after="0" w:line="284"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69" w:lineRule="exact"/>
        <w:rPr>
          <w:rFonts w:ascii="Arial" w:cs="Arial" w:eastAsia="Arial" w:hAnsi="Arial"/>
          <w:sz w:val="16"/>
          <w:szCs w:val="16"/>
          <w:color w:val="auto"/>
        </w:rPr>
      </w:pPr>
    </w:p>
    <w:p>
      <w:pPr>
        <w:ind w:right="220" w:firstLine="428"/>
        <w:spacing w:after="0" w:line="305" w:lineRule="auto"/>
        <w:tabs>
          <w:tab w:leader="none" w:pos="768" w:val="left"/>
        </w:tabs>
        <w:numPr>
          <w:ilvl w:val="1"/>
          <w:numId w:val="25"/>
        </w:numPr>
        <w:rPr>
          <w:rFonts w:ascii="Arial" w:cs="Arial" w:eastAsia="Arial" w:hAnsi="Arial"/>
          <w:sz w:val="15"/>
          <w:szCs w:val="15"/>
          <w:color w:val="auto"/>
        </w:rPr>
      </w:pPr>
      <w:r>
        <w:rPr>
          <w:rFonts w:ascii="Arial" w:cs="Arial" w:eastAsia="Arial" w:hAnsi="Arial"/>
          <w:sz w:val="15"/>
          <w:szCs w:val="15"/>
          <w:u w:val="single" w:color="auto"/>
          <w:color w:val="auto"/>
        </w:rPr>
        <w:t>Tax Status</w:t>
      </w:r>
      <w:r>
        <w:rPr>
          <w:rFonts w:ascii="Arial" w:cs="Arial" w:eastAsia="Arial" w:hAnsi="Arial"/>
          <w:sz w:val="15"/>
          <w:szCs w:val="15"/>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5"/>
          <w:szCs w:val="15"/>
          <w:color w:val="auto"/>
        </w:rPr>
      </w:pPr>
    </w:p>
    <w:p>
      <w:pPr>
        <w:ind w:left="320" w:hanging="316"/>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set aside on its</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30" w:name="page31"/>
    <w:bookmarkEnd w:id="3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3" w:lineRule="exact"/>
        <w:rPr>
          <w:sz w:val="20"/>
          <w:szCs w:val="20"/>
          <w:color w:val="auto"/>
        </w:rPr>
      </w:pPr>
    </w:p>
    <w:p>
      <w:pPr>
        <w:ind w:firstLine="428"/>
        <w:spacing w:after="0" w:line="273" w:lineRule="auto"/>
        <w:tabs>
          <w:tab w:leader="none" w:pos="74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0" w:lineRule="exact"/>
        <w:rPr>
          <w:rFonts w:ascii="Arial" w:cs="Arial" w:eastAsia="Arial" w:hAnsi="Arial"/>
          <w:sz w:val="17"/>
          <w:szCs w:val="17"/>
          <w:color w:val="auto"/>
        </w:rPr>
      </w:pPr>
    </w:p>
    <w:p>
      <w:pPr>
        <w:ind w:right="60" w:firstLine="428"/>
        <w:spacing w:after="0" w:line="312" w:lineRule="auto"/>
        <w:tabs>
          <w:tab w:leader="none" w:pos="76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The Company’s independent registered public accounting firm is Ernst &amp; Young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38" w:lineRule="exact"/>
        <w:rPr>
          <w:rFonts w:ascii="Arial" w:cs="Arial" w:eastAsia="Arial" w:hAnsi="Arial"/>
          <w:sz w:val="16"/>
          <w:szCs w:val="16"/>
          <w:color w:val="auto"/>
        </w:rPr>
      </w:pPr>
    </w:p>
    <w:p>
      <w:pPr>
        <w:ind w:right="60" w:firstLine="428"/>
        <w:spacing w:after="0" w:line="271" w:lineRule="auto"/>
        <w:tabs>
          <w:tab w:leader="none" w:pos="74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Shares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70" w:lineRule="exact"/>
        <w:rPr>
          <w:rFonts w:ascii="Arial" w:cs="Arial" w:eastAsia="Arial" w:hAnsi="Arial"/>
          <w:sz w:val="17"/>
          <w:szCs w:val="17"/>
          <w:color w:val="auto"/>
        </w:rPr>
      </w:pPr>
    </w:p>
    <w:p>
      <w:pPr>
        <w:ind w:right="120" w:firstLine="428"/>
        <w:spacing w:after="0" w:line="255"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Trading Activity</w:t>
      </w:r>
      <w:r>
        <w:rPr>
          <w:rFonts w:ascii="Arial" w:cs="Arial" w:eastAsia="Arial" w:hAnsi="Arial"/>
          <w:sz w:val="18"/>
          <w:szCs w:val="18"/>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31" w:name="page32"/>
    <w:bookmarkEnd w:id="3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57" w:lineRule="exact"/>
        <w:rPr>
          <w:sz w:val="20"/>
          <w:szCs w:val="20"/>
          <w:color w:val="auto"/>
        </w:rPr>
      </w:pPr>
    </w:p>
    <w:p>
      <w:pPr>
        <w:ind w:right="60" w:firstLine="428"/>
        <w:spacing w:after="0" w:line="297" w:lineRule="auto"/>
        <w:tabs>
          <w:tab w:leader="none" w:pos="76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50" w:lineRule="exact"/>
        <w:rPr>
          <w:rFonts w:ascii="Arial" w:cs="Arial" w:eastAsia="Arial" w:hAnsi="Arial"/>
          <w:sz w:val="16"/>
          <w:szCs w:val="16"/>
          <w:color w:val="auto"/>
        </w:rPr>
      </w:pPr>
    </w:p>
    <w:p>
      <w:pPr>
        <w:ind w:right="20" w:firstLine="428"/>
        <w:spacing w:after="0" w:line="283" w:lineRule="auto"/>
        <w:tabs>
          <w:tab w:leader="none" w:pos="76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w:t>
      </w:r>
    </w:p>
    <w:p>
      <w:pPr>
        <w:spacing w:after="0" w:line="2" w:lineRule="exact"/>
        <w:rPr>
          <w:rFonts w:ascii="Arial" w:cs="Arial" w:eastAsia="Arial" w:hAnsi="Arial"/>
          <w:sz w:val="16"/>
          <w:szCs w:val="16"/>
          <w:color w:val="auto"/>
        </w:rPr>
      </w:pPr>
    </w:p>
    <w:p>
      <w:pPr>
        <w:ind w:firstLine="4"/>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enters or proposes to enter into a consent decree of permanent injunction with the Company or any of its Subsidiaries, or (vi) otherwise alleges any violation of any laws, rules or regulations by</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32" w:name="page33"/>
    <w:bookmarkEnd w:id="32"/>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50" w:lineRule="exact"/>
        <w:rPr>
          <w:sz w:val="20"/>
          <w:szCs w:val="20"/>
          <w:color w:val="auto"/>
        </w:rPr>
      </w:pPr>
    </w:p>
    <w:p>
      <w:pPr>
        <w:ind w:right="160" w:firstLine="428"/>
        <w:spacing w:after="0" w:line="293" w:lineRule="auto"/>
        <w:tabs>
          <w:tab w:leader="none" w:pos="68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56" w:lineRule="exact"/>
        <w:rPr>
          <w:rFonts w:ascii="Arial" w:cs="Arial" w:eastAsia="Arial" w:hAnsi="Arial"/>
          <w:sz w:val="16"/>
          <w:szCs w:val="16"/>
          <w:color w:val="auto"/>
        </w:rPr>
      </w:pPr>
    </w:p>
    <w:p>
      <w:pPr>
        <w:ind w:right="300" w:firstLine="428"/>
        <w:spacing w:after="0" w:line="264"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00" w:firstLine="428"/>
        <w:spacing w:after="0" w:line="342" w:lineRule="auto"/>
        <w:tabs>
          <w:tab w:leader="none" w:pos="76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5" w:lineRule="exact"/>
        <w:rPr>
          <w:rFonts w:ascii="Arial" w:cs="Arial" w:eastAsia="Arial" w:hAnsi="Arial"/>
          <w:sz w:val="16"/>
          <w:szCs w:val="16"/>
          <w:color w:val="auto"/>
        </w:rPr>
      </w:pPr>
    </w:p>
    <w:p>
      <w:pPr>
        <w:ind w:right="40" w:firstLine="428"/>
        <w:spacing w:after="0" w:line="293" w:lineRule="auto"/>
        <w:tabs>
          <w:tab w:leader="none" w:pos="68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56" w:lineRule="exact"/>
        <w:rPr>
          <w:rFonts w:ascii="Arial" w:cs="Arial" w:eastAsia="Arial" w:hAnsi="Arial"/>
          <w:sz w:val="16"/>
          <w:szCs w:val="16"/>
          <w:color w:val="auto"/>
        </w:rPr>
      </w:pPr>
    </w:p>
    <w:p>
      <w:pPr>
        <w:ind w:firstLine="428"/>
        <w:spacing w:after="0" w:line="297" w:lineRule="auto"/>
        <w:tabs>
          <w:tab w:leader="none" w:pos="86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33" w:name="page34"/>
    <w:bookmarkEnd w:id="33"/>
    <w:p>
      <w:pPr>
        <w:ind w:right="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73" w:lineRule="exact"/>
        <w:rPr>
          <w:sz w:val="20"/>
          <w:szCs w:val="20"/>
          <w:color w:val="auto"/>
        </w:rPr>
      </w:pPr>
    </w:p>
    <w:p>
      <w:pPr>
        <w:ind w:left="440" w:firstLine="428"/>
        <w:spacing w:after="0" w:line="269" w:lineRule="auto"/>
        <w:tabs>
          <w:tab w:leader="none" w:pos="110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4" w:lineRule="exact"/>
        <w:rPr>
          <w:rFonts w:ascii="Arial" w:cs="Arial" w:eastAsia="Arial" w:hAnsi="Arial"/>
          <w:sz w:val="17"/>
          <w:szCs w:val="17"/>
          <w:color w:val="auto"/>
        </w:rPr>
      </w:pPr>
    </w:p>
    <w:p>
      <w:pPr>
        <w:ind w:left="440" w:right="20" w:firstLine="428"/>
        <w:spacing w:after="0" w:line="279" w:lineRule="auto"/>
        <w:tabs>
          <w:tab w:leader="none" w:pos="111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63" w:lineRule="exact"/>
        <w:rPr>
          <w:rFonts w:ascii="Arial" w:cs="Arial" w:eastAsia="Arial" w:hAnsi="Arial"/>
          <w:sz w:val="17"/>
          <w:szCs w:val="17"/>
          <w:color w:val="auto"/>
        </w:rPr>
      </w:pPr>
    </w:p>
    <w:p>
      <w:pPr>
        <w:ind w:left="440" w:right="160" w:firstLine="428"/>
        <w:spacing w:after="0" w:line="264"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73" w:lineRule="exact"/>
        <w:rPr>
          <w:rFonts w:ascii="Arial" w:cs="Arial" w:eastAsia="Arial" w:hAnsi="Arial"/>
          <w:sz w:val="18"/>
          <w:szCs w:val="18"/>
          <w:color w:val="auto"/>
        </w:rPr>
      </w:pPr>
    </w:p>
    <w:p>
      <w:pPr>
        <w:jc w:val="both"/>
        <w:ind w:left="440" w:right="80" w:firstLine="428"/>
        <w:spacing w:after="0" w:line="259" w:lineRule="auto"/>
        <w:tabs>
          <w:tab w:leader="none" w:pos="111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4" w:name="page35"/>
    <w:bookmarkEnd w:id="34"/>
    <w:p>
      <w:pPr>
        <w:ind w:left="440" w:right="40" w:firstLine="428"/>
        <w:spacing w:after="0" w:line="287" w:lineRule="auto"/>
        <w:tabs>
          <w:tab w:leader="none" w:pos="110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60" w:lineRule="exact"/>
        <w:rPr>
          <w:rFonts w:ascii="Arial" w:cs="Arial" w:eastAsia="Arial" w:hAnsi="Arial"/>
          <w:sz w:val="16"/>
          <w:szCs w:val="16"/>
          <w:color w:val="auto"/>
        </w:rPr>
      </w:pPr>
    </w:p>
    <w:p>
      <w:pPr>
        <w:ind w:left="440" w:firstLine="428"/>
        <w:spacing w:after="0" w:line="286" w:lineRule="auto"/>
        <w:tabs>
          <w:tab w:leader="none" w:pos="108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5"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117" w:lineRule="exact"/>
        <w:rPr>
          <w:sz w:val="20"/>
          <w:szCs w:val="20"/>
          <w:color w:val="auto"/>
        </w:rPr>
      </w:pPr>
    </w:p>
    <w:p>
      <w:pPr>
        <w:ind w:left="440" w:right="40" w:firstLine="428"/>
        <w:spacing w:after="0" w:line="259"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Until the two year anniversary of the Closing Date,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provided, however that this covenant shall not prevent a sale, merger or similar transaction involving the Company.</w:t>
      </w:r>
    </w:p>
    <w:p>
      <w:pPr>
        <w:spacing w:after="0" w:line="18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ind w:right="460" w:firstLine="441"/>
        <w:spacing w:after="0" w:line="30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attached hereto,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7" w:name="page38"/>
    <w:bookmarkEnd w:id="37"/>
    <w:p>
      <w:pPr>
        <w:ind w:firstLine="441"/>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w:t>
      </w:r>
    </w:p>
    <w:p>
      <w:pPr>
        <w:spacing w:after="0" w:line="13" w:lineRule="exact"/>
        <w:rPr>
          <w:sz w:val="20"/>
          <w:szCs w:val="20"/>
          <w:color w:val="auto"/>
        </w:rPr>
      </w:pPr>
    </w:p>
    <w:p>
      <w:pPr>
        <w:ind w:right="40" w:firstLine="4"/>
        <w:spacing w:after="0" w:line="268"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Listing of Common Stock</w:t>
      </w:r>
      <w:r>
        <w:rPr>
          <w:rFonts w:ascii="Arial" w:cs="Arial" w:eastAsia="Arial" w:hAnsi="Arial"/>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8" w:name="page39"/>
    <w:bookmarkEnd w:id="3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provided, however that this Section 4.10 shall not prevent a sale, merger or similar transaction involving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Subsequent Equity Sales.</w:t>
      </w:r>
    </w:p>
    <w:p>
      <w:pPr>
        <w:spacing w:after="0" w:line="117" w:lineRule="exact"/>
        <w:rPr>
          <w:sz w:val="20"/>
          <w:szCs w:val="20"/>
          <w:color w:val="auto"/>
        </w:rPr>
      </w:pPr>
    </w:p>
    <w:p>
      <w:pPr>
        <w:ind w:left="440" w:right="120" w:firstLine="428"/>
        <w:spacing w:after="0" w:line="308" w:lineRule="auto"/>
        <w:tabs>
          <w:tab w:leader="none" w:pos="11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From the date hereof until 90 days after the Closing Date, neither the Company nor any Subsidiary shall issue, enter into any agreement to issue or announce the issuance or proposed issuance of any shares of Common Stock or Common Stock Equivalents.</w:t>
      </w:r>
    </w:p>
    <w:p>
      <w:pPr>
        <w:spacing w:after="0" w:line="38" w:lineRule="exact"/>
        <w:rPr>
          <w:rFonts w:ascii="Arial" w:cs="Arial" w:eastAsia="Arial" w:hAnsi="Arial"/>
          <w:sz w:val="17"/>
          <w:szCs w:val="17"/>
          <w:color w:val="auto"/>
        </w:rPr>
      </w:pPr>
    </w:p>
    <w:p>
      <w:pPr>
        <w:ind w:left="1120" w:hanging="252"/>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3"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 w:name="page40"/>
    <w:bookmarkEnd w:id="3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Arial" w:cs="Arial" w:eastAsia="Arial" w:hAnsi="Arial"/>
          <w:sz w:val="15"/>
          <w:szCs w:val="15"/>
          <w:color w:val="auto"/>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18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0" w:name="page41"/>
    <w:bookmarkEnd w:id="40"/>
    <w:p>
      <w:pPr>
        <w:jc w:val="both"/>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on the signature pages attached hereto on a day that is not a Trading Day or later than 5:30 p.m. (New York City time) on any Trading Day, (c) the second (2</w:t>
      </w:r>
      <w:r>
        <w:rPr>
          <w:rFonts w:ascii="Arial" w:cs="Arial" w:eastAsia="Arial" w:hAnsi="Arial"/>
          <w:sz w:val="13"/>
          <w:szCs w:val="13"/>
          <w:color w:val="auto"/>
        </w:rPr>
        <w:t>nd</w:t>
      </w:r>
      <w:r>
        <w:rPr>
          <w:rFonts w:ascii="Arial" w:cs="Arial" w:eastAsia="Arial" w:hAnsi="Arial"/>
          <w:sz w:val="16"/>
          <w:szCs w:val="16"/>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58"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6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1" w:name="page42"/>
    <w:bookmarkEnd w:id="41"/>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8"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 for a period of not longer than one year from the Closing Date.</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2" w:name="page43"/>
    <w:bookmarkEnd w:id="42"/>
    <w:p>
      <w:pPr>
        <w:ind w:right="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right="100" w:firstLine="441"/>
        <w:spacing w:after="0" w:line="30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Payment Set Aside</w:t>
      </w:r>
      <w:r>
        <w:rPr>
          <w:rFonts w:ascii="Arial" w:cs="Arial" w:eastAsia="Arial" w:hAnsi="Arial"/>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Independent Nature of Purchasers’ Obligations and Rights</w:t>
      </w:r>
      <w:r>
        <w:rPr>
          <w:rFonts w:ascii="Arial" w:cs="Arial" w:eastAsia="Arial" w:hAnsi="Arial"/>
          <w:sz w:val="17"/>
          <w:szCs w:val="17"/>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3" w:name="page44"/>
    <w:bookmarkEnd w:id="4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4" w:name="page45"/>
    <w:bookmarkEnd w:id="44"/>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ARCTURUS THERAPEUTICS HOLDINGS INC.</w:t>
            </w:r>
          </w:p>
        </w:tc>
        <w:tc>
          <w:tcPr>
            <w:tcW w:w="108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Address for Notice:</w:t>
            </w:r>
          </w:p>
        </w:tc>
      </w:tr>
      <w:tr>
        <w:trPr>
          <w:trHeight w:val="20"/>
        </w:trPr>
        <w:tc>
          <w:tcPr>
            <w:tcW w:w="4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5"/>
        </w:trPr>
        <w:tc>
          <w:tcPr>
            <w:tcW w:w="466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gridSpan w:val="3"/>
          </w:tcPr>
          <w:p>
            <w:pPr>
              <w:ind w:left="800"/>
              <w:spacing w:after="0"/>
              <w:rPr>
                <w:sz w:val="20"/>
                <w:szCs w:val="20"/>
                <w:color w:val="auto"/>
              </w:rPr>
            </w:pPr>
            <w:r>
              <w:rPr>
                <w:rFonts w:ascii="Arial" w:cs="Arial" w:eastAsia="Arial" w:hAnsi="Arial"/>
                <w:sz w:val="18"/>
                <w:szCs w:val="18"/>
                <w:color w:val="auto"/>
              </w:rPr>
              <w:t>Arcturus Therapeutics, Inc.</w:t>
            </w:r>
          </w:p>
        </w:tc>
      </w:tr>
      <w:tr>
        <w:trPr>
          <w:trHeight w:val="209"/>
        </w:trPr>
        <w:tc>
          <w:tcPr>
            <w:tcW w:w="42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gridSpan w:val="3"/>
          </w:tcPr>
          <w:p>
            <w:pPr>
              <w:ind w:left="800"/>
              <w:spacing w:after="0"/>
              <w:rPr>
                <w:sz w:val="20"/>
                <w:szCs w:val="20"/>
                <w:color w:val="auto"/>
              </w:rPr>
            </w:pPr>
            <w:r>
              <w:rPr>
                <w:rFonts w:ascii="Arial" w:cs="Arial" w:eastAsia="Arial" w:hAnsi="Arial"/>
                <w:sz w:val="18"/>
                <w:szCs w:val="18"/>
                <w:color w:val="auto"/>
                <w:w w:val="89"/>
              </w:rPr>
              <w:t>10628 Science Center Drive, Suite 250</w:t>
            </w:r>
          </w:p>
        </w:tc>
      </w:tr>
      <w:tr>
        <w:trPr>
          <w:trHeight w:val="216"/>
        </w:trPr>
        <w:tc>
          <w:tcPr>
            <w:tcW w:w="466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3600" w:type="dxa"/>
            <w:vAlign w:val="bottom"/>
            <w:gridSpan w:val="3"/>
          </w:tcPr>
          <w:p>
            <w:pPr>
              <w:ind w:left="800"/>
              <w:spacing w:after="0"/>
              <w:rPr>
                <w:sz w:val="20"/>
                <w:szCs w:val="20"/>
                <w:color w:val="auto"/>
              </w:rPr>
            </w:pPr>
            <w:r>
              <w:rPr>
                <w:rFonts w:ascii="Arial" w:cs="Arial" w:eastAsia="Arial" w:hAnsi="Arial"/>
                <w:sz w:val="18"/>
                <w:szCs w:val="18"/>
                <w:color w:val="auto"/>
              </w:rPr>
              <w:t>San Diego, CA 92121</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600" w:type="dxa"/>
            <w:vAlign w:val="bottom"/>
            <w:gridSpan w:val="3"/>
          </w:tcPr>
          <w:p>
            <w:pPr>
              <w:ind w:left="800"/>
              <w:spacing w:after="0"/>
              <w:rPr>
                <w:sz w:val="20"/>
                <w:szCs w:val="20"/>
                <w:color w:val="auto"/>
              </w:rPr>
            </w:pPr>
            <w:r>
              <w:rPr>
                <w:rFonts w:ascii="Arial" w:cs="Arial" w:eastAsia="Arial" w:hAnsi="Arial"/>
                <w:sz w:val="18"/>
                <w:szCs w:val="18"/>
                <w:color w:val="auto"/>
              </w:rPr>
              <w:t>Attn: Chief Executive Officer</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600" w:type="dxa"/>
            <w:vAlign w:val="bottom"/>
            <w:gridSpan w:val="3"/>
          </w:tcPr>
          <w:p>
            <w:pPr>
              <w:ind w:left="800"/>
              <w:spacing w:after="0"/>
              <w:rPr>
                <w:sz w:val="20"/>
                <w:szCs w:val="20"/>
                <w:color w:val="auto"/>
              </w:rPr>
            </w:pPr>
            <w:r>
              <w:rPr>
                <w:rFonts w:ascii="Arial" w:cs="Arial" w:eastAsia="Arial" w:hAnsi="Arial"/>
                <w:sz w:val="18"/>
                <w:szCs w:val="18"/>
                <w:color w:val="auto"/>
              </w:rPr>
              <w:t>Email: joe@arcturusrx.com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ectPr>
          <w:pgSz w:w="11900" w:h="16838" w:orient="portrait"/>
          <w:cols w:equalWidth="0" w:num="1">
            <w:col w:w="10580"/>
          </w:cols>
          <w:pgMar w:left="440" w:top="274" w:right="8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Jeffrey Baumel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jeffrey.baumel@dentons.com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85" w:lineRule="exact"/>
        <w:rPr>
          <w:sz w:val="20"/>
          <w:szCs w:val="20"/>
          <w:color w:val="auto"/>
        </w:rPr>
      </w:pPr>
    </w:p>
    <w:p>
      <w:pPr>
        <w:sectPr>
          <w:pgSz w:w="11900" w:h="16838" w:orient="portrait"/>
          <w:cols w:equalWidth="0" w:num="2">
            <w:col w:w="4920" w:space="720"/>
            <w:col w:w="4940"/>
          </w:cols>
          <w:pgMar w:left="440" w:top="274" w:right="879" w:bottom="1440" w:gutter="0" w:footer="0" w:header="0"/>
          <w:type w:val="continuous"/>
        </w:sectPr>
      </w:pPr>
    </w:p>
    <w:p>
      <w:pPr>
        <w:spacing w:after="0" w:line="3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[REMAINDER OF PAGE INTENTIONALLY LEFT BLANK</w:t>
      </w:r>
    </w:p>
    <w:p>
      <w:pPr>
        <w:spacing w:after="0" w:line="3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SIGNATURE PAGE FOR PURCHASER FOLLOWS]</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440" w:top="274" w:right="879" w:bottom="1440" w:gutter="0" w:footer="0" w:header="0"/>
          <w:type w:val="continuous"/>
        </w:sectPr>
      </w:pPr>
    </w:p>
    <w:bookmarkStart w:id="45" w:name="page46"/>
    <w:bookmarkEnd w:id="4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SIGNATURE PAGES TO ARCT SECURITIES PURCHASE AGREEMENT]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-10160</wp:posOffset>
            </wp:positionV>
            <wp:extent cx="32289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8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-10160</wp:posOffset>
            </wp:positionV>
            <wp:extent cx="1885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-10160</wp:posOffset>
            </wp:positionV>
            <wp:extent cx="2686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-10160</wp:posOffset>
            </wp:positionV>
            <wp:extent cx="2743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22574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-10160</wp:posOffset>
            </wp:positionV>
            <wp:extent cx="20859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-10160</wp:posOffset>
            </wp:positionV>
            <wp:extent cx="6858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-10160</wp:posOffset>
            </wp:positionV>
            <wp:extent cx="685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-10160</wp:posOffset>
            </wp:positionV>
            <wp:extent cx="8001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ind w:firstLine="4"/>
        <w:spacing w:after="0" w:line="286" w:lineRule="auto"/>
        <w:tabs>
          <w:tab w:leader="none" w:pos="207"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w:t>
      </w:r>
    </w:p>
    <w:p>
      <w:pPr>
        <w:spacing w:after="0" w:line="1" w:lineRule="exact"/>
        <w:rPr>
          <w:rFonts w:ascii="MS PGothic" w:cs="MS PGothic" w:eastAsia="MS PGothic" w:hAnsi="MS PGothic"/>
          <w:sz w:val="16"/>
          <w:szCs w:val="16"/>
          <w:color w:val="auto"/>
        </w:rPr>
      </w:pPr>
    </w:p>
    <w:p>
      <w:pPr>
        <w:ind w:right="20"/>
        <w:spacing w:after="0" w:line="277" w:lineRule="auto"/>
        <w:rPr>
          <w:rFonts w:ascii="MS PGothic" w:cs="MS PGothic" w:eastAsia="MS PGothic" w:hAnsi="MS PGothic"/>
          <w:sz w:val="16"/>
          <w:szCs w:val="16"/>
          <w:color w:val="auto"/>
        </w:rPr>
      </w:pPr>
      <w:r>
        <w:rPr>
          <w:rFonts w:ascii="Arial" w:cs="Arial" w:eastAsia="Arial" w:hAnsi="Arial"/>
          <w:sz w:val="17"/>
          <w:szCs w:val="17"/>
          <w:color w:val="auto"/>
        </w:rPr>
        <w:t>(i)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CONTINUE]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$9.8 Million Registered Direct Offering of Common Stock</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San Diego, Calif, September 26, 2019 – Arcturus Therapeutics (“Arcturus” or the “Company”), a leading RNA medicines company focused on the discovery, development and commercialization of mRNA therapeutics for rare diseases, today announced that it has entered into definitive agreements with certain institutional investors for the purchase and sale in a registered direct offering of 850,000 shares of the Company’s common stock, at a purchase price of $11.50 per share, for aggregate gross proceeds of approximately $9.8 million. The offering is expected to close on or about September 30, 2019, subject to the satisfaction of customary closing conditions.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intends to use the net proceeds from this offering to fund its continued research and development initiatives in connection with its product pipeline including, but not limited to LUNAR-CF, LUNAR-CV, LUNAR-MD and general corporate purposes. It is expected that this offering, together with the Company’s prior registered direct offerings announced August 1 and August 2 (aggregating to approximately 2 million shares, the number established in June at the time of the Company’s strategic transaction), and the Company’s other non-dilutive funding efforts, provide adequate funding to support the Company’s current programs through at least the next 18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exclusive placement agent for the offering.</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shares of common stock are being offered by the Company pursuant to a “shelf” registration statement on Form S-3 (File No. 333-232281) previously declared effective by the Securities and Exchange Commission (the “SEC”) on July 29, 2019. The shares of common stock may be offered only by means of a prospectus supplement that forms a part of the effective registration statement. A prospectus supplement and the accompanying prospectus relating to the offering will be filed with the SEC. Electronic copies of the prospectus supplement and the accompanying prospectus may be obtained, when available, from H.C. Wainwright &amp; Co., LLC, 430 Park Avenue, 3rd Floor, New York, NY 10022, or by calling (646) 975-6996 or by emailing </w:t>
      </w:r>
      <w:r>
        <w:rPr>
          <w:rFonts w:ascii="Arial" w:cs="Arial" w:eastAsia="Arial" w:hAnsi="Arial"/>
          <w:sz w:val="17"/>
          <w:szCs w:val="17"/>
          <w:u w:val="single" w:color="auto"/>
          <w:color w:val="auto"/>
        </w:rPr>
        <w:t>placements@hcwco.com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Founded in 2013 and based in San Diego, California, Arcturus Therapeutics Holdings Inc. (Nasdaq: ARCT) is an RNA medicines company with enabling technologies – LUNAR®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(175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t>
      </w:r>
      <w:r>
        <w:rPr>
          <w:rFonts w:ascii="Arial" w:cs="Arial" w:eastAsia="Arial" w:hAnsi="Arial"/>
          <w:sz w:val="17"/>
          <w:szCs w:val="17"/>
          <w:u w:val="single" w:color="auto"/>
          <w:color w:val="auto"/>
        </w:rPr>
        <w:t>www.Arcturusrx.com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the likelihood of success of the Company’s technology or potential development of any products, the status of preclinical and clinical development programs, the sufficiency of any drug substances or drug products to meet current goals or expectations, and the potential market or success of clinical development programs, are</w:t>
      </w:r>
    </w:p>
    <w:p>
      <w:pPr>
        <w:sectPr>
          <w:pgSz w:w="11900" w:h="16838" w:orient="portrait"/>
          <w:cols w:equalWidth="0" w:num="1">
            <w:col w:w="11020"/>
          </w:cols>
          <w:pgMar w:left="440" w:top="121" w:right="439" w:bottom="1440" w:gutter="0" w:footer="0" w:header="0"/>
        </w:sectPr>
      </w:pPr>
    </w:p>
    <w:bookmarkStart w:id="47" w:name="page48"/>
    <w:bookmarkEnd w:id="4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For example, when the Company discusses the timing and expected closing of the offering, the expected use of proceeds, and that it is expected that this offering, together with the Company’s prior offerings and the Company’s other non-dilutive funding efforts, provide adequate funding to support the Company’s current programs through at least the next 18 months, it is using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860" w:firstLine="4"/>
        <w:spacing w:after="0" w:line="323" w:lineRule="auto"/>
        <w:tabs>
          <w:tab w:leader="none" w:pos="4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597-6983 </w:t>
      </w:r>
      <w:r>
        <w:rPr>
          <w:rFonts w:ascii="Arial" w:cs="Arial" w:eastAsia="Arial" w:hAnsi="Arial"/>
          <w:sz w:val="16"/>
          <w:szCs w:val="16"/>
          <w:u w:val="single" w:color="auto"/>
          <w:color w:val="auto"/>
        </w:rPr>
        <w:t>mwood@lifesciadvisors.com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upperLetter"/>
      <w:start w:val="5"/>
    </w:lvl>
  </w:abstractNum>
  <w:abstractNum w:abstractNumId="3">
    <w:nsid w:val="628C895D"/>
    <w:multiLevelType w:val="hybridMultilevel"/>
    <w:lvl w:ilvl="0">
      <w:lvlJc w:val="left"/>
      <w:lvlText w:val="%1"/>
      <w:numFmt w:val="decimal"/>
      <w:start w:val="1"/>
    </w:lvl>
    <w:lvl w:ilvl="1">
      <w:lvlJc w:val="left"/>
      <w:lvlText w:val="%2."/>
      <w:numFmt w:val="upperLetter"/>
      <w:start w:val="6"/>
    </w:lvl>
  </w:abstractNum>
  <w:abstractNum w:abstractNumId="4">
    <w:nsid w:val="333AB105"/>
    <w:multiLevelType w:val="hybridMultilevel"/>
    <w:lvl w:ilvl="0">
      <w:lvlJc w:val="left"/>
      <w:lvlText w:val="%1."/>
      <w:numFmt w:val="decimal"/>
      <w:start w:val="1"/>
    </w:lvl>
    <w:lvl w:ilvl="1">
      <w:lvlJc w:val="left"/>
      <w:lvlText w:val="%2"/>
      <w:numFmt w:val="upperLetter"/>
      <w:start w:val="1"/>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lowerLetter"/>
      <w:start w:val="1"/>
    </w:lvl>
    <w:lvl w:ilvl="1">
      <w:lvlJc w:val="left"/>
      <w:lvlText w:val="(%2)"/>
      <w:numFmt w:val="lowerRoman"/>
      <w:start w:val="1"/>
    </w:lvl>
  </w:abstractNum>
  <w:abstractNum w:abstractNumId="7">
    <w:nsid w:val="2D1D5AE9"/>
    <w:multiLevelType w:val="hybridMultilevel"/>
    <w:lvl w:ilvl="0">
      <w:lvlJc w:val="left"/>
      <w:lvlText w:val="%1"/>
      <w:numFmt w:val="lowerLetter"/>
      <w:start w:val="1"/>
    </w:lvl>
    <w:lvl w:ilvl="1">
      <w:lvlJc w:val="left"/>
      <w:lvlText w:val="(%2)"/>
      <w:numFmt w:val="lowerRoman"/>
      <w:start w:val="4"/>
    </w:lvl>
  </w:abstractNum>
  <w:abstractNum w:abstractNumId="8">
    <w:nsid w:val="6763845E"/>
    <w:multiLevelType w:val="hybridMultilevel"/>
    <w:lvl w:ilvl="0">
      <w:lvlJc w:val="left"/>
      <w:lvlText w:val="(%1)"/>
      <w:numFmt w:val="lowerLetter"/>
      <w:start w:val="2"/>
    </w:lvl>
    <w:lvl w:ilvl="1">
      <w:lvlJc w:val="left"/>
      <w:lvlText w:val="(%2)"/>
      <w:numFmt w:val="lowerRoman"/>
      <w:start w:val="1"/>
    </w:lvl>
  </w:abstractNum>
  <w:abstractNum w:abstractNumId="9">
    <w:nsid w:val="75A2A8D4"/>
    <w:multiLevelType w:val="hybridMultilevel"/>
    <w:lvl w:ilvl="0">
      <w:lvlJc w:val="left"/>
      <w:lvlText w:val="(%1)"/>
      <w:numFmt w:val="lowerLetter"/>
      <w:start w:val="1"/>
    </w:lvl>
    <w:lvl w:ilvl="1">
      <w:lvlJc w:val="left"/>
      <w:lvlText w:val="(%2)"/>
      <w:numFmt w:val="lowerRoman"/>
      <w:start w:val="1"/>
    </w:lvl>
  </w:abstractNum>
  <w:abstractNum w:abstractNumId="10">
    <w:nsid w:val="8EDBDAB"/>
    <w:multiLevelType w:val="hybridMultilevel"/>
    <w:lvl w:ilvl="0">
      <w:lvlJc w:val="left"/>
      <w:lvlText w:val="(%1)"/>
      <w:numFmt w:val="lowerRoman"/>
      <w:start w:val="3"/>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3"/>
    </w:lvl>
  </w:abstractNum>
  <w:abstractNum w:abstractNumId="13">
    <w:nsid w:val="B03E0C6"/>
    <w:multiLevelType w:val="hybridMultilevel"/>
    <w:lvl w:ilvl="0">
      <w:lvlJc w:val="left"/>
      <w:lvlText w:val="(%1)"/>
      <w:numFmt w:val="lowerLetter"/>
      <w:start w:val="5"/>
    </w:lvl>
  </w:abstractNum>
  <w:abstractNum w:abstractNumId="14">
    <w:nsid w:val="189A769B"/>
    <w:multiLevelType w:val="hybridMultilevel"/>
    <w:lvl w:ilvl="0">
      <w:lvlJc w:val="left"/>
      <w:lvlText w:val="(%1)"/>
      <w:numFmt w:val="lowerLetter"/>
      <w:start w:val="7"/>
    </w:lvl>
  </w:abstractNum>
  <w:abstractNum w:abstractNumId="15">
    <w:nsid w:val="54E49EB4"/>
    <w:multiLevelType w:val="hybridMultilevel"/>
    <w:lvl w:ilvl="0">
      <w:lvlJc w:val="left"/>
      <w:lvlText w:val="%1"/>
      <w:numFmt w:val="upperLetter"/>
      <w:start w:val="1"/>
    </w:lvl>
    <w:lvl w:ilvl="1">
      <w:lvlJc w:val="left"/>
      <w:lvlText w:val="(%2)"/>
      <w:numFmt w:val="lowerLetter"/>
      <w:start w:val="8"/>
    </w:lvl>
  </w:abstractNum>
  <w:abstractNum w:abstractNumId="16">
    <w:nsid w:val="71F32454"/>
    <w:multiLevelType w:val="hybridMultilevel"/>
    <w:lvl w:ilvl="0">
      <w:lvlJc w:val="left"/>
      <w:lvlText w:val="(%1)"/>
      <w:numFmt w:val="upperLetter"/>
      <w:start w:val="1"/>
    </w:lvl>
    <w:lvl w:ilvl="1">
      <w:lvlJc w:val="left"/>
      <w:lvlText w:val="%2"/>
      <w:numFmt w:val="lowerLetter"/>
      <w:start w:val="1"/>
    </w:lvl>
  </w:abstractNum>
  <w:abstractNum w:abstractNumId="17">
    <w:nsid w:val="2CA88611"/>
    <w:multiLevelType w:val="hybridMultilevel"/>
    <w:lvl w:ilvl="0">
      <w:lvlJc w:val="left"/>
      <w:lvlText w:val="(%1)"/>
      <w:numFmt w:val="lowerLetter"/>
      <w:start w:val="10"/>
    </w:lvl>
  </w:abstractNum>
  <w:abstractNum w:abstractNumId="18">
    <w:nsid w:val="836C40E"/>
    <w:multiLevelType w:val="hybridMultilevel"/>
    <w:lvl w:ilvl="0">
      <w:lvlJc w:val="left"/>
      <w:lvlText w:val="(%1)"/>
      <w:numFmt w:val="lowerLetter"/>
      <w:start w:val="13"/>
    </w:lvl>
  </w:abstractNum>
  <w:abstractNum w:abstractNumId="19">
    <w:nsid w:val="2901D82"/>
    <w:multiLevelType w:val="hybridMultilevel"/>
    <w:lvl w:ilvl="0">
      <w:lvlJc w:val="left"/>
      <w:lvlText w:val="(%1)"/>
      <w:numFmt w:val="lowerLetter"/>
      <w:start w:val="17"/>
    </w:lvl>
  </w:abstractNum>
  <w:abstractNum w:abstractNumId="20">
    <w:nsid w:val="3A95F874"/>
    <w:multiLevelType w:val="hybridMultilevel"/>
    <w:lvl w:ilvl="0">
      <w:lvlJc w:val="left"/>
      <w:lvlText w:val="(%1)"/>
      <w:numFmt w:val="lowerLetter"/>
      <w:start w:val="19"/>
    </w:lvl>
  </w:abstractNum>
  <w:abstractNum w:abstractNumId="21">
    <w:nsid w:val="8138641"/>
    <w:multiLevelType w:val="hybridMultilevel"/>
    <w:lvl w:ilvl="0">
      <w:lvlJc w:val="left"/>
      <w:lvlText w:val="(%1)"/>
      <w:numFmt w:val="lowerLetter"/>
      <w:start w:val="23"/>
    </w:lvl>
  </w:abstractNum>
  <w:abstractNum w:abstractNumId="22">
    <w:nsid w:val="1E7FF521"/>
    <w:multiLevelType w:val="hybridMultilevel"/>
    <w:lvl w:ilvl="0">
      <w:lvlJc w:val="left"/>
      <w:lvlText w:val="(%1)"/>
      <w:numFmt w:val="lowerLetter"/>
      <w:start w:val="26"/>
    </w:lvl>
  </w:abstractNum>
  <w:abstractNum w:abstractNumId="23">
    <w:nsid w:val="7C3DBD3D"/>
    <w:multiLevelType w:val="hybridMultilevel"/>
    <w:lvl w:ilvl="0">
      <w:lvlJc w:val="left"/>
      <w:lvlText w:val="%1"/>
      <w:numFmt w:val="lowerLetter"/>
      <w:start w:val="1"/>
    </w:lvl>
    <w:lvl w:ilvl="1">
      <w:lvlJc w:val="left"/>
      <w:lvlText w:val="(%2)"/>
      <w:numFmt w:val="lowerLetter"/>
      <w:start w:val="27"/>
    </w:lvl>
  </w:abstractNum>
  <w:abstractNum w:abstractNumId="24">
    <w:nsid w:val="737B8DDC"/>
    <w:multiLevelType w:val="hybridMultilevel"/>
    <w:lvl w:ilvl="0">
      <w:lvlJc w:val="left"/>
      <w:lvlText w:val="(%1)"/>
      <w:numFmt w:val="lowerLetter"/>
      <w:start w:val="35"/>
    </w:lvl>
    <w:lvl w:ilvl="1">
      <w:lvlJc w:val="left"/>
      <w:lvlText w:val="(%2)"/>
      <w:numFmt w:val="lowerLetter"/>
      <w:start w:val="28"/>
    </w:lvl>
  </w:abstractNum>
  <w:abstractNum w:abstractNumId="25">
    <w:nsid w:val="6CEAF087"/>
    <w:multiLevelType w:val="hybridMultilevel"/>
    <w:lvl w:ilvl="0">
      <w:lvlJc w:val="left"/>
      <w:lvlText w:val="(%1)"/>
      <w:numFmt w:val="lowerLetter"/>
      <w:start w:val="61"/>
    </w:lvl>
    <w:lvl w:ilvl="1">
      <w:lvlJc w:val="left"/>
      <w:lvlText w:val="%2"/>
      <w:numFmt w:val="lowerLetter"/>
      <w:start w:val="1"/>
    </w:lvl>
  </w:abstractNum>
  <w:abstractNum w:abstractNumId="26">
    <w:nsid w:val="22221A70"/>
    <w:multiLevelType w:val="hybridMultilevel"/>
    <w:lvl w:ilvl="0">
      <w:lvlJc w:val="left"/>
      <w:lvlText w:val="(%1)"/>
      <w:numFmt w:val="lowerLetter"/>
      <w:start w:val="29"/>
    </w:lvl>
  </w:abstractNum>
  <w:abstractNum w:abstractNumId="27">
    <w:nsid w:val="4516DDE9"/>
    <w:multiLevelType w:val="hybridMultilevel"/>
    <w:lvl w:ilvl="0">
      <w:lvlJc w:val="left"/>
      <w:lvlText w:val="%1"/>
      <w:numFmt w:val="lowerLetter"/>
      <w:start w:val="1"/>
    </w:lvl>
    <w:lvl w:ilvl="1">
      <w:lvlJc w:val="left"/>
      <w:lvlText w:val="(%2)"/>
      <w:numFmt w:val="lowerLetter"/>
      <w:start w:val="33"/>
    </w:lvl>
  </w:abstractNum>
  <w:abstractNum w:abstractNumId="28">
    <w:nsid w:val="3006C83E"/>
    <w:multiLevelType w:val="hybridMultilevel"/>
    <w:lvl w:ilvl="0">
      <w:lvlJc w:val="left"/>
      <w:lvlText w:val="(%1)"/>
      <w:numFmt w:val="lowerLetter"/>
      <w:start w:val="22"/>
    </w:lvl>
    <w:lvl w:ilvl="1">
      <w:lvlJc w:val="left"/>
      <w:lvlText w:val="%2"/>
      <w:numFmt w:val="lowerLetter"/>
      <w:start w:val="1"/>
    </w:lvl>
  </w:abstractNum>
  <w:abstractNum w:abstractNumId="29">
    <w:nsid w:val="614FD4A1"/>
    <w:multiLevelType w:val="hybridMultilevel"/>
    <w:lvl w:ilvl="0">
      <w:lvlJc w:val="left"/>
      <w:lvlText w:val="(%1)"/>
      <w:numFmt w:val="lowerLetter"/>
      <w:start w:val="35"/>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5"/>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858"/>
    </w:lvl>
  </w:abstractNum>
  <w:abstractNum w:abstractNumId="37">
    <w:nsid w:val="5C482A97"/>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2019-12-28T05:45:10Z</dcterms:created>
  <dcterms:modified xsi:type="dcterms:W3CDTF">2019-12-28T05:45:10Z</dcterms:modified>
</cp:coreProperties>
</file>