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e664858_8k-arct.htm"/>
      <w:bookmarkStart w:id="1" w:name="kse664858_8karct"/>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Washington, D.C. 20549</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FORM </w:t>
      </w:r>
      <w:bookmarkStart w:id="2" w:name="xdx_90A_edei--DocumentType_c20250926__20"/>
      <w:bookmarkEnd w:id="2"/>
      <w:r>
        <w:rPr>
          <w:rFonts w:ascii="Times New Roman;Times;Serif" w:hAnsi="Times New Roman;Times;Serif"/>
          <w:b/>
          <w:i w:val="false"/>
          <w:caps w:val="false"/>
          <w:smallCaps w:val="false"/>
          <w:color w:val="212529"/>
          <w:sz w:val="20"/>
        </w:rPr>
        <w:t>8-K</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of the Securities Exchange Act of 1934</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Date of Report (Date of earliest event reported): </w:t>
      </w:r>
      <w:bookmarkStart w:id="3" w:name="xdx_907_edei--DocumentPeriodEndDate_c202"/>
      <w:bookmarkEnd w:id="3"/>
      <w:r>
        <w:rPr>
          <w:rFonts w:ascii="Times New Roman;Times;Serif" w:hAnsi="Times New Roman;Times;Serif"/>
          <w:b/>
          <w:i w:val="false"/>
          <w:caps w:val="false"/>
          <w:smallCaps w:val="false"/>
          <w:color w:val="212529"/>
          <w:sz w:val="20"/>
        </w:rPr>
        <w:t>September 26, 2025</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36"/>
        </w:rPr>
      </w:pPr>
      <w:bookmarkStart w:id="4" w:name="xdx_902_edei--EntityRegistrantName_c2025"/>
      <w:bookmarkEnd w:id="4"/>
      <w:r>
        <w:rPr>
          <w:rFonts w:ascii="Times New Roman;Times;Serif" w:hAnsi="Times New Roman;Times;Serif"/>
          <w:b/>
          <w:i w:val="false"/>
          <w:caps w:val="false"/>
          <w:smallCaps w:val="false"/>
          <w:color w:val="212529"/>
          <w:sz w:val="36"/>
        </w:rPr>
        <w:t>ARCTURUS THERAPEUTICS HOLDINGS INC.</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(Exact name of registrant as specified in its charter)</w:t>
      </w:r>
    </w:p>
    <w:p>
      <w:pPr>
        <w:pStyle w:val="TextBody"/>
        <w:bidi w:val="0"/>
        <w:spacing w:before="0" w:after="0"/>
        <w:ind w:left="0" w:right="0" w:hanging="0"/>
        <w:jc w:val="center"/>
        <w:rPr>
          <w:caps w:val="false"/>
          <w:smallCaps w:val="false"/>
          <w:color w:val="212529"/>
        </w:rPr>
      </w:pPr>
      <w:r>
        <w:rPr>
          <w:caps w:val="false"/>
          <w:smallCaps w:val="false"/>
          <w:color w:val="212529"/>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center"/>
              <w:rPr>
                <w:rFonts w:ascii="Times New Roman;Times;Serif" w:hAnsi="Times New Roman;Times;Serif"/>
                <w:b/>
                <w:color w:val="000000"/>
              </w:rPr>
            </w:pPr>
            <w:bookmarkStart w:id="5" w:name="xdx_90A_edei--EntityIncorporationStateCo"/>
            <w:bookmarkEnd w:id="5"/>
            <w:r>
              <w:rPr>
                <w:rFonts w:ascii="Times New Roman;Times;Serif" w:hAnsi="Times New Roman;Times;Serif"/>
                <w:b/>
                <w:color w:val="000000"/>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b/>
                <w:color w:val="000000"/>
              </w:rPr>
            </w:pPr>
            <w:bookmarkStart w:id="6" w:name="xdx_90E_edei--EntityFileNumber_c20250926"/>
            <w:bookmarkEnd w:id="6"/>
            <w:r>
              <w:rPr>
                <w:rFonts w:ascii="Times New Roman;Times;Serif" w:hAnsi="Times New Roman;Times;Serif"/>
                <w:b/>
                <w:color w:val="000000"/>
              </w:rPr>
              <w:t>001-38942</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rFonts w:ascii="Times New Roman;Times;Serif" w:hAnsi="Times New Roman;Times;Serif"/>
                <w:b/>
                <w:color w:val="000000"/>
              </w:rPr>
            </w:pPr>
            <w:bookmarkStart w:id="7" w:name="xdx_90D_edei--EntityTaxIdentificationNum"/>
            <w:bookmarkEnd w:id="7"/>
            <w:r>
              <w:rPr>
                <w:rFonts w:ascii="Times New Roman;Times;Serif" w:hAnsi="Times New Roman;Times;Serif"/>
                <w:b/>
                <w:color w:val="000000"/>
              </w:rPr>
              <w:t>32-0595345</w:t>
            </w:r>
          </w:p>
        </w:tc>
      </w:tr>
      <w:tr>
        <w:trPr/>
        <w:tc>
          <w:tcPr>
            <w:tcW w:w="2720" w:type="dxa"/>
            <w:tcBorders/>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(I.R.S. Employer</w:t>
              <w:br/>
              <w:t>Identification No.)</w:t>
            </w:r>
          </w:p>
        </w:tc>
      </w:tr>
    </w:tbl>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bookmarkStart w:id="8" w:name="xdx_90E_edei--EntityAddressAddressLine1_"/>
      <w:bookmarkEnd w:id="8"/>
      <w:r>
        <w:rPr>
          <w:rFonts w:ascii="Times New Roman;Times;Serif" w:hAnsi="Times New Roman;Times;Serif"/>
          <w:b/>
          <w:i w:val="false"/>
          <w:caps w:val="false"/>
          <w:smallCaps w:val="false"/>
          <w:color w:val="212529"/>
          <w:sz w:val="20"/>
        </w:rPr>
        <w:t>10628 Science Center Drive,</w:t>
      </w:r>
      <w:bookmarkStart w:id="9" w:name="xdx_900_edei--EntityAddressAddressLine2_"/>
      <w:bookmarkEnd w:id="9"/>
      <w:r>
        <w:rPr>
          <w:rFonts w:ascii="Times New Roman;Times;Serif" w:hAnsi="Times New Roman;Times;Serif"/>
          <w:b/>
          <w:i w:val="false"/>
          <w:caps w:val="false"/>
          <w:smallCaps w:val="false"/>
          <w:color w:val="212529"/>
          <w:sz w:val="20"/>
        </w:rPr>
        <w:t> Suite 250</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bookmarkStart w:id="10" w:name="xdx_907_edei--EntityAddressCityOrTown_c2"/>
      <w:bookmarkEnd w:id="10"/>
      <w:r>
        <w:rPr>
          <w:rFonts w:ascii="Times New Roman;Times;Serif" w:hAnsi="Times New Roman;Times;Serif"/>
          <w:b/>
          <w:i w:val="false"/>
          <w:caps w:val="false"/>
          <w:smallCaps w:val="false"/>
          <w:color w:val="212529"/>
          <w:sz w:val="20"/>
        </w:rPr>
        <w:t>San Diego, </w:t>
      </w:r>
      <w:bookmarkStart w:id="11" w:name="xdx_902_edei--EntityAddressStateOrProvin"/>
      <w:bookmarkEnd w:id="11"/>
      <w:r>
        <w:rPr>
          <w:rFonts w:ascii="Times New Roman;Times;Serif" w:hAnsi="Times New Roman;Times;Serif"/>
          <w:b/>
          <w:i w:val="false"/>
          <w:caps w:val="false"/>
          <w:smallCaps w:val="false"/>
          <w:color w:val="212529"/>
          <w:sz w:val="20"/>
        </w:rPr>
        <w:t>California </w:t>
      </w:r>
      <w:bookmarkStart w:id="12" w:name="xdx_900_edei--EntityAddressPostalZipCode"/>
      <w:bookmarkEnd w:id="12"/>
      <w:r>
        <w:rPr>
          <w:rFonts w:ascii="Times New Roman;Times;Serif" w:hAnsi="Times New Roman;Times;Serif"/>
          <w:b/>
          <w:i w:val="false"/>
          <w:caps w:val="false"/>
          <w:smallCaps w:val="false"/>
          <w:color w:val="212529"/>
          <w:sz w:val="20"/>
        </w:rPr>
        <w:t>92121</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(Address of principal executive offices)</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Registrant’s telephone number, including area code: </w:t>
      </w:r>
      <w:bookmarkStart w:id="13" w:name="xdx_901_edei--CityAreaCode_c20250926__20"/>
      <w:bookmarkEnd w:id="13"/>
      <w:r>
        <w:rPr>
          <w:rFonts w:ascii="Times New Roman;Times;Serif" w:hAnsi="Times New Roman;Times;Serif"/>
          <w:b/>
          <w:i w:val="false"/>
          <w:caps w:val="false"/>
          <w:smallCaps w:val="false"/>
          <w:color w:val="212529"/>
          <w:sz w:val="20"/>
        </w:rPr>
        <w:t>(858) </w:t>
      </w:r>
      <w:bookmarkStart w:id="14" w:name="xdx_90D_edei--LocalPhoneNumber_c20250926"/>
      <w:bookmarkEnd w:id="14"/>
      <w:r>
        <w:rPr>
          <w:rFonts w:ascii="Times New Roman;Times;Serif" w:hAnsi="Times New Roman;Times;Serif"/>
          <w:b/>
          <w:i w:val="false"/>
          <w:caps w:val="false"/>
          <w:smallCaps w:val="false"/>
          <w:color w:val="212529"/>
          <w:sz w:val="20"/>
        </w:rPr>
        <w:t>900-2660</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(Former name or former address, if changed since last report)</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bookmarkStart w:id="15" w:name="xdx_901_edei--WrittenCommunications_c202"/>
            <w:bookmarkEnd w:id="15"/>
            <w:r>
              <w:rPr>
                <w:color w:val="000000"/>
              </w:rPr>
              <w:t>☐</w:t>
            </w:r>
          </w:p>
        </w:tc>
        <w:tc>
          <w:tcPr>
            <w:tcW w:w="9960" w:type="dxa"/>
            <w:tcBorders/>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Written communications pursuant to Rule 425 under the Securities Act (17 CFR 230.425)</w:t>
            </w:r>
          </w:p>
        </w:tc>
      </w:tr>
      <w:tr>
        <w:trPr/>
        <w:tc>
          <w:tcPr>
            <w:tcW w:w="245" w:type="dxa"/>
            <w:tcBorders/>
            <w:vAlign w:val="center"/>
          </w:tcPr>
          <w:p>
            <w:pPr>
              <w:pStyle w:val="TableContents"/>
              <w:bidi w:val="0"/>
              <w:spacing w:before="0" w:after="283"/>
              <w:jc w:val="left"/>
              <w:rPr>
                <w:color w:val="000000"/>
              </w:rPr>
            </w:pPr>
            <w:bookmarkStart w:id="16" w:name="xdx_90A_edei--SolicitingMaterial_c202509"/>
            <w:bookmarkEnd w:id="16"/>
            <w:r>
              <w:rPr>
                <w:color w:val="000000"/>
              </w:rPr>
              <w:t>☐</w:t>
            </w:r>
          </w:p>
        </w:tc>
        <w:tc>
          <w:tcPr>
            <w:tcW w:w="9960" w:type="dxa"/>
            <w:tcBorders/>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Soliciting material pursuant to Rule 14a-12 under the Exchange Act (17 CFR 240.14a-12)</w:t>
            </w:r>
          </w:p>
        </w:tc>
      </w:tr>
      <w:tr>
        <w:trPr/>
        <w:tc>
          <w:tcPr>
            <w:tcW w:w="245" w:type="dxa"/>
            <w:tcBorders/>
            <w:vAlign w:val="center"/>
          </w:tcPr>
          <w:p>
            <w:pPr>
              <w:pStyle w:val="TableContents"/>
              <w:bidi w:val="0"/>
              <w:spacing w:before="0" w:after="283"/>
              <w:jc w:val="left"/>
              <w:rPr>
                <w:color w:val="000000"/>
              </w:rPr>
            </w:pPr>
            <w:bookmarkStart w:id="17" w:name="xdx_90F_edei--PreCommencementTenderOffer"/>
            <w:bookmarkEnd w:id="17"/>
            <w:r>
              <w:rPr>
                <w:color w:val="000000"/>
              </w:rPr>
              <w:t>☐</w:t>
            </w:r>
          </w:p>
        </w:tc>
        <w:tc>
          <w:tcPr>
            <w:tcW w:w="9960" w:type="dxa"/>
            <w:tcBorders/>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olor w:val="000000"/>
              </w:rPr>
            </w:pPr>
            <w:bookmarkStart w:id="18" w:name="xdx_904_edei--PreCommencementIssuerTende"/>
            <w:bookmarkEnd w:id="18"/>
            <w:r>
              <w:rPr>
                <w:color w:val="000000"/>
              </w:rPr>
              <w:t>☐</w:t>
            </w:r>
          </w:p>
        </w:tc>
        <w:tc>
          <w:tcPr>
            <w:tcW w:w="9960" w:type="dxa"/>
            <w:tcBorders/>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Pre-commencement communications pursuant to Rule 13e-4(c) under the Exchange Act (17 CFR 240.13e-4(c))</w:t>
            </w:r>
          </w:p>
        </w:tc>
      </w:tr>
    </w:tbl>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Securities registered pursuant to Section 12(b) of the Act:</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8925" w:type="dxa"/>
        <w:jc w:val="left"/>
        <w:tblInd w:w="0" w:type="dxa"/>
        <w:tblLayout w:type="fixed"/>
        <w:tblCellMar>
          <w:top w:w="0" w:type="dxa"/>
          <w:left w:w="0" w:type="dxa"/>
          <w:bottom w:w="28" w:type="dxa"/>
          <w:right w:w="0" w:type="dxa"/>
        </w:tblCellMar>
      </w:tblPr>
      <w:tblGrid>
        <w:gridCol w:w="4385"/>
        <w:gridCol w:w="60"/>
        <w:gridCol w:w="860"/>
        <w:gridCol w:w="60"/>
        <w:gridCol w:w="3560"/>
      </w:tblGrid>
      <w:tr>
        <w:trPr/>
        <w:tc>
          <w:tcPr>
            <w:tcW w:w="4385" w:type="dxa"/>
            <w:tcBorders>
              <w:bottom w:val="single" w:sz="8" w:space="0" w:color="000000"/>
            </w:tcBorders>
            <w:vAlign w:val="center"/>
          </w:tcPr>
          <w:p>
            <w:pPr>
              <w:pStyle w:val="TableContents"/>
              <w:bidi w:val="0"/>
              <w:spacing w:before="0" w:after="283"/>
              <w:jc w:val="center"/>
              <w:rPr>
                <w:rFonts w:ascii="Times New Roman;Times;Serif" w:hAnsi="Times New Roman;Times;Serif"/>
                <w:b/>
                <w:color w:val="000000"/>
              </w:rPr>
            </w:pPr>
            <w:r>
              <w:rPr>
                <w:rFonts w:ascii="Times New Roman;Times;Serif" w:hAnsi="Times New Roman;Times;Serif"/>
                <w:b/>
                <w:color w:val="00000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356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each exchange</w:t>
              <w:br/>
              <w:t>on which registered</w:t>
            </w:r>
          </w:p>
        </w:tc>
      </w:tr>
      <w:tr>
        <w:trPr/>
        <w:tc>
          <w:tcPr>
            <w:tcW w:w="4385" w:type="dxa"/>
            <w:tcBorders/>
            <w:tcMar>
              <w:bottom w:w="0" w:type="dxa"/>
            </w:tcMar>
            <w:vAlign w:val="center"/>
          </w:tcPr>
          <w:p>
            <w:pPr>
              <w:pStyle w:val="TableContents"/>
              <w:bidi w:val="0"/>
              <w:spacing w:before="0" w:after="283"/>
              <w:jc w:val="center"/>
              <w:rPr>
                <w:rFonts w:ascii="Times New Roman;Times;Serif" w:hAnsi="Times New Roman;Times;Serif"/>
                <w:b/>
              </w:rPr>
            </w:pPr>
            <w:bookmarkStart w:id="19" w:name="xdx_906_edei--Security12bTitle_c20250926"/>
            <w:bookmarkEnd w:id="19"/>
            <w:r>
              <w:rPr>
                <w:rFonts w:ascii="Times New Roman;Times;Serif" w:hAnsi="Times New Roman;Times;Serif"/>
                <w:b/>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rPr>
            </w:pPr>
            <w:bookmarkStart w:id="20" w:name="xdx_905_edei--TradingSymbol_c20250926__2"/>
            <w:bookmarkEnd w:id="20"/>
            <w:r>
              <w:rPr>
                <w:rFonts w:ascii="Times New Roman;Times;Serif" w:hAnsi="Times New Roman;Times;Serif"/>
                <w:b/>
              </w:rPr>
              <w:t>ARCT</w:t>
            </w:r>
          </w:p>
        </w:tc>
        <w:tc>
          <w:tcPr>
            <w:tcW w:w="60" w:type="dxa"/>
            <w:tcBorders/>
            <w:tcMar>
              <w:bottom w:w="0" w:type="dxa"/>
            </w:tcMar>
            <w:vAlign w:val="center"/>
          </w:tcPr>
          <w:p>
            <w:pPr>
              <w:pStyle w:val="TableContents"/>
              <w:bidi w:val="0"/>
              <w:spacing w:before="0" w:after="283"/>
              <w:jc w:val="left"/>
              <w:rPr/>
            </w:pPr>
            <w:r>
              <w:rPr/>
              <w:t> </w:t>
            </w:r>
          </w:p>
        </w:tc>
        <w:tc>
          <w:tcPr>
            <w:tcW w:w="3560" w:type="dxa"/>
            <w:tcBorders/>
            <w:tcMar>
              <w:bottom w:w="0" w:type="dxa"/>
            </w:tcMar>
            <w:vAlign w:val="center"/>
          </w:tcPr>
          <w:p>
            <w:pPr>
              <w:pStyle w:val="TableContents"/>
              <w:bidi w:val="0"/>
              <w:spacing w:before="0" w:after="283"/>
              <w:jc w:val="center"/>
              <w:rPr>
                <w:rFonts w:ascii="Times New Roman;Times;Serif" w:hAnsi="Times New Roman;Times;Serif"/>
                <w:b/>
              </w:rPr>
            </w:pPr>
            <w:bookmarkStart w:id="21" w:name="xdx_906_edei--SecurityExchangeName_c2025"/>
            <w:bookmarkEnd w:id="21"/>
            <w:r>
              <w:rPr>
                <w:rFonts w:ascii="Times New Roman;Times;Serif" w:hAnsi="Times New Roman;Times;Serif"/>
                <w:b/>
              </w:rPr>
              <w:t>The NASDAQ Stock Market LLC</w:t>
            </w:r>
          </w:p>
        </w:tc>
      </w:tr>
    </w:tbl>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Emerging growth company </w:t>
      </w:r>
      <w:bookmarkStart w:id="22" w:name="xdx_90B_edei--EntityEmergingGrowthCompan"/>
      <w:bookmarkEnd w:id="22"/>
      <w:r>
        <w:rPr>
          <w:rFonts w:ascii="Times New Roman;Times;Serif" w:hAnsi="Times New Roman;Times;Serif"/>
          <w:b w:val="false"/>
          <w:i w:val="false"/>
          <w:caps w:val="false"/>
          <w:smallCaps w:val="false"/>
          <w:color w:val="212529"/>
          <w:sz w:val="20"/>
        </w:rPr>
        <w:t>☐</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color w:val="212529"/>
        </w:rPr>
      </w:pPr>
      <w:r>
        <w:rPr>
          <w:caps w:val="false"/>
          <w:smallCaps w:val="false"/>
          <w:color w:val="212529"/>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3685" w:type="dxa"/>
        <w:jc w:val="left"/>
        <w:tblInd w:w="0" w:type="dxa"/>
        <w:tblLayout w:type="fixed"/>
        <w:tblCellMar>
          <w:top w:w="0" w:type="dxa"/>
          <w:left w:w="0" w:type="dxa"/>
          <w:bottom w:w="0" w:type="dxa"/>
          <w:right w:w="0" w:type="dxa"/>
        </w:tblCellMar>
      </w:tblPr>
      <w:tblGrid>
        <w:gridCol w:w="980"/>
        <w:gridCol w:w="2705"/>
      </w:tblGrid>
      <w:tr>
        <w:trPr/>
        <w:tc>
          <w:tcPr>
            <w:tcW w:w="980" w:type="dxa"/>
            <w:tcBorders/>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Item 7.01</w:t>
            </w:r>
          </w:p>
        </w:tc>
        <w:tc>
          <w:tcPr>
            <w:tcW w:w="2705" w:type="dxa"/>
            <w:tcBorders/>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26, 2025, Meiji Holdings Co., Ltd. announced that its subsidiary, Meiji Seika Pharma Co., Ltd. (“</w:t>
      </w:r>
      <w:r>
        <w:rPr>
          <w:rFonts w:ascii="Times New Roman;Times;Serif" w:hAnsi="Times New Roman;Times;Serif"/>
          <w:b w:val="false"/>
          <w:i w:val="false"/>
          <w:caps w:val="false"/>
          <w:smallCaps w:val="false"/>
          <w:sz w:val="20"/>
          <w:u w:val="single"/>
        </w:rPr>
        <w:t>Meiji</w:t>
      </w:r>
      <w:r>
        <w:rPr>
          <w:rFonts w:ascii="Times New Roman;Times;Serif" w:hAnsi="Times New Roman;Times;Serif"/>
          <w:b w:val="false"/>
          <w:i w:val="false"/>
          <w:caps w:val="false"/>
          <w:smallCaps w:val="false"/>
          <w:sz w:val="20"/>
        </w:rPr>
        <w:t>”), announced today that it launched a new presentation of KOSTAIVE®, a self-amplifying mRNA vaccine against COVID-19. The product targets the SARS-CoV-2 Omicron sub lineage JN.1 variant XEC. In non-clinical studies, it induced neutralizing antibodies not only against Omicron JN.1 and XEC, but also against LP.8.1 and the currently circulating variants XFG and NB.1.8.1. The formulation is supplied as a two-dose vial, with one vial per carton.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April 11, 2023, Meiji entered into a distribution agreement with Seqirus, Inc. (“</w:t>
      </w:r>
      <w:r>
        <w:rPr>
          <w:rFonts w:ascii="Times New Roman;Times;Serif" w:hAnsi="Times New Roman;Times;Serif"/>
          <w:b w:val="false"/>
          <w:i w:val="false"/>
          <w:caps w:val="false"/>
          <w:smallCaps w:val="false"/>
          <w:sz w:val="20"/>
          <w:u w:val="single"/>
        </w:rPr>
        <w:t>CSL Seqirus</w:t>
      </w:r>
      <w:r>
        <w:rPr>
          <w:rFonts w:ascii="Times New Roman;Times;Serif" w:hAnsi="Times New Roman;Times;Serif"/>
          <w:b w:val="false"/>
          <w:i w:val="false"/>
          <w:caps w:val="false"/>
          <w:smallCaps w:val="false"/>
          <w:sz w:val="20"/>
        </w:rPr>
        <w:t>”), a part of CSL Limited, and one of the world’s leading influenza vaccine providers, for the distribution and sales of Arcturus Therapeutics Holdings Inc.’s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Arcturus</w:t>
      </w:r>
      <w:r>
        <w:rPr>
          <w:rFonts w:ascii="Times New Roman;Times;Serif" w:hAnsi="Times New Roman;Times;Serif"/>
          <w:b w:val="false"/>
          <w:i w:val="false"/>
          <w:caps w:val="false"/>
          <w:smallCaps w:val="false"/>
          <w:sz w:val="20"/>
        </w:rPr>
        <w:t>”) self-amplifying mRNA vaccine candidate against COVID-19 in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Meiji’s press release is furnished herewith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this Item 7.01, including Exhibit 99.1, is furnished and shall not be deemed “filed” for purposes of Section 18 of the Securities Exchange Act of 1934, as amended (the “</w:t>
      </w:r>
      <w:r>
        <w:rPr>
          <w:rFonts w:ascii="Times New Roman;Times;Serif" w:hAnsi="Times New Roman;Times;Serif"/>
          <w:b w:val="false"/>
          <w:i w:val="false"/>
          <w:caps w:val="false"/>
          <w:smallCaps w:val="false"/>
          <w:sz w:val="20"/>
          <w:u w:val="single"/>
        </w:rPr>
        <w:t>Exchan</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 Act</w:t>
      </w:r>
      <w:r>
        <w:rPr>
          <w:rFonts w:ascii="Times New Roman;Times;Serif" w:hAnsi="Times New Roman;Times;Serif"/>
          <w:b w:val="false"/>
          <w:i w:val="false"/>
          <w:caps w:val="false"/>
          <w:smallCaps w:val="false"/>
          <w:sz w:val="20"/>
        </w:rPr>
        <w:t>”), or otherwise subject to the liabilities of that Section. The information in this Item 7.01 shall not be deemed to be incorporated by reference into any filing of the Company under the Securities Act, or the Exchange Act, whether made before or after the date hereof,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that involve substantial risks and uncertainties for purposes of the safe harbor provided by the Private Securities Litigation Reform Act of 1995. Any statements, other than statements of historical fact included in this Current Report on Form 8-K, are forward-looking statements, including those regarding partnered programs (including the COVID-19 and flu programs partnered with CSL Seqirus), the likelihood that non-clinical data will be predictive of future results, the potential supply of KOSTAIVE® in 2025 and timing therefor,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Securities and Exchange Commission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Item 9.01</w:t>
            </w:r>
          </w:p>
        </w:tc>
        <w:tc>
          <w:tcPr>
            <w:tcW w:w="3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Financial Statements and Exhibits</w:t>
            </w:r>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28" w:type="dxa"/>
          <w:right w:w="0" w:type="dxa"/>
        </w:tblCellMar>
      </w:tblPr>
      <w:tblGrid>
        <w:gridCol w:w="1205"/>
        <w:gridCol w:w="60"/>
        <w:gridCol w:w="3860"/>
      </w:tblGrid>
      <w:tr>
        <w:trPr/>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Exhibit No.</w:t>
            </w:r>
          </w:p>
        </w:tc>
        <w:tc>
          <w:tcPr>
            <w:tcW w:w="60" w:type="dxa"/>
            <w:tcBorders/>
            <w:tcMar>
              <w:bottom w:w="0" w:type="dxa"/>
            </w:tcMar>
            <w:vAlign w:val="center"/>
          </w:tcPr>
          <w:p>
            <w:pPr>
              <w:pStyle w:val="TableContents"/>
              <w:bidi w:val="0"/>
              <w:spacing w:before="0" w:after="283"/>
              <w:jc w:val="left"/>
              <w:rPr/>
            </w:pPr>
            <w:r>
              <w:rPr/>
              <w:t> </w:t>
            </w:r>
          </w:p>
        </w:tc>
        <w:tc>
          <w:tcPr>
            <w:tcW w:w="386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r>
      <w:tr>
        <w:trPr/>
        <w:tc>
          <w:tcPr>
            <w:tcW w:w="120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860"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99.1</w:t>
            </w:r>
          </w:p>
        </w:tc>
        <w:tc>
          <w:tcPr>
            <w:tcW w:w="60" w:type="dxa"/>
            <w:tcBorders/>
            <w:tcMar>
              <w:bottom w:w="0" w:type="dxa"/>
            </w:tcMar>
            <w:vAlign w:val="center"/>
          </w:tcPr>
          <w:p>
            <w:pPr>
              <w:pStyle w:val="TableContents"/>
              <w:bidi w:val="0"/>
              <w:spacing w:before="0" w:after="283"/>
              <w:jc w:val="left"/>
              <w:rPr/>
            </w:pPr>
            <w:r>
              <w:rPr/>
              <w:t> </w:t>
            </w:r>
          </w:p>
        </w:tc>
        <w:tc>
          <w:tcPr>
            <w:tcW w:w="3860" w:type="dxa"/>
            <w:tcBorders/>
            <w:tcMar>
              <w:bottom w:w="0" w:type="dxa"/>
            </w:tcMar>
            <w:vAlign w:val="center"/>
          </w:tcPr>
          <w:p>
            <w:pPr>
              <w:pStyle w:val="TableContents"/>
              <w:bidi w:val="0"/>
              <w:spacing w:before="0" w:after="283"/>
              <w:jc w:val="left"/>
              <w:rPr/>
            </w:pPr>
            <w:hyperlink w:anchor="e664858_ex99-1.htm">
              <w:r>
                <w:rPr>
                  <w:rStyle w:val="InternetLink"/>
                  <w:rFonts w:ascii="Times New Roman;Times;Serif" w:hAnsi="Times New Roman;Times;Serif"/>
                </w:rPr>
                <w:t>Press Release dated September 26, 2025</w:t>
              </w:r>
            </w:hyperlink>
          </w:p>
        </w:tc>
      </w:tr>
    </w:tbl>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center"/>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SIGNATURES</w:t>
      </w:r>
    </w:p>
    <w:p>
      <w:pPr>
        <w:pStyle w:val="TextBody"/>
        <w:bidi w:val="0"/>
        <w:spacing w:before="0" w:after="0"/>
        <w:ind w:left="0" w:right="0" w:hanging="0"/>
        <w:jc w:val="center"/>
        <w:rPr>
          <w:caps w:val="false"/>
          <w:smallCaps w:val="false"/>
          <w:color w:val="212529"/>
        </w:rPr>
      </w:pPr>
      <w:r>
        <w:rPr>
          <w:caps w:val="false"/>
          <w:smallCaps w:val="false"/>
          <w:color w:val="212529"/>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12529"/>
          <w:sz w:val="20"/>
        </w:rPr>
      </w:pPr>
      <w:r>
        <w:rPr>
          <w:rFonts w:ascii="Times New Roman;Times;Serif" w:hAnsi="Times New Roman;Times;Serif"/>
          <w:b w:val="false"/>
          <w:i w:val="false"/>
          <w:caps w:val="false"/>
          <w:smallCaps w:val="false"/>
          <w:color w:val="212529"/>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color w:val="212529"/>
        </w:rPr>
      </w:pPr>
      <w:r>
        <w:rPr>
          <w:caps w:val="false"/>
          <w:smallCaps w:val="false"/>
          <w:color w:val="212529"/>
        </w:rPr>
        <w:t> </w:t>
      </w:r>
    </w:p>
    <w:tbl>
      <w:tblPr>
        <w:tblW w:w="6279" w:type="dxa"/>
        <w:jc w:val="left"/>
        <w:tblInd w:w="0" w:type="dxa"/>
        <w:tblLayout w:type="fixed"/>
        <w:tblCellMar>
          <w:top w:w="0" w:type="dxa"/>
          <w:left w:w="0" w:type="dxa"/>
          <w:bottom w:w="0" w:type="dxa"/>
          <w:right w:w="0" w:type="dxa"/>
        </w:tblCellMar>
      </w:tblPr>
      <w:tblGrid>
        <w:gridCol w:w="2510"/>
        <w:gridCol w:w="830"/>
        <w:gridCol w:w="2939"/>
      </w:tblGrid>
      <w:tr>
        <w:trPr/>
        <w:tc>
          <w:tcPr>
            <w:tcW w:w="2510" w:type="dxa"/>
            <w:tcBorders/>
            <w:vAlign w:val="center"/>
          </w:tcPr>
          <w:p>
            <w:pPr>
              <w:pStyle w:val="TableContents"/>
              <w:bidi w:val="0"/>
              <w:spacing w:before="0" w:after="283"/>
              <w:jc w:val="left"/>
              <w:rPr/>
            </w:pPr>
            <w:r>
              <w:rPr/>
              <w:t> </w:t>
            </w:r>
          </w:p>
        </w:tc>
        <w:tc>
          <w:tcPr>
            <w:tcW w:w="3769" w:type="dxa"/>
            <w:gridSpan w:val="2"/>
            <w:tcBorders/>
            <w:vAlign w:val="center"/>
          </w:tcPr>
          <w:p>
            <w:pPr>
              <w:pStyle w:val="TableContents"/>
              <w:bidi w:val="0"/>
              <w:spacing w:before="0" w:after="283"/>
              <w:jc w:val="left"/>
              <w:rPr>
                <w:rFonts w:ascii="Times New Roman;Times;Serif" w:hAnsi="Times New Roman;Times;Serif"/>
                <w:b/>
                <w:color w:val="000000"/>
              </w:rPr>
            </w:pPr>
            <w:r>
              <w:rPr>
                <w:rFonts w:ascii="Times New Roman;Times;Serif" w:hAnsi="Times New Roman;Times;Serif"/>
                <w:b/>
                <w:color w:val="000000"/>
              </w:rPr>
              <w:t>Arcturus Therapeutics Holdings Inc.</w:t>
            </w:r>
          </w:p>
        </w:tc>
      </w:tr>
      <w:tr>
        <w:trPr/>
        <w:tc>
          <w:tcPr>
            <w:tcW w:w="2510" w:type="dxa"/>
            <w:tcBorders/>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Date: September 26, 2025</w:t>
            </w:r>
          </w:p>
        </w:tc>
        <w:tc>
          <w:tcPr>
            <w:tcW w:w="3769" w:type="dxa"/>
            <w:gridSpan w:val="2"/>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939"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rFonts w:ascii="Times New Roman;Times;Serif" w:hAnsi="Times New Roman;Times;Serif"/>
                <w:color w:val="000000"/>
              </w:rPr>
            </w:pPr>
            <w:r>
              <w:rPr>
                <w:rFonts w:ascii="Times New Roman;Times;Serif" w:hAnsi="Times New Roman;Times;Serif"/>
                <w:color w:val="000000"/>
              </w:rPr>
              <w:t>By:</w:t>
            </w:r>
          </w:p>
        </w:tc>
        <w:tc>
          <w:tcPr>
            <w:tcW w:w="2939"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 E. Payne</w:t>
            </w:r>
          </w:p>
        </w:tc>
      </w:tr>
      <w:tr>
        <w:trPr/>
        <w:tc>
          <w:tcPr>
            <w:tcW w:w="251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9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Joseph E. Payne</w:t>
            </w:r>
          </w:p>
        </w:tc>
      </w:tr>
      <w:tr>
        <w:trPr/>
        <w:tc>
          <w:tcPr>
            <w:tcW w:w="251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93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r>
    </w:tbl>
    <w:p>
      <w:pPr>
        <w:pStyle w:val="TextBody"/>
        <w:bidi w:val="0"/>
        <w:spacing w:before="0" w:after="0"/>
        <w:jc w:val="center"/>
        <w:rPr>
          <w:caps w:val="false"/>
          <w:smallCaps w:val="false"/>
          <w:color w:val="212529"/>
        </w:rPr>
      </w:pPr>
      <w:r>
        <w:rPr>
          <w:caps w:val="false"/>
          <w:smallCaps w:val="false"/>
          <w:color w:val="212529"/>
        </w:rPr>
        <w:t> </w:t>
      </w:r>
    </w:p>
    <w:p>
      <w:pPr>
        <w:pStyle w:val="TextBody"/>
        <w:pBdr>
          <w:bottom w:val="single" w:sz="8" w:space="1" w:color="000000"/>
        </w:pBdr>
        <w:bidi w:val="0"/>
        <w:spacing w:before="0" w:after="0"/>
        <w:jc w:val="center"/>
        <w:rPr>
          <w:caps w:val="false"/>
          <w:smallCaps w:val="false"/>
          <w:color w:val="212529"/>
        </w:rPr>
      </w:pPr>
      <w:r>
        <w:rPr>
          <w:caps w:val="false"/>
          <w:smallCaps w:val="false"/>
          <w:color w:val="212529"/>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23" w:name="e664858_ex99-1.htm"/>
      <w:bookmarkStart w:id="24" w:name="kse664858_ex991"/>
      <w:bookmarkEnd w:id="23"/>
      <w:bookmarkEnd w:id="24"/>
      <w:r>
        <w:rPr/>
        <w:t> </w:t>
      </w:r>
      <w:r>
        <w:br w:type="page"/>
      </w:r>
    </w:p>
    <w:p>
      <w:pPr>
        <w:pStyle w:val="TextBody"/>
        <w:bidi w:val="0"/>
        <w:jc w:val="center"/>
        <w:rPr/>
      </w:pPr>
      <w:r>
        <w:rPr/>
        <w:drawing>
          <wp:inline distT="0" distB="0" distL="0" distR="0">
            <wp:extent cx="6934200" cy="1666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934200" cy="1666875"/>
                    </a:xfrm>
                    <a:prstGeom prst="rect">
                      <a:avLst/>
                    </a:prstGeom>
                  </pic:spPr>
                </pic:pic>
              </a:graphicData>
            </a:graphic>
          </wp:inline>
        </w:drawing>
      </w: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26, 2025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Meiji Seika Pharma Launches Two-Dose Vial of KOSTAIVE</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a Self-Amplifying mRNA COVID-19 Vaccine, in Japan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Meiji Seika Pharma Co., Ltd. (Headquarter: Tokyo, Japan; President and Representative Director: Toshiaki Nagasato) announced today that it launched a new presentation of KOSTAIVE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 self-amplifying mRNA vaccine against COVID-19, supplied in vials, each containing two doses.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324350" cy="3086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324350" cy="30861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product targets the SARS-CoV-2 Omicron sublineage JN.1 variant XEC. In non-clinical studies, it induced neutralizing antibodies not only against Omicron JN.1 and XEC, but also against LP.8.1 and the currently circulating variants XFG and NB.1.8.1. The formulation is supplied as a two-dose vial, with one vial per carton.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Meiji Seika Pharma remains committed to contributing to the prevention of COVID-19.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sa-mRNA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mRNA vaccines help protect against infectious diseases by providing a blueprint for cells in the body to make a protein to help our immune systems recognize and fight the disease. Compared to standard mRNA vaccines, self-amplifying mRNA vaccines instruct the body to make more mRNA and spike protein to generate a more durable immune response</w:t>
      </w:r>
    </w:p>
    <w:p>
      <w:pPr>
        <w:pStyle w:val="TextBody"/>
        <w:shd w:fill="FFFFFF" w:val="clear"/>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10" w:type="dxa"/>
        <w:tblLayout w:type="fixed"/>
        <w:tblCellMar>
          <w:top w:w="28" w:type="dxa"/>
          <w:left w:w="28" w:type="dxa"/>
          <w:bottom w:w="28" w:type="dxa"/>
          <w:right w:w="28" w:type="dxa"/>
        </w:tblCellMar>
      </w:tblPr>
      <w:tblGrid>
        <w:gridCol w:w="3717"/>
        <w:gridCol w:w="6488"/>
      </w:tblGrid>
      <w:tr>
        <w:trPr/>
        <w:tc>
          <w:tcPr>
            <w:tcW w:w="371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color w:val="333333"/>
                <w:sz w:val="20"/>
              </w:rPr>
            </w:pPr>
            <w:r>
              <w:rPr>
                <w:rFonts w:ascii="Times New Roman;Times;Serif" w:hAnsi="Times New Roman;Times;Serif"/>
                <w:color w:val="333333"/>
                <w:sz w:val="20"/>
              </w:rPr>
              <w:t>Brand Name</w:t>
            </w:r>
          </w:p>
        </w:tc>
        <w:tc>
          <w:tcPr>
            <w:tcW w:w="648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color w:val="333333"/>
                <w:sz w:val="20"/>
              </w:rPr>
            </w:pPr>
            <w:r>
              <w:rPr>
                <w:rFonts w:ascii="Times New Roman;Times;Serif" w:hAnsi="Times New Roman;Times;Serif"/>
                <w:color w:val="333333"/>
                <w:sz w:val="20"/>
              </w:rPr>
              <w:t>KOSTAIVE intramuscular injection</w:t>
            </w:r>
          </w:p>
        </w:tc>
      </w:tr>
      <w:tr>
        <w:trPr/>
        <w:tc>
          <w:tcPr>
            <w:tcW w:w="371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33333"/>
                <w:sz w:val="20"/>
              </w:rPr>
            </w:pPr>
            <w:r>
              <w:rPr>
                <w:rFonts w:ascii="Times New Roman;Times;Serif" w:hAnsi="Times New Roman;Times;Serif"/>
                <w:color w:val="333333"/>
                <w:sz w:val="20"/>
              </w:rPr>
              <w:t>Antigen strain</w:t>
            </w:r>
          </w:p>
        </w:tc>
        <w:tc>
          <w:tcPr>
            <w:tcW w:w="64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SARS-CoV-2 Omicron sublineage JN.1 variant XEC</w:t>
            </w:r>
          </w:p>
        </w:tc>
      </w:tr>
      <w:tr>
        <w:trPr/>
        <w:tc>
          <w:tcPr>
            <w:tcW w:w="371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33333"/>
                <w:sz w:val="20"/>
              </w:rPr>
            </w:pPr>
            <w:r>
              <w:rPr>
                <w:rFonts w:ascii="Times New Roman;Times;Serif" w:hAnsi="Times New Roman;Times;Serif"/>
                <w:color w:val="333333"/>
                <w:sz w:val="20"/>
              </w:rPr>
              <w:t>Active ingredient</w:t>
            </w:r>
          </w:p>
        </w:tc>
        <w:tc>
          <w:tcPr>
            <w:tcW w:w="64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33333"/>
                <w:sz w:val="20"/>
              </w:rPr>
            </w:pPr>
            <w:r>
              <w:rPr>
                <w:rFonts w:ascii="Times New Roman;Times;Serif" w:hAnsi="Times New Roman;Times;Serif"/>
                <w:color w:val="333333"/>
                <w:sz w:val="20"/>
              </w:rPr>
              <w:t>Coronavirus (SARS-CoV-2) self-amplifying mRNA vaccine</w:t>
            </w:r>
          </w:p>
        </w:tc>
      </w:tr>
      <w:tr>
        <w:trPr/>
        <w:tc>
          <w:tcPr>
            <w:tcW w:w="371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33333"/>
                <w:sz w:val="20"/>
              </w:rPr>
            </w:pPr>
            <w:r>
              <w:rPr>
                <w:rFonts w:ascii="Times New Roman;Times;Serif" w:hAnsi="Times New Roman;Times;Serif"/>
                <w:color w:val="333333"/>
                <w:sz w:val="20"/>
              </w:rPr>
              <w:t>Use &amp; Dosage</w:t>
            </w:r>
          </w:p>
        </w:tc>
        <w:tc>
          <w:tcPr>
            <w:tcW w:w="6488" w:type="dxa"/>
            <w:tcBorders>
              <w:bottom w:val="single" w:sz="8" w:space="0" w:color="000000"/>
              <w:right w:val="single" w:sz="8" w:space="0" w:color="000000"/>
            </w:tcBorders>
            <w:tcMar>
              <w:top w:w="0" w:type="dxa"/>
              <w:left w:w="0" w:type="dxa"/>
            </w:tcMar>
            <w:vAlign w:val="center"/>
          </w:tcPr>
          <w:p>
            <w:pPr>
              <w:pStyle w:val="TableContents"/>
              <w:shd w:fill="FFFFFF" w:val="clear"/>
              <w:bidi w:val="0"/>
              <w:spacing w:before="0" w:after="0"/>
              <w:ind w:left="0" w:right="0" w:hanging="0"/>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Dissolve this drug in 1.5 mL of Japanese Pharmacopoeia physiological saline solution.</w:t>
            </w:r>
          </w:p>
          <w:p>
            <w:pPr>
              <w:pStyle w:val="TableContents"/>
              <w:shd w:fill="FFFFFF" w:val="clear"/>
              <w:bidi w:val="0"/>
              <w:spacing w:before="0" w:after="0"/>
              <w:ind w:left="0" w:right="0" w:hanging="0"/>
              <w:jc w:val="left"/>
              <w:rPr>
                <w:rFonts w:ascii="Times New Roman;Times;Serif" w:hAnsi="Times New Roman;Times;Serif"/>
                <w:b w:val="false"/>
                <w:i w:val="false"/>
                <w:caps w:val="false"/>
                <w:smallCaps w:val="false"/>
                <w:color w:val="333333"/>
                <w:sz w:val="20"/>
              </w:rPr>
            </w:pPr>
            <w:r>
              <w:rPr>
                <w:rFonts w:ascii="Times New Roman;Times;Serif" w:hAnsi="Times New Roman;Times;Serif"/>
                <w:b w:val="false"/>
                <w:i w:val="false"/>
                <w:caps w:val="false"/>
                <w:smallCaps w:val="false"/>
                <w:color w:val="333333"/>
                <w:sz w:val="20"/>
              </w:rPr>
              <w:t>Administer a single dose of 0.5 mL intramuscularly</w:t>
            </w:r>
          </w:p>
        </w:tc>
      </w:tr>
      <w:tr>
        <w:trPr/>
        <w:tc>
          <w:tcPr>
            <w:tcW w:w="371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33333"/>
                <w:sz w:val="20"/>
              </w:rPr>
            </w:pPr>
            <w:r>
              <w:rPr>
                <w:rFonts w:ascii="Times New Roman;Times;Serif" w:hAnsi="Times New Roman;Times;Serif"/>
                <w:color w:val="333333"/>
                <w:sz w:val="20"/>
              </w:rPr>
              <w:t>Date of Manufacturing and Marketing Approval</w:t>
            </w:r>
          </w:p>
        </w:tc>
        <w:tc>
          <w:tcPr>
            <w:tcW w:w="64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33333"/>
                <w:sz w:val="20"/>
              </w:rPr>
            </w:pPr>
            <w:r>
              <w:rPr>
                <w:rFonts w:ascii="Times New Roman;Times;Serif" w:hAnsi="Times New Roman;Times;Serif"/>
                <w:color w:val="333333"/>
                <w:sz w:val="20"/>
              </w:rPr>
              <w:t>August 28, 2025</w:t>
            </w:r>
          </w:p>
        </w:tc>
      </w:tr>
      <w:tr>
        <w:trPr/>
        <w:tc>
          <w:tcPr>
            <w:tcW w:w="371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33333"/>
                <w:sz w:val="20"/>
              </w:rPr>
            </w:pPr>
            <w:r>
              <w:rPr>
                <w:rFonts w:ascii="Times New Roman;Times;Serif" w:hAnsi="Times New Roman;Times;Serif"/>
                <w:color w:val="333333"/>
                <w:sz w:val="20"/>
              </w:rPr>
              <w:t>Date of Launch in Japan</w:t>
            </w:r>
          </w:p>
        </w:tc>
        <w:tc>
          <w:tcPr>
            <w:tcW w:w="64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33333"/>
                <w:sz w:val="20"/>
              </w:rPr>
            </w:pPr>
            <w:r>
              <w:rPr>
                <w:rFonts w:ascii="Times New Roman;Times;Serif" w:hAnsi="Times New Roman;Times;Serif"/>
                <w:color w:val="333333"/>
                <w:sz w:val="20"/>
              </w:rPr>
              <w:t>September 26, 2025</w:t>
            </w:r>
          </w:p>
        </w:tc>
      </w:tr>
      <w:tr>
        <w:trPr/>
        <w:tc>
          <w:tcPr>
            <w:tcW w:w="371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color w:val="333333"/>
                <w:sz w:val="20"/>
              </w:rPr>
            </w:pPr>
            <w:r>
              <w:rPr>
                <w:rFonts w:ascii="Times New Roman;Times;Serif" w:hAnsi="Times New Roman;Times;Serif"/>
                <w:color w:val="333333"/>
                <w:sz w:val="20"/>
              </w:rPr>
              <w:t>Packaging</w:t>
            </w:r>
          </w:p>
        </w:tc>
        <w:tc>
          <w:tcPr>
            <w:tcW w:w="648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color w:val="333333"/>
                <w:sz w:val="20"/>
              </w:rPr>
            </w:pPr>
            <w:r>
              <w:rPr>
                <w:rFonts w:ascii="Times New Roman;Times;Serif" w:hAnsi="Times New Roman;Times;Serif"/>
                <w:color w:val="333333"/>
                <w:sz w:val="20"/>
              </w:rPr>
              <w:t>1 vial</w:t>
            </w:r>
          </w:p>
        </w:tc>
      </w:tr>
    </w:tbl>
    <w:p>
      <w:pPr>
        <w:pStyle w:val="TextBody"/>
        <w:bidi w:val="0"/>
        <w:spacing w:before="0" w:after="0"/>
        <w:ind w:left="280" w:right="280" w:firstLine="2976"/>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further information, please refer to the package insert.</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1141</Words>
  <Characters>6467</Characters>
  <CharactersWithSpaces>7592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