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&amp;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13G</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(Rule 13d-102)</w:t>
      </w:r>
    </w:p>
    <w:p>
      <w:pPr>
        <w:spacing w:after="0" w:line="207" w:lineRule="exact"/>
        <w:rPr>
          <w:sz w:val="24"/>
          <w:szCs w:val="24"/>
          <w:color w:val="auto"/>
        </w:rPr>
      </w:pPr>
    </w:p>
    <w:p>
      <w:pPr>
        <w:jc w:val="center"/>
        <w:ind w:left="340" w:right="2740"/>
        <w:spacing w:after="0" w:line="266" w:lineRule="auto"/>
        <w:rPr>
          <w:sz w:val="20"/>
          <w:szCs w:val="20"/>
          <w:color w:val="auto"/>
        </w:rPr>
      </w:pPr>
      <w:r>
        <w:rPr>
          <w:rFonts w:ascii="Times New Roman" w:cs="Times New Roman" w:eastAsia="Times New Roman" w:hAnsi="Times New Roman"/>
          <w:sz w:val="18"/>
          <w:szCs w:val="18"/>
          <w:color w:val="auto"/>
        </w:rPr>
        <w:t>INFORMATION TO BE INCLUDED IN STATEMENTS FILED PURSUANT TO RULES 13d-1(b), (c) AND (d) AND AMENDMENTS THERETO FILED PURSUANT TO RULE 13d-2</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_)*</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Arcturus Therapeutics Holdings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Stock</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03969T109</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September 1, 2020</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340" w:right="9540" w:hanging="8"/>
        <w:spacing w:after="0" w:line="226" w:lineRule="exact"/>
        <w:tabs>
          <w:tab w:leader="none" w:pos="6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w:t>
      </w: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 of 17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54"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purposes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766445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044" w:right="359" w:bottom="1440" w:gutter="0" w:footer="0" w:header="0"/>
        </w:sectPr>
      </w:pPr>
    </w:p>
    <w:bookmarkStart w:id="1" w:name="page2"/>
    <w:bookmarkEnd w:id="1"/>
    <w:p>
      <w:pPr>
        <w:spacing w:after="0"/>
        <w:tabs>
          <w:tab w:leader="none" w:pos="5460" w:val="left"/>
          <w:tab w:leader="none" w:pos="9860" w:val="left"/>
        </w:tabs>
        <w:rPr>
          <w:sz w:val="20"/>
          <w:szCs w:val="20"/>
          <w:color w:val="auto"/>
        </w:rPr>
      </w:pPr>
      <w:r>
        <w:rPr>
          <w:rFonts w:ascii="Times New Roman" w:cs="Times New Roman" w:eastAsia="Times New Roman" w:hAnsi="Times New Roman"/>
          <w:sz w:val="18"/>
          <w:szCs w:val="18"/>
          <w:color w:val="auto"/>
        </w:rPr>
        <w:t>CUSIP No. 03969T109</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2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p>
      <w:pPr>
        <w:ind w:left="1200" w:right="7260" w:hanging="730"/>
        <w:spacing w:after="0" w:line="312" w:lineRule="auto"/>
        <w:tabs>
          <w:tab w:leader="none" w:pos="12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HealthCor Management, L.P.</w:t>
      </w:r>
    </w:p>
    <w:p>
      <w:pPr>
        <w:spacing w:after="0" w:line="274" w:lineRule="exact"/>
        <w:rPr>
          <w:rFonts w:ascii="Times New Roman" w:cs="Times New Roman" w:eastAsia="Times New Roman" w:hAnsi="Times New Roman"/>
          <w:sz w:val="17"/>
          <w:szCs w:val="17"/>
          <w:color w:val="auto"/>
        </w:rPr>
      </w:pPr>
    </w:p>
    <w:p>
      <w:pPr>
        <w:ind w:left="1200" w:hanging="730"/>
        <w:spacing w:after="0"/>
        <w:tabs>
          <w:tab w:leader="none" w:pos="1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 w:lineRule="exact"/>
        <w:rPr>
          <w:sz w:val="20"/>
          <w:szCs w:val="20"/>
          <w:color w:val="auto"/>
        </w:rPr>
      </w:pPr>
    </w:p>
    <w:p>
      <w:pPr>
        <w:ind w:left="10240"/>
        <w:spacing w:after="0" w:line="207" w:lineRule="exact"/>
        <w:tabs>
          <w:tab w:leader="none" w:pos="106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ind w:left="10260"/>
        <w:spacing w:after="0" w:line="207" w:lineRule="exact"/>
        <w:tabs>
          <w:tab w:leader="none" w:pos="1068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ind w:left="1200" w:hanging="730"/>
        <w:spacing w:after="0"/>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right="6380" w:hanging="730"/>
        <w:spacing w:after="0" w:line="282" w:lineRule="auto"/>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spacing w:after="0"/>
              <w:rPr>
                <w:sz w:val="20"/>
                <w:szCs w:val="20"/>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2260" w:type="dxa"/>
            <w:vAlign w:val="bottom"/>
            <w:vMerge w:val="continue"/>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440" w:type="dxa"/>
            <w:vAlign w:val="bottom"/>
          </w:tcPr>
          <w:p>
            <w:pPr>
              <w:spacing w:after="0"/>
              <w:rPr>
                <w:sz w:val="18"/>
                <w:szCs w:val="18"/>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1,584,466</w:t>
            </w:r>
          </w:p>
        </w:tc>
        <w:tc>
          <w:tcPr>
            <w:tcW w:w="0" w:type="dxa"/>
            <w:vAlign w:val="bottom"/>
          </w:tcPr>
          <w:p>
            <w:pPr>
              <w:spacing w:after="0"/>
              <w:rPr>
                <w:sz w:val="1"/>
                <w:szCs w:val="1"/>
                <w:color w:val="auto"/>
              </w:rPr>
            </w:pPr>
          </w:p>
        </w:tc>
      </w:tr>
      <w:tr>
        <w:trPr>
          <w:trHeight w:val="108"/>
        </w:trPr>
        <w:tc>
          <w:tcPr>
            <w:tcW w:w="226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Borders>
              <w:bottom w:val="single" w:sz="8" w:color="auto"/>
            </w:tcBorders>
          </w:tcPr>
          <w:p>
            <w:pPr>
              <w:spacing w:after="0"/>
              <w:rPr>
                <w:sz w:val="9"/>
                <w:szCs w:val="9"/>
                <w:color w:val="auto"/>
              </w:rPr>
            </w:pPr>
          </w:p>
        </w:tc>
        <w:tc>
          <w:tcPr>
            <w:tcW w:w="8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260" w:type="dxa"/>
            <w:vAlign w:val="bottom"/>
            <w:vMerge w:val="continue"/>
          </w:tcPr>
          <w:p>
            <w:pPr>
              <w:spacing w:after="0"/>
              <w:rPr>
                <w:sz w:val="6"/>
                <w:szCs w:val="6"/>
                <w:color w:val="auto"/>
              </w:rPr>
            </w:pPr>
          </w:p>
        </w:tc>
        <w:tc>
          <w:tcPr>
            <w:tcW w:w="4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85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80"/>
        </w:trPr>
        <w:tc>
          <w:tcPr>
            <w:tcW w:w="2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EACH</w:t>
            </w:r>
          </w:p>
        </w:tc>
        <w:tc>
          <w:tcPr>
            <w:tcW w:w="44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440" w:type="dxa"/>
            <w:vAlign w:val="bottom"/>
          </w:tcPr>
          <w:p>
            <w:pPr>
              <w:spacing w:after="0"/>
              <w:rPr>
                <w:sz w:val="21"/>
                <w:szCs w:val="21"/>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440" w:type="dxa"/>
            <w:vAlign w:val="bottom"/>
            <w:tcBorders>
              <w:bottom w:val="single" w:sz="8" w:color="auto"/>
            </w:tcBorders>
          </w:tcPr>
          <w:p>
            <w:pPr>
              <w:spacing w:after="0"/>
              <w:rPr>
                <w:sz w:val="2"/>
                <w:szCs w:val="2"/>
                <w:color w:val="auto"/>
              </w:rPr>
            </w:pPr>
          </w:p>
        </w:tc>
        <w:tc>
          <w:tcPr>
            <w:tcW w:w="8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60" w:type="dxa"/>
            <w:vAlign w:val="bottom"/>
            <w:vMerge w:val="continue"/>
          </w:tcPr>
          <w:p>
            <w:pPr>
              <w:spacing w:after="0"/>
              <w:rPr>
                <w:sz w:val="15"/>
                <w:szCs w:val="15"/>
                <w:color w:val="auto"/>
              </w:rPr>
            </w:pPr>
          </w:p>
        </w:tc>
        <w:tc>
          <w:tcPr>
            <w:tcW w:w="4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85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63"/>
        </w:trPr>
        <w:tc>
          <w:tcPr>
            <w:tcW w:w="22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1,584,466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7" w:lineRule="exact"/>
        <w:rPr>
          <w:sz w:val="20"/>
          <w:szCs w:val="20"/>
          <w:color w:val="auto"/>
        </w:rPr>
      </w:pPr>
    </w:p>
    <w:p>
      <w:pPr>
        <w:ind w:left="1200" w:hanging="730"/>
        <w:spacing w:after="0"/>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1,584,466</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960" w:type="dxa"/>
            <w:vAlign w:val="bottom"/>
            <w:tcBorders>
              <w:bottom w:val="single" w:sz="8" w:color="auto"/>
            </w:tcBorders>
          </w:tcPr>
          <w:p>
            <w:pPr>
              <w:spacing w:after="0"/>
              <w:rPr>
                <w:sz w:val="5"/>
                <w:szCs w:val="5"/>
                <w:color w:val="auto"/>
              </w:rPr>
            </w:pPr>
          </w:p>
        </w:tc>
        <w:tc>
          <w:tcPr>
            <w:tcW w:w="854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40" w:type="dxa"/>
            <w:vAlign w:val="bottom"/>
            <w:vMerge w:val="restart"/>
          </w:tcPr>
          <w:p>
            <w:pPr>
              <w:ind w:left="12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960" w:type="dxa"/>
            <w:vAlign w:val="bottom"/>
          </w:tcPr>
          <w:p>
            <w:pPr>
              <w:spacing w:after="0"/>
              <w:rPr>
                <w:sz w:val="12"/>
                <w:szCs w:val="12"/>
                <w:color w:val="auto"/>
              </w:rPr>
            </w:pPr>
          </w:p>
        </w:tc>
        <w:tc>
          <w:tcPr>
            <w:tcW w:w="85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(see instructions)</w:t>
            </w: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960" w:type="dxa"/>
            <w:vAlign w:val="bottom"/>
          </w:tcPr>
          <w:p>
            <w:pPr>
              <w:spacing w:after="0"/>
              <w:rPr>
                <w:sz w:val="7"/>
                <w:szCs w:val="7"/>
                <w:color w:val="auto"/>
              </w:rPr>
            </w:pPr>
          </w:p>
        </w:tc>
        <w:tc>
          <w:tcPr>
            <w:tcW w:w="8540" w:type="dxa"/>
            <w:vAlign w:val="bottom"/>
            <w:vMerge w:val="continue"/>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3" w:lineRule="exact"/>
        <w:rPr>
          <w:sz w:val="20"/>
          <w:szCs w:val="20"/>
          <w:color w:val="auto"/>
        </w:rPr>
      </w:pPr>
    </w:p>
    <w:p>
      <w:pPr>
        <w:ind w:left="1200" w:right="4980" w:hanging="772"/>
        <w:spacing w:after="0" w:line="282" w:lineRule="auto"/>
        <w:tabs>
          <w:tab w:leader="none" w:pos="1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6.5%</w:t>
      </w:r>
    </w:p>
    <w:p>
      <w:pPr>
        <w:spacing w:after="0" w:line="67" w:lineRule="exact"/>
        <w:rPr>
          <w:rFonts w:ascii="Times New Roman" w:cs="Times New Roman" w:eastAsia="Times New Roman" w:hAnsi="Times New Roman"/>
          <w:sz w:val="18"/>
          <w:szCs w:val="18"/>
          <w:color w:val="auto"/>
        </w:rPr>
      </w:pPr>
    </w:p>
    <w:p>
      <w:pPr>
        <w:ind w:left="1200" w:hanging="775"/>
        <w:spacing w:after="0"/>
        <w:tabs>
          <w:tab w:leader="none" w:pos="1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tabs>
          <w:tab w:leader="none" w:pos="5460" w:val="left"/>
          <w:tab w:leader="none" w:pos="9860" w:val="left"/>
        </w:tabs>
        <w:rPr>
          <w:sz w:val="20"/>
          <w:szCs w:val="20"/>
          <w:color w:val="auto"/>
        </w:rPr>
      </w:pPr>
      <w:r>
        <w:rPr>
          <w:rFonts w:ascii="Times New Roman" w:cs="Times New Roman" w:eastAsia="Times New Roman" w:hAnsi="Times New Roman"/>
          <w:sz w:val="18"/>
          <w:szCs w:val="18"/>
          <w:color w:val="auto"/>
        </w:rPr>
        <w:t>CUSIP No. 03969T109</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3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3" w:lineRule="exact"/>
        <w:rPr>
          <w:sz w:val="20"/>
          <w:szCs w:val="20"/>
          <w:color w:val="auto"/>
        </w:rPr>
      </w:pPr>
    </w:p>
    <w:p>
      <w:pPr>
        <w:ind w:left="1200" w:right="7260" w:hanging="730"/>
        <w:spacing w:after="0" w:line="312" w:lineRule="auto"/>
        <w:tabs>
          <w:tab w:leader="none" w:pos="12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HealthCor Associates, LLC</w:t>
      </w:r>
    </w:p>
    <w:p>
      <w:pPr>
        <w:spacing w:after="0" w:line="274" w:lineRule="exact"/>
        <w:rPr>
          <w:rFonts w:ascii="Times New Roman" w:cs="Times New Roman" w:eastAsia="Times New Roman" w:hAnsi="Times New Roman"/>
          <w:sz w:val="17"/>
          <w:szCs w:val="17"/>
          <w:color w:val="auto"/>
        </w:rPr>
      </w:pPr>
    </w:p>
    <w:p>
      <w:pPr>
        <w:ind w:left="1200" w:hanging="730"/>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 w:lineRule="exact"/>
        <w:rPr>
          <w:sz w:val="20"/>
          <w:szCs w:val="20"/>
          <w:color w:val="auto"/>
        </w:rPr>
      </w:pPr>
    </w:p>
    <w:p>
      <w:pPr>
        <w:ind w:left="10240"/>
        <w:spacing w:after="0" w:line="207" w:lineRule="exact"/>
        <w:tabs>
          <w:tab w:leader="none" w:pos="106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ind w:left="10260"/>
        <w:spacing w:after="0" w:line="207" w:lineRule="exact"/>
        <w:tabs>
          <w:tab w:leader="none" w:pos="1068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ind w:left="1200" w:hanging="730"/>
        <w:spacing w:after="0"/>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right="6380" w:hanging="730"/>
        <w:spacing w:after="0" w:line="282" w:lineRule="auto"/>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spacing w:after="0"/>
              <w:rPr>
                <w:sz w:val="20"/>
                <w:szCs w:val="20"/>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2260" w:type="dxa"/>
            <w:vAlign w:val="bottom"/>
            <w:vMerge w:val="continue"/>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440" w:type="dxa"/>
            <w:vAlign w:val="bottom"/>
          </w:tcPr>
          <w:p>
            <w:pPr>
              <w:spacing w:after="0"/>
              <w:rPr>
                <w:sz w:val="18"/>
                <w:szCs w:val="18"/>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1,584,466</w:t>
            </w:r>
          </w:p>
        </w:tc>
        <w:tc>
          <w:tcPr>
            <w:tcW w:w="0" w:type="dxa"/>
            <w:vAlign w:val="bottom"/>
          </w:tcPr>
          <w:p>
            <w:pPr>
              <w:spacing w:after="0"/>
              <w:rPr>
                <w:sz w:val="1"/>
                <w:szCs w:val="1"/>
                <w:color w:val="auto"/>
              </w:rPr>
            </w:pPr>
          </w:p>
        </w:tc>
      </w:tr>
      <w:tr>
        <w:trPr>
          <w:trHeight w:val="108"/>
        </w:trPr>
        <w:tc>
          <w:tcPr>
            <w:tcW w:w="226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Borders>
              <w:bottom w:val="single" w:sz="8" w:color="auto"/>
            </w:tcBorders>
          </w:tcPr>
          <w:p>
            <w:pPr>
              <w:spacing w:after="0"/>
              <w:rPr>
                <w:sz w:val="9"/>
                <w:szCs w:val="9"/>
                <w:color w:val="auto"/>
              </w:rPr>
            </w:pPr>
          </w:p>
        </w:tc>
        <w:tc>
          <w:tcPr>
            <w:tcW w:w="8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260" w:type="dxa"/>
            <w:vAlign w:val="bottom"/>
            <w:vMerge w:val="continue"/>
          </w:tcPr>
          <w:p>
            <w:pPr>
              <w:spacing w:after="0"/>
              <w:rPr>
                <w:sz w:val="6"/>
                <w:szCs w:val="6"/>
                <w:color w:val="auto"/>
              </w:rPr>
            </w:pPr>
          </w:p>
        </w:tc>
        <w:tc>
          <w:tcPr>
            <w:tcW w:w="4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85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80"/>
        </w:trPr>
        <w:tc>
          <w:tcPr>
            <w:tcW w:w="2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EACH</w:t>
            </w:r>
          </w:p>
        </w:tc>
        <w:tc>
          <w:tcPr>
            <w:tcW w:w="44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440" w:type="dxa"/>
            <w:vAlign w:val="bottom"/>
          </w:tcPr>
          <w:p>
            <w:pPr>
              <w:spacing w:after="0"/>
              <w:rPr>
                <w:sz w:val="21"/>
                <w:szCs w:val="21"/>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440" w:type="dxa"/>
            <w:vAlign w:val="bottom"/>
            <w:tcBorders>
              <w:bottom w:val="single" w:sz="8" w:color="auto"/>
            </w:tcBorders>
          </w:tcPr>
          <w:p>
            <w:pPr>
              <w:spacing w:after="0"/>
              <w:rPr>
                <w:sz w:val="2"/>
                <w:szCs w:val="2"/>
                <w:color w:val="auto"/>
              </w:rPr>
            </w:pPr>
          </w:p>
        </w:tc>
        <w:tc>
          <w:tcPr>
            <w:tcW w:w="8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60" w:type="dxa"/>
            <w:vAlign w:val="bottom"/>
            <w:vMerge w:val="continue"/>
          </w:tcPr>
          <w:p>
            <w:pPr>
              <w:spacing w:after="0"/>
              <w:rPr>
                <w:sz w:val="15"/>
                <w:szCs w:val="15"/>
                <w:color w:val="auto"/>
              </w:rPr>
            </w:pPr>
          </w:p>
        </w:tc>
        <w:tc>
          <w:tcPr>
            <w:tcW w:w="4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85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63"/>
        </w:trPr>
        <w:tc>
          <w:tcPr>
            <w:tcW w:w="22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1,584,466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7" w:lineRule="exact"/>
        <w:rPr>
          <w:sz w:val="20"/>
          <w:szCs w:val="20"/>
          <w:color w:val="auto"/>
        </w:rPr>
      </w:pPr>
    </w:p>
    <w:p>
      <w:pPr>
        <w:ind w:left="1200" w:hanging="730"/>
        <w:spacing w:after="0"/>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1,584,466</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960" w:type="dxa"/>
            <w:vAlign w:val="bottom"/>
            <w:tcBorders>
              <w:bottom w:val="single" w:sz="8" w:color="auto"/>
            </w:tcBorders>
          </w:tcPr>
          <w:p>
            <w:pPr>
              <w:spacing w:after="0"/>
              <w:rPr>
                <w:sz w:val="5"/>
                <w:szCs w:val="5"/>
                <w:color w:val="auto"/>
              </w:rPr>
            </w:pPr>
          </w:p>
        </w:tc>
        <w:tc>
          <w:tcPr>
            <w:tcW w:w="854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40" w:type="dxa"/>
            <w:vAlign w:val="bottom"/>
            <w:vMerge w:val="restart"/>
          </w:tcPr>
          <w:p>
            <w:pPr>
              <w:ind w:left="12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960" w:type="dxa"/>
            <w:vAlign w:val="bottom"/>
          </w:tcPr>
          <w:p>
            <w:pPr>
              <w:spacing w:after="0"/>
              <w:rPr>
                <w:sz w:val="12"/>
                <w:szCs w:val="12"/>
                <w:color w:val="auto"/>
              </w:rPr>
            </w:pPr>
          </w:p>
        </w:tc>
        <w:tc>
          <w:tcPr>
            <w:tcW w:w="85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(see instructions)</w:t>
            </w: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960" w:type="dxa"/>
            <w:vAlign w:val="bottom"/>
          </w:tcPr>
          <w:p>
            <w:pPr>
              <w:spacing w:after="0"/>
              <w:rPr>
                <w:sz w:val="7"/>
                <w:szCs w:val="7"/>
                <w:color w:val="auto"/>
              </w:rPr>
            </w:pPr>
          </w:p>
        </w:tc>
        <w:tc>
          <w:tcPr>
            <w:tcW w:w="8540" w:type="dxa"/>
            <w:vAlign w:val="bottom"/>
            <w:vMerge w:val="continue"/>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3" w:lineRule="exact"/>
        <w:rPr>
          <w:sz w:val="20"/>
          <w:szCs w:val="20"/>
          <w:color w:val="auto"/>
        </w:rPr>
      </w:pPr>
    </w:p>
    <w:p>
      <w:pPr>
        <w:ind w:left="1200" w:right="4980" w:hanging="772"/>
        <w:spacing w:after="0" w:line="282" w:lineRule="auto"/>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6.5%</w:t>
      </w:r>
    </w:p>
    <w:p>
      <w:pPr>
        <w:spacing w:after="0" w:line="67" w:lineRule="exact"/>
        <w:rPr>
          <w:rFonts w:ascii="Times New Roman" w:cs="Times New Roman" w:eastAsia="Times New Roman" w:hAnsi="Times New Roman"/>
          <w:sz w:val="18"/>
          <w:szCs w:val="18"/>
          <w:color w:val="auto"/>
        </w:rPr>
      </w:pPr>
    </w:p>
    <w:p>
      <w:pPr>
        <w:ind w:left="1200" w:right="6260" w:hanging="775"/>
        <w:spacing w:after="0" w:line="532" w:lineRule="auto"/>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 -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tabs>
          <w:tab w:leader="none" w:pos="5460" w:val="left"/>
          <w:tab w:leader="none" w:pos="9860" w:val="left"/>
        </w:tabs>
        <w:rPr>
          <w:sz w:val="20"/>
          <w:szCs w:val="20"/>
          <w:color w:val="auto"/>
        </w:rPr>
      </w:pPr>
      <w:r>
        <w:rPr>
          <w:rFonts w:ascii="Times New Roman" w:cs="Times New Roman" w:eastAsia="Times New Roman" w:hAnsi="Times New Roman"/>
          <w:sz w:val="18"/>
          <w:szCs w:val="18"/>
          <w:color w:val="auto"/>
        </w:rPr>
        <w:t>CUSIP No. 03969T109</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4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p>
      <w:pPr>
        <w:jc w:val="both"/>
        <w:ind w:left="1200" w:right="7260" w:hanging="730"/>
        <w:spacing w:after="0" w:line="312" w:lineRule="auto"/>
        <w:tabs>
          <w:tab w:leader="none" w:pos="12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HealthCor Offshore Master Fund, L.P.</w:t>
      </w:r>
    </w:p>
    <w:p>
      <w:pPr>
        <w:spacing w:after="0" w:line="274" w:lineRule="exact"/>
        <w:rPr>
          <w:rFonts w:ascii="Times New Roman" w:cs="Times New Roman" w:eastAsia="Times New Roman" w:hAnsi="Times New Roman"/>
          <w:sz w:val="17"/>
          <w:szCs w:val="17"/>
          <w:color w:val="auto"/>
        </w:rPr>
      </w:pPr>
    </w:p>
    <w:p>
      <w:pPr>
        <w:ind w:left="1200" w:hanging="730"/>
        <w:spacing w:after="0"/>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 w:lineRule="exact"/>
        <w:rPr>
          <w:sz w:val="20"/>
          <w:szCs w:val="20"/>
          <w:color w:val="auto"/>
        </w:rPr>
      </w:pPr>
    </w:p>
    <w:p>
      <w:pPr>
        <w:ind w:left="10240"/>
        <w:spacing w:after="0" w:line="207" w:lineRule="exact"/>
        <w:tabs>
          <w:tab w:leader="none" w:pos="106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ind w:left="10260"/>
        <w:spacing w:after="0" w:line="207" w:lineRule="exact"/>
        <w:tabs>
          <w:tab w:leader="none" w:pos="1068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ind w:left="1200" w:hanging="730"/>
        <w:spacing w:after="0"/>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right="6380" w:hanging="730"/>
        <w:spacing w:after="0" w:line="282" w:lineRule="auto"/>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spacing w:after="0"/>
              <w:rPr>
                <w:sz w:val="20"/>
                <w:szCs w:val="20"/>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2260" w:type="dxa"/>
            <w:vAlign w:val="bottom"/>
            <w:vMerge w:val="continue"/>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440" w:type="dxa"/>
            <w:vAlign w:val="bottom"/>
          </w:tcPr>
          <w:p>
            <w:pPr>
              <w:spacing w:after="0"/>
              <w:rPr>
                <w:sz w:val="18"/>
                <w:szCs w:val="18"/>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292,705</w:t>
            </w:r>
          </w:p>
        </w:tc>
        <w:tc>
          <w:tcPr>
            <w:tcW w:w="0" w:type="dxa"/>
            <w:vAlign w:val="bottom"/>
          </w:tcPr>
          <w:p>
            <w:pPr>
              <w:spacing w:after="0"/>
              <w:rPr>
                <w:sz w:val="1"/>
                <w:szCs w:val="1"/>
                <w:color w:val="auto"/>
              </w:rPr>
            </w:pPr>
          </w:p>
        </w:tc>
      </w:tr>
      <w:tr>
        <w:trPr>
          <w:trHeight w:val="108"/>
        </w:trPr>
        <w:tc>
          <w:tcPr>
            <w:tcW w:w="226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Borders>
              <w:bottom w:val="single" w:sz="8" w:color="auto"/>
            </w:tcBorders>
          </w:tcPr>
          <w:p>
            <w:pPr>
              <w:spacing w:after="0"/>
              <w:rPr>
                <w:sz w:val="9"/>
                <w:szCs w:val="9"/>
                <w:color w:val="auto"/>
              </w:rPr>
            </w:pPr>
          </w:p>
        </w:tc>
        <w:tc>
          <w:tcPr>
            <w:tcW w:w="8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260" w:type="dxa"/>
            <w:vAlign w:val="bottom"/>
            <w:vMerge w:val="continue"/>
          </w:tcPr>
          <w:p>
            <w:pPr>
              <w:spacing w:after="0"/>
              <w:rPr>
                <w:sz w:val="6"/>
                <w:szCs w:val="6"/>
                <w:color w:val="auto"/>
              </w:rPr>
            </w:pPr>
          </w:p>
        </w:tc>
        <w:tc>
          <w:tcPr>
            <w:tcW w:w="4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85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80"/>
        </w:trPr>
        <w:tc>
          <w:tcPr>
            <w:tcW w:w="2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EACH</w:t>
            </w:r>
          </w:p>
        </w:tc>
        <w:tc>
          <w:tcPr>
            <w:tcW w:w="44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440" w:type="dxa"/>
            <w:vAlign w:val="bottom"/>
          </w:tcPr>
          <w:p>
            <w:pPr>
              <w:spacing w:after="0"/>
              <w:rPr>
                <w:sz w:val="21"/>
                <w:szCs w:val="21"/>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440" w:type="dxa"/>
            <w:vAlign w:val="bottom"/>
            <w:tcBorders>
              <w:bottom w:val="single" w:sz="8" w:color="auto"/>
            </w:tcBorders>
          </w:tcPr>
          <w:p>
            <w:pPr>
              <w:spacing w:after="0"/>
              <w:rPr>
                <w:sz w:val="2"/>
                <w:szCs w:val="2"/>
                <w:color w:val="auto"/>
              </w:rPr>
            </w:pPr>
          </w:p>
        </w:tc>
        <w:tc>
          <w:tcPr>
            <w:tcW w:w="8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60" w:type="dxa"/>
            <w:vAlign w:val="bottom"/>
            <w:vMerge w:val="continue"/>
          </w:tcPr>
          <w:p>
            <w:pPr>
              <w:spacing w:after="0"/>
              <w:rPr>
                <w:sz w:val="15"/>
                <w:szCs w:val="15"/>
                <w:color w:val="auto"/>
              </w:rPr>
            </w:pPr>
          </w:p>
        </w:tc>
        <w:tc>
          <w:tcPr>
            <w:tcW w:w="4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85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63"/>
        </w:trPr>
        <w:tc>
          <w:tcPr>
            <w:tcW w:w="22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292,705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7" w:lineRule="exact"/>
        <w:rPr>
          <w:sz w:val="20"/>
          <w:szCs w:val="20"/>
          <w:color w:val="auto"/>
        </w:rPr>
      </w:pPr>
    </w:p>
    <w:p>
      <w:pPr>
        <w:ind w:left="1200" w:hanging="730"/>
        <w:spacing w:after="0"/>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292,705</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960" w:type="dxa"/>
            <w:vAlign w:val="bottom"/>
            <w:tcBorders>
              <w:bottom w:val="single" w:sz="8" w:color="auto"/>
            </w:tcBorders>
          </w:tcPr>
          <w:p>
            <w:pPr>
              <w:spacing w:after="0"/>
              <w:rPr>
                <w:sz w:val="5"/>
                <w:szCs w:val="5"/>
                <w:color w:val="auto"/>
              </w:rPr>
            </w:pPr>
          </w:p>
        </w:tc>
        <w:tc>
          <w:tcPr>
            <w:tcW w:w="854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40" w:type="dxa"/>
            <w:vAlign w:val="bottom"/>
            <w:vMerge w:val="restart"/>
          </w:tcPr>
          <w:p>
            <w:pPr>
              <w:ind w:left="12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960" w:type="dxa"/>
            <w:vAlign w:val="bottom"/>
          </w:tcPr>
          <w:p>
            <w:pPr>
              <w:spacing w:after="0"/>
              <w:rPr>
                <w:sz w:val="12"/>
                <w:szCs w:val="12"/>
                <w:color w:val="auto"/>
              </w:rPr>
            </w:pPr>
          </w:p>
        </w:tc>
        <w:tc>
          <w:tcPr>
            <w:tcW w:w="85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(see instructions)</w:t>
            </w: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960" w:type="dxa"/>
            <w:vAlign w:val="bottom"/>
          </w:tcPr>
          <w:p>
            <w:pPr>
              <w:spacing w:after="0"/>
              <w:rPr>
                <w:sz w:val="7"/>
                <w:szCs w:val="7"/>
                <w:color w:val="auto"/>
              </w:rPr>
            </w:pPr>
          </w:p>
        </w:tc>
        <w:tc>
          <w:tcPr>
            <w:tcW w:w="8540" w:type="dxa"/>
            <w:vAlign w:val="bottom"/>
            <w:vMerge w:val="continue"/>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3" w:lineRule="exact"/>
        <w:rPr>
          <w:sz w:val="20"/>
          <w:szCs w:val="20"/>
          <w:color w:val="auto"/>
        </w:rPr>
      </w:pPr>
    </w:p>
    <w:p>
      <w:pPr>
        <w:ind w:left="1200" w:right="4980" w:hanging="772"/>
        <w:spacing w:after="0" w:line="282" w:lineRule="auto"/>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1.2%</w:t>
      </w:r>
    </w:p>
    <w:p>
      <w:pPr>
        <w:spacing w:after="0" w:line="67" w:lineRule="exact"/>
        <w:rPr>
          <w:rFonts w:ascii="Times New Roman" w:cs="Times New Roman" w:eastAsia="Times New Roman" w:hAnsi="Times New Roman"/>
          <w:sz w:val="18"/>
          <w:szCs w:val="18"/>
          <w:color w:val="auto"/>
        </w:rPr>
      </w:pPr>
    </w:p>
    <w:p>
      <w:pPr>
        <w:ind w:left="1200" w:hanging="775"/>
        <w:spacing w:after="0"/>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tabs>
          <w:tab w:leader="none" w:pos="5460" w:val="left"/>
          <w:tab w:leader="none" w:pos="9860" w:val="left"/>
        </w:tabs>
        <w:rPr>
          <w:sz w:val="20"/>
          <w:szCs w:val="20"/>
          <w:color w:val="auto"/>
        </w:rPr>
      </w:pPr>
      <w:r>
        <w:rPr>
          <w:rFonts w:ascii="Times New Roman" w:cs="Times New Roman" w:eastAsia="Times New Roman" w:hAnsi="Times New Roman"/>
          <w:sz w:val="18"/>
          <w:szCs w:val="18"/>
          <w:color w:val="auto"/>
        </w:rPr>
        <w:t>CUSIP No. 03969T109</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5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3" w:lineRule="exact"/>
        <w:rPr>
          <w:sz w:val="20"/>
          <w:szCs w:val="20"/>
          <w:color w:val="auto"/>
        </w:rPr>
      </w:pPr>
    </w:p>
    <w:p>
      <w:pPr>
        <w:ind w:left="1200" w:right="7260" w:hanging="730"/>
        <w:spacing w:after="0" w:line="312" w:lineRule="auto"/>
        <w:tabs>
          <w:tab w:leader="none" w:pos="12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HealthCor Offshore GP, LLC</w:t>
      </w:r>
    </w:p>
    <w:p>
      <w:pPr>
        <w:spacing w:after="0" w:line="274" w:lineRule="exact"/>
        <w:rPr>
          <w:rFonts w:ascii="Times New Roman" w:cs="Times New Roman" w:eastAsia="Times New Roman" w:hAnsi="Times New Roman"/>
          <w:sz w:val="17"/>
          <w:szCs w:val="17"/>
          <w:color w:val="auto"/>
        </w:rPr>
      </w:pPr>
    </w:p>
    <w:p>
      <w:pPr>
        <w:ind w:left="1200" w:hanging="730"/>
        <w:spacing w:after="0"/>
        <w:tabs>
          <w:tab w:leader="none" w:pos="1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 w:lineRule="exact"/>
        <w:rPr>
          <w:sz w:val="20"/>
          <w:szCs w:val="20"/>
          <w:color w:val="auto"/>
        </w:rPr>
      </w:pPr>
    </w:p>
    <w:p>
      <w:pPr>
        <w:ind w:left="10240"/>
        <w:spacing w:after="0" w:line="207" w:lineRule="exact"/>
        <w:tabs>
          <w:tab w:leader="none" w:pos="106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ind w:left="10260"/>
        <w:spacing w:after="0" w:line="207" w:lineRule="exact"/>
        <w:tabs>
          <w:tab w:leader="none" w:pos="1068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ind w:left="1200" w:hanging="730"/>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right="6380" w:hanging="730"/>
        <w:spacing w:after="0" w:line="282" w:lineRule="auto"/>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spacing w:after="0"/>
              <w:rPr>
                <w:sz w:val="20"/>
                <w:szCs w:val="20"/>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2260" w:type="dxa"/>
            <w:vAlign w:val="bottom"/>
            <w:vMerge w:val="continue"/>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440" w:type="dxa"/>
            <w:vAlign w:val="bottom"/>
          </w:tcPr>
          <w:p>
            <w:pPr>
              <w:spacing w:after="0"/>
              <w:rPr>
                <w:sz w:val="18"/>
                <w:szCs w:val="18"/>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292,705</w:t>
            </w:r>
          </w:p>
        </w:tc>
        <w:tc>
          <w:tcPr>
            <w:tcW w:w="0" w:type="dxa"/>
            <w:vAlign w:val="bottom"/>
          </w:tcPr>
          <w:p>
            <w:pPr>
              <w:spacing w:after="0"/>
              <w:rPr>
                <w:sz w:val="1"/>
                <w:szCs w:val="1"/>
                <w:color w:val="auto"/>
              </w:rPr>
            </w:pPr>
          </w:p>
        </w:tc>
      </w:tr>
      <w:tr>
        <w:trPr>
          <w:trHeight w:val="108"/>
        </w:trPr>
        <w:tc>
          <w:tcPr>
            <w:tcW w:w="226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Borders>
              <w:bottom w:val="single" w:sz="8" w:color="auto"/>
            </w:tcBorders>
          </w:tcPr>
          <w:p>
            <w:pPr>
              <w:spacing w:after="0"/>
              <w:rPr>
                <w:sz w:val="9"/>
                <w:szCs w:val="9"/>
                <w:color w:val="auto"/>
              </w:rPr>
            </w:pPr>
          </w:p>
        </w:tc>
        <w:tc>
          <w:tcPr>
            <w:tcW w:w="8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260" w:type="dxa"/>
            <w:vAlign w:val="bottom"/>
            <w:vMerge w:val="continue"/>
          </w:tcPr>
          <w:p>
            <w:pPr>
              <w:spacing w:after="0"/>
              <w:rPr>
                <w:sz w:val="6"/>
                <w:szCs w:val="6"/>
                <w:color w:val="auto"/>
              </w:rPr>
            </w:pPr>
          </w:p>
        </w:tc>
        <w:tc>
          <w:tcPr>
            <w:tcW w:w="4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85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80"/>
        </w:trPr>
        <w:tc>
          <w:tcPr>
            <w:tcW w:w="2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EACH</w:t>
            </w:r>
          </w:p>
        </w:tc>
        <w:tc>
          <w:tcPr>
            <w:tcW w:w="44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440" w:type="dxa"/>
            <w:vAlign w:val="bottom"/>
          </w:tcPr>
          <w:p>
            <w:pPr>
              <w:spacing w:after="0"/>
              <w:rPr>
                <w:sz w:val="21"/>
                <w:szCs w:val="21"/>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440" w:type="dxa"/>
            <w:vAlign w:val="bottom"/>
            <w:tcBorders>
              <w:bottom w:val="single" w:sz="8" w:color="auto"/>
            </w:tcBorders>
          </w:tcPr>
          <w:p>
            <w:pPr>
              <w:spacing w:after="0"/>
              <w:rPr>
                <w:sz w:val="2"/>
                <w:szCs w:val="2"/>
                <w:color w:val="auto"/>
              </w:rPr>
            </w:pPr>
          </w:p>
        </w:tc>
        <w:tc>
          <w:tcPr>
            <w:tcW w:w="8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60" w:type="dxa"/>
            <w:vAlign w:val="bottom"/>
            <w:vMerge w:val="continue"/>
          </w:tcPr>
          <w:p>
            <w:pPr>
              <w:spacing w:after="0"/>
              <w:rPr>
                <w:sz w:val="15"/>
                <w:szCs w:val="15"/>
                <w:color w:val="auto"/>
              </w:rPr>
            </w:pPr>
          </w:p>
        </w:tc>
        <w:tc>
          <w:tcPr>
            <w:tcW w:w="4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85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63"/>
        </w:trPr>
        <w:tc>
          <w:tcPr>
            <w:tcW w:w="22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292,705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7" w:lineRule="exact"/>
        <w:rPr>
          <w:sz w:val="20"/>
          <w:szCs w:val="20"/>
          <w:color w:val="auto"/>
        </w:rPr>
      </w:pPr>
    </w:p>
    <w:p>
      <w:pPr>
        <w:ind w:left="1200" w:hanging="730"/>
        <w:spacing w:after="0"/>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292,705</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960" w:type="dxa"/>
            <w:vAlign w:val="bottom"/>
            <w:tcBorders>
              <w:bottom w:val="single" w:sz="8" w:color="auto"/>
            </w:tcBorders>
          </w:tcPr>
          <w:p>
            <w:pPr>
              <w:spacing w:after="0"/>
              <w:rPr>
                <w:sz w:val="5"/>
                <w:szCs w:val="5"/>
                <w:color w:val="auto"/>
              </w:rPr>
            </w:pPr>
          </w:p>
        </w:tc>
        <w:tc>
          <w:tcPr>
            <w:tcW w:w="854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40" w:type="dxa"/>
            <w:vAlign w:val="bottom"/>
            <w:vMerge w:val="restart"/>
          </w:tcPr>
          <w:p>
            <w:pPr>
              <w:ind w:left="12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960" w:type="dxa"/>
            <w:vAlign w:val="bottom"/>
          </w:tcPr>
          <w:p>
            <w:pPr>
              <w:spacing w:after="0"/>
              <w:rPr>
                <w:sz w:val="12"/>
                <w:szCs w:val="12"/>
                <w:color w:val="auto"/>
              </w:rPr>
            </w:pPr>
          </w:p>
        </w:tc>
        <w:tc>
          <w:tcPr>
            <w:tcW w:w="85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(see instructions)</w:t>
            </w: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960" w:type="dxa"/>
            <w:vAlign w:val="bottom"/>
          </w:tcPr>
          <w:p>
            <w:pPr>
              <w:spacing w:after="0"/>
              <w:rPr>
                <w:sz w:val="7"/>
                <w:szCs w:val="7"/>
                <w:color w:val="auto"/>
              </w:rPr>
            </w:pPr>
          </w:p>
        </w:tc>
        <w:tc>
          <w:tcPr>
            <w:tcW w:w="8540" w:type="dxa"/>
            <w:vAlign w:val="bottom"/>
            <w:vMerge w:val="continue"/>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3" w:lineRule="exact"/>
        <w:rPr>
          <w:sz w:val="20"/>
          <w:szCs w:val="20"/>
          <w:color w:val="auto"/>
        </w:rPr>
      </w:pPr>
    </w:p>
    <w:p>
      <w:pPr>
        <w:ind w:left="1200" w:right="4980" w:hanging="772"/>
        <w:spacing w:after="0" w:line="282" w:lineRule="auto"/>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1.2%</w:t>
      </w:r>
    </w:p>
    <w:p>
      <w:pPr>
        <w:spacing w:after="0" w:line="67" w:lineRule="exact"/>
        <w:rPr>
          <w:rFonts w:ascii="Times New Roman" w:cs="Times New Roman" w:eastAsia="Times New Roman" w:hAnsi="Times New Roman"/>
          <w:sz w:val="18"/>
          <w:szCs w:val="18"/>
          <w:color w:val="auto"/>
        </w:rPr>
      </w:pPr>
    </w:p>
    <w:p>
      <w:pPr>
        <w:ind w:left="1200" w:right="6260" w:hanging="775"/>
        <w:spacing w:after="0" w:line="532" w:lineRule="auto"/>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 –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tabs>
          <w:tab w:leader="none" w:pos="5460" w:val="left"/>
          <w:tab w:leader="none" w:pos="9860" w:val="left"/>
        </w:tabs>
        <w:rPr>
          <w:sz w:val="20"/>
          <w:szCs w:val="20"/>
          <w:color w:val="auto"/>
        </w:rPr>
      </w:pPr>
      <w:r>
        <w:rPr>
          <w:rFonts w:ascii="Times New Roman" w:cs="Times New Roman" w:eastAsia="Times New Roman" w:hAnsi="Times New Roman"/>
          <w:sz w:val="18"/>
          <w:szCs w:val="18"/>
          <w:color w:val="auto"/>
        </w:rPr>
        <w:t>CUSIP No. 03969T109</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6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3" w:lineRule="exact"/>
        <w:rPr>
          <w:sz w:val="20"/>
          <w:szCs w:val="20"/>
          <w:color w:val="auto"/>
        </w:rPr>
      </w:pPr>
    </w:p>
    <w:p>
      <w:pPr>
        <w:ind w:left="1200" w:right="7260" w:hanging="730"/>
        <w:spacing w:after="0" w:line="282" w:lineRule="auto"/>
        <w:tabs>
          <w:tab w:leader="none" w:pos="12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HealthCor Group, LLC</w:t>
      </w:r>
    </w:p>
    <w:p>
      <w:pPr>
        <w:spacing w:after="0" w:line="296" w:lineRule="exact"/>
        <w:rPr>
          <w:rFonts w:ascii="Times New Roman" w:cs="Times New Roman" w:eastAsia="Times New Roman" w:hAnsi="Times New Roman"/>
          <w:sz w:val="18"/>
          <w:szCs w:val="18"/>
          <w:color w:val="auto"/>
        </w:rPr>
      </w:pPr>
    </w:p>
    <w:p>
      <w:pPr>
        <w:ind w:left="1200" w:hanging="730"/>
        <w:spacing w:after="0"/>
        <w:tabs>
          <w:tab w:leader="none" w:pos="12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 w:lineRule="exact"/>
        <w:rPr>
          <w:sz w:val="20"/>
          <w:szCs w:val="20"/>
          <w:color w:val="auto"/>
        </w:rPr>
      </w:pPr>
    </w:p>
    <w:p>
      <w:pPr>
        <w:ind w:left="10240"/>
        <w:spacing w:after="0" w:line="207" w:lineRule="exact"/>
        <w:tabs>
          <w:tab w:leader="none" w:pos="106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ind w:left="10260"/>
        <w:spacing w:after="0" w:line="207" w:lineRule="exact"/>
        <w:tabs>
          <w:tab w:leader="none" w:pos="1068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ind w:left="1200" w:hanging="730"/>
        <w:spacing w:after="0"/>
        <w:tabs>
          <w:tab w:leader="none" w:pos="1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right="6380" w:hanging="730"/>
        <w:spacing w:after="0" w:line="282" w:lineRule="auto"/>
        <w:tabs>
          <w:tab w:leader="none" w:pos="1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spacing w:after="0"/>
              <w:rPr>
                <w:sz w:val="20"/>
                <w:szCs w:val="20"/>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2260" w:type="dxa"/>
            <w:vAlign w:val="bottom"/>
            <w:vMerge w:val="continue"/>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440" w:type="dxa"/>
            <w:vAlign w:val="bottom"/>
          </w:tcPr>
          <w:p>
            <w:pPr>
              <w:spacing w:after="0"/>
              <w:rPr>
                <w:sz w:val="18"/>
                <w:szCs w:val="18"/>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830,270</w:t>
            </w:r>
          </w:p>
        </w:tc>
        <w:tc>
          <w:tcPr>
            <w:tcW w:w="0" w:type="dxa"/>
            <w:vAlign w:val="bottom"/>
          </w:tcPr>
          <w:p>
            <w:pPr>
              <w:spacing w:after="0"/>
              <w:rPr>
                <w:sz w:val="1"/>
                <w:szCs w:val="1"/>
                <w:color w:val="auto"/>
              </w:rPr>
            </w:pPr>
          </w:p>
        </w:tc>
      </w:tr>
      <w:tr>
        <w:trPr>
          <w:trHeight w:val="108"/>
        </w:trPr>
        <w:tc>
          <w:tcPr>
            <w:tcW w:w="226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Borders>
              <w:bottom w:val="single" w:sz="8" w:color="auto"/>
            </w:tcBorders>
          </w:tcPr>
          <w:p>
            <w:pPr>
              <w:spacing w:after="0"/>
              <w:rPr>
                <w:sz w:val="9"/>
                <w:szCs w:val="9"/>
                <w:color w:val="auto"/>
              </w:rPr>
            </w:pPr>
          </w:p>
        </w:tc>
        <w:tc>
          <w:tcPr>
            <w:tcW w:w="8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260" w:type="dxa"/>
            <w:vAlign w:val="bottom"/>
            <w:vMerge w:val="continue"/>
          </w:tcPr>
          <w:p>
            <w:pPr>
              <w:spacing w:after="0"/>
              <w:rPr>
                <w:sz w:val="6"/>
                <w:szCs w:val="6"/>
                <w:color w:val="auto"/>
              </w:rPr>
            </w:pPr>
          </w:p>
        </w:tc>
        <w:tc>
          <w:tcPr>
            <w:tcW w:w="4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85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80"/>
        </w:trPr>
        <w:tc>
          <w:tcPr>
            <w:tcW w:w="2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EACH</w:t>
            </w:r>
          </w:p>
        </w:tc>
        <w:tc>
          <w:tcPr>
            <w:tcW w:w="44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440" w:type="dxa"/>
            <w:vAlign w:val="bottom"/>
          </w:tcPr>
          <w:p>
            <w:pPr>
              <w:spacing w:after="0"/>
              <w:rPr>
                <w:sz w:val="21"/>
                <w:szCs w:val="21"/>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440" w:type="dxa"/>
            <w:vAlign w:val="bottom"/>
            <w:tcBorders>
              <w:bottom w:val="single" w:sz="8" w:color="auto"/>
            </w:tcBorders>
          </w:tcPr>
          <w:p>
            <w:pPr>
              <w:spacing w:after="0"/>
              <w:rPr>
                <w:sz w:val="2"/>
                <w:szCs w:val="2"/>
                <w:color w:val="auto"/>
              </w:rPr>
            </w:pPr>
          </w:p>
        </w:tc>
        <w:tc>
          <w:tcPr>
            <w:tcW w:w="8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60" w:type="dxa"/>
            <w:vAlign w:val="bottom"/>
            <w:vMerge w:val="continue"/>
          </w:tcPr>
          <w:p>
            <w:pPr>
              <w:spacing w:after="0"/>
              <w:rPr>
                <w:sz w:val="15"/>
                <w:szCs w:val="15"/>
                <w:color w:val="auto"/>
              </w:rPr>
            </w:pPr>
          </w:p>
        </w:tc>
        <w:tc>
          <w:tcPr>
            <w:tcW w:w="4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85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63"/>
        </w:trPr>
        <w:tc>
          <w:tcPr>
            <w:tcW w:w="22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830,270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7" w:lineRule="exact"/>
        <w:rPr>
          <w:sz w:val="20"/>
          <w:szCs w:val="20"/>
          <w:color w:val="auto"/>
        </w:rPr>
      </w:pPr>
    </w:p>
    <w:p>
      <w:pPr>
        <w:ind w:left="1200" w:hanging="730"/>
        <w:spacing w:after="0"/>
        <w:tabs>
          <w:tab w:leader="none" w:pos="1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830,270</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960" w:type="dxa"/>
            <w:vAlign w:val="bottom"/>
            <w:tcBorders>
              <w:bottom w:val="single" w:sz="8" w:color="auto"/>
            </w:tcBorders>
          </w:tcPr>
          <w:p>
            <w:pPr>
              <w:spacing w:after="0"/>
              <w:rPr>
                <w:sz w:val="5"/>
                <w:szCs w:val="5"/>
                <w:color w:val="auto"/>
              </w:rPr>
            </w:pPr>
          </w:p>
        </w:tc>
        <w:tc>
          <w:tcPr>
            <w:tcW w:w="854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40" w:type="dxa"/>
            <w:vAlign w:val="bottom"/>
            <w:vMerge w:val="restart"/>
          </w:tcPr>
          <w:p>
            <w:pPr>
              <w:ind w:left="12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960" w:type="dxa"/>
            <w:vAlign w:val="bottom"/>
          </w:tcPr>
          <w:p>
            <w:pPr>
              <w:spacing w:after="0"/>
              <w:rPr>
                <w:sz w:val="12"/>
                <w:szCs w:val="12"/>
                <w:color w:val="auto"/>
              </w:rPr>
            </w:pPr>
          </w:p>
        </w:tc>
        <w:tc>
          <w:tcPr>
            <w:tcW w:w="85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(see instructions)</w:t>
            </w: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960" w:type="dxa"/>
            <w:vAlign w:val="bottom"/>
          </w:tcPr>
          <w:p>
            <w:pPr>
              <w:spacing w:after="0"/>
              <w:rPr>
                <w:sz w:val="7"/>
                <w:szCs w:val="7"/>
                <w:color w:val="auto"/>
              </w:rPr>
            </w:pPr>
          </w:p>
        </w:tc>
        <w:tc>
          <w:tcPr>
            <w:tcW w:w="8540" w:type="dxa"/>
            <w:vAlign w:val="bottom"/>
            <w:vMerge w:val="continue"/>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3" w:lineRule="exact"/>
        <w:rPr>
          <w:sz w:val="20"/>
          <w:szCs w:val="20"/>
          <w:color w:val="auto"/>
        </w:rPr>
      </w:pPr>
    </w:p>
    <w:p>
      <w:pPr>
        <w:ind w:left="1200" w:right="4980" w:hanging="772"/>
        <w:spacing w:after="0" w:line="282" w:lineRule="auto"/>
        <w:tabs>
          <w:tab w:leader="none" w:pos="1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3.4%</w:t>
      </w:r>
    </w:p>
    <w:p>
      <w:pPr>
        <w:spacing w:after="0" w:line="67" w:lineRule="exact"/>
        <w:rPr>
          <w:rFonts w:ascii="Times New Roman" w:cs="Times New Roman" w:eastAsia="Times New Roman" w:hAnsi="Times New Roman"/>
          <w:sz w:val="18"/>
          <w:szCs w:val="18"/>
          <w:color w:val="auto"/>
        </w:rPr>
      </w:pPr>
    </w:p>
    <w:p>
      <w:pPr>
        <w:ind w:left="1200" w:right="6260" w:hanging="775"/>
        <w:spacing w:after="0" w:line="532" w:lineRule="auto"/>
        <w:tabs>
          <w:tab w:leader="none" w:pos="1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 –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tabs>
          <w:tab w:leader="none" w:pos="5460" w:val="left"/>
          <w:tab w:leader="none" w:pos="9860" w:val="left"/>
        </w:tabs>
        <w:rPr>
          <w:sz w:val="20"/>
          <w:szCs w:val="20"/>
          <w:color w:val="auto"/>
        </w:rPr>
      </w:pPr>
      <w:r>
        <w:rPr>
          <w:rFonts w:ascii="Times New Roman" w:cs="Times New Roman" w:eastAsia="Times New Roman" w:hAnsi="Times New Roman"/>
          <w:sz w:val="18"/>
          <w:szCs w:val="18"/>
          <w:color w:val="auto"/>
        </w:rPr>
        <w:t>CUSIP No. 03969T109</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7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3" w:lineRule="exact"/>
        <w:rPr>
          <w:sz w:val="20"/>
          <w:szCs w:val="20"/>
          <w:color w:val="auto"/>
        </w:rPr>
      </w:pPr>
    </w:p>
    <w:p>
      <w:pPr>
        <w:ind w:left="1200" w:right="7260" w:hanging="730"/>
        <w:spacing w:after="0" w:line="282" w:lineRule="auto"/>
        <w:tabs>
          <w:tab w:leader="none" w:pos="12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Arthur Cohen</w:t>
      </w:r>
    </w:p>
    <w:p>
      <w:pPr>
        <w:spacing w:after="0" w:line="296" w:lineRule="exact"/>
        <w:rPr>
          <w:rFonts w:ascii="Times New Roman" w:cs="Times New Roman" w:eastAsia="Times New Roman" w:hAnsi="Times New Roman"/>
          <w:sz w:val="18"/>
          <w:szCs w:val="18"/>
          <w:color w:val="auto"/>
        </w:rPr>
      </w:pPr>
    </w:p>
    <w:p>
      <w:pPr>
        <w:ind w:left="1200" w:hanging="730"/>
        <w:spacing w:after="0"/>
        <w:tabs>
          <w:tab w:leader="none" w:pos="12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 w:lineRule="exact"/>
        <w:rPr>
          <w:sz w:val="20"/>
          <w:szCs w:val="20"/>
          <w:color w:val="auto"/>
        </w:rPr>
      </w:pPr>
    </w:p>
    <w:p>
      <w:pPr>
        <w:ind w:left="10240"/>
        <w:spacing w:after="0" w:line="207" w:lineRule="exact"/>
        <w:tabs>
          <w:tab w:leader="none" w:pos="106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ind w:left="10260"/>
        <w:spacing w:after="0" w:line="207" w:lineRule="exact"/>
        <w:tabs>
          <w:tab w:leader="none" w:pos="1068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ind w:left="1200" w:hanging="730"/>
        <w:spacing w:after="0"/>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right="6380" w:hanging="730"/>
        <w:spacing w:after="0" w:line="282" w:lineRule="auto"/>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spacing w:after="0"/>
              <w:rPr>
                <w:sz w:val="20"/>
                <w:szCs w:val="20"/>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2260" w:type="dxa"/>
            <w:vAlign w:val="bottom"/>
            <w:vMerge w:val="continue"/>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440" w:type="dxa"/>
            <w:vAlign w:val="bottom"/>
          </w:tcPr>
          <w:p>
            <w:pPr>
              <w:spacing w:after="0"/>
              <w:rPr>
                <w:sz w:val="18"/>
                <w:szCs w:val="18"/>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1,584,466</w:t>
            </w:r>
          </w:p>
        </w:tc>
        <w:tc>
          <w:tcPr>
            <w:tcW w:w="0" w:type="dxa"/>
            <w:vAlign w:val="bottom"/>
          </w:tcPr>
          <w:p>
            <w:pPr>
              <w:spacing w:after="0"/>
              <w:rPr>
                <w:sz w:val="1"/>
                <w:szCs w:val="1"/>
                <w:color w:val="auto"/>
              </w:rPr>
            </w:pPr>
          </w:p>
        </w:tc>
      </w:tr>
      <w:tr>
        <w:trPr>
          <w:trHeight w:val="108"/>
        </w:trPr>
        <w:tc>
          <w:tcPr>
            <w:tcW w:w="226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Borders>
              <w:bottom w:val="single" w:sz="8" w:color="auto"/>
            </w:tcBorders>
          </w:tcPr>
          <w:p>
            <w:pPr>
              <w:spacing w:after="0"/>
              <w:rPr>
                <w:sz w:val="9"/>
                <w:szCs w:val="9"/>
                <w:color w:val="auto"/>
              </w:rPr>
            </w:pPr>
          </w:p>
        </w:tc>
        <w:tc>
          <w:tcPr>
            <w:tcW w:w="8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260" w:type="dxa"/>
            <w:vAlign w:val="bottom"/>
            <w:vMerge w:val="continue"/>
          </w:tcPr>
          <w:p>
            <w:pPr>
              <w:spacing w:after="0"/>
              <w:rPr>
                <w:sz w:val="6"/>
                <w:szCs w:val="6"/>
                <w:color w:val="auto"/>
              </w:rPr>
            </w:pPr>
          </w:p>
        </w:tc>
        <w:tc>
          <w:tcPr>
            <w:tcW w:w="4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85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80"/>
        </w:trPr>
        <w:tc>
          <w:tcPr>
            <w:tcW w:w="2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EACH</w:t>
            </w:r>
          </w:p>
        </w:tc>
        <w:tc>
          <w:tcPr>
            <w:tcW w:w="44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440" w:type="dxa"/>
            <w:vAlign w:val="bottom"/>
          </w:tcPr>
          <w:p>
            <w:pPr>
              <w:spacing w:after="0"/>
              <w:rPr>
                <w:sz w:val="21"/>
                <w:szCs w:val="21"/>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440" w:type="dxa"/>
            <w:vAlign w:val="bottom"/>
            <w:tcBorders>
              <w:bottom w:val="single" w:sz="8" w:color="auto"/>
            </w:tcBorders>
          </w:tcPr>
          <w:p>
            <w:pPr>
              <w:spacing w:after="0"/>
              <w:rPr>
                <w:sz w:val="2"/>
                <w:szCs w:val="2"/>
                <w:color w:val="auto"/>
              </w:rPr>
            </w:pPr>
          </w:p>
        </w:tc>
        <w:tc>
          <w:tcPr>
            <w:tcW w:w="8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60" w:type="dxa"/>
            <w:vAlign w:val="bottom"/>
            <w:vMerge w:val="continue"/>
          </w:tcPr>
          <w:p>
            <w:pPr>
              <w:spacing w:after="0"/>
              <w:rPr>
                <w:sz w:val="15"/>
                <w:szCs w:val="15"/>
                <w:color w:val="auto"/>
              </w:rPr>
            </w:pPr>
          </w:p>
        </w:tc>
        <w:tc>
          <w:tcPr>
            <w:tcW w:w="4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85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63"/>
        </w:trPr>
        <w:tc>
          <w:tcPr>
            <w:tcW w:w="22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1,584,466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ind w:left="1200" w:hanging="730"/>
        <w:spacing w:after="0"/>
        <w:tabs>
          <w:tab w:leader="none" w:pos="1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1,584,466</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960" w:type="dxa"/>
            <w:vAlign w:val="bottom"/>
            <w:tcBorders>
              <w:bottom w:val="single" w:sz="8" w:color="auto"/>
            </w:tcBorders>
          </w:tcPr>
          <w:p>
            <w:pPr>
              <w:spacing w:after="0"/>
              <w:rPr>
                <w:sz w:val="5"/>
                <w:szCs w:val="5"/>
                <w:color w:val="auto"/>
              </w:rPr>
            </w:pPr>
          </w:p>
        </w:tc>
        <w:tc>
          <w:tcPr>
            <w:tcW w:w="854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40" w:type="dxa"/>
            <w:vAlign w:val="bottom"/>
            <w:vMerge w:val="restart"/>
          </w:tcPr>
          <w:p>
            <w:pPr>
              <w:ind w:left="12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960" w:type="dxa"/>
            <w:vAlign w:val="bottom"/>
          </w:tcPr>
          <w:p>
            <w:pPr>
              <w:spacing w:after="0"/>
              <w:rPr>
                <w:sz w:val="12"/>
                <w:szCs w:val="12"/>
                <w:color w:val="auto"/>
              </w:rPr>
            </w:pPr>
          </w:p>
        </w:tc>
        <w:tc>
          <w:tcPr>
            <w:tcW w:w="85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(see instructions)</w:t>
            </w: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960" w:type="dxa"/>
            <w:vAlign w:val="bottom"/>
          </w:tcPr>
          <w:p>
            <w:pPr>
              <w:spacing w:after="0"/>
              <w:rPr>
                <w:sz w:val="7"/>
                <w:szCs w:val="7"/>
                <w:color w:val="auto"/>
              </w:rPr>
            </w:pPr>
          </w:p>
        </w:tc>
        <w:tc>
          <w:tcPr>
            <w:tcW w:w="8540" w:type="dxa"/>
            <w:vAlign w:val="bottom"/>
            <w:vMerge w:val="continue"/>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3" w:lineRule="exact"/>
        <w:rPr>
          <w:sz w:val="20"/>
          <w:szCs w:val="20"/>
          <w:color w:val="auto"/>
        </w:rPr>
      </w:pPr>
    </w:p>
    <w:p>
      <w:pPr>
        <w:ind w:left="1200" w:right="4980" w:hanging="772"/>
        <w:spacing w:after="0" w:line="282" w:lineRule="auto"/>
        <w:tabs>
          <w:tab w:leader="none" w:pos="12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6.5%</w:t>
      </w:r>
    </w:p>
    <w:p>
      <w:pPr>
        <w:spacing w:after="0" w:line="67" w:lineRule="exact"/>
        <w:rPr>
          <w:rFonts w:ascii="Times New Roman" w:cs="Times New Roman" w:eastAsia="Times New Roman" w:hAnsi="Times New Roman"/>
          <w:sz w:val="18"/>
          <w:szCs w:val="18"/>
          <w:color w:val="auto"/>
        </w:rPr>
      </w:pPr>
    </w:p>
    <w:p>
      <w:pPr>
        <w:ind w:left="1200" w:hanging="775"/>
        <w:spacing w:after="0"/>
        <w:tabs>
          <w:tab w:leader="none" w:pos="12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tabs>
          <w:tab w:leader="none" w:pos="5460" w:val="left"/>
          <w:tab w:leader="none" w:pos="9860" w:val="left"/>
        </w:tabs>
        <w:rPr>
          <w:sz w:val="20"/>
          <w:szCs w:val="20"/>
          <w:color w:val="auto"/>
        </w:rPr>
      </w:pPr>
      <w:r>
        <w:rPr>
          <w:rFonts w:ascii="Times New Roman" w:cs="Times New Roman" w:eastAsia="Times New Roman" w:hAnsi="Times New Roman"/>
          <w:sz w:val="18"/>
          <w:szCs w:val="18"/>
          <w:color w:val="auto"/>
        </w:rPr>
        <w:t>CUSIP No. 03969T109</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8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3" w:lineRule="exact"/>
        <w:rPr>
          <w:sz w:val="20"/>
          <w:szCs w:val="20"/>
          <w:color w:val="auto"/>
        </w:rPr>
      </w:pPr>
    </w:p>
    <w:p>
      <w:pPr>
        <w:ind w:left="1200" w:right="7260" w:hanging="730"/>
        <w:spacing w:after="0" w:line="282" w:lineRule="auto"/>
        <w:tabs>
          <w:tab w:leader="none" w:pos="12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Joseph Healey</w:t>
      </w:r>
    </w:p>
    <w:p>
      <w:pPr>
        <w:spacing w:after="0" w:line="296" w:lineRule="exact"/>
        <w:rPr>
          <w:rFonts w:ascii="Times New Roman" w:cs="Times New Roman" w:eastAsia="Times New Roman" w:hAnsi="Times New Roman"/>
          <w:sz w:val="18"/>
          <w:szCs w:val="18"/>
          <w:color w:val="auto"/>
        </w:rPr>
      </w:pPr>
    </w:p>
    <w:p>
      <w:pPr>
        <w:ind w:left="1200" w:hanging="730"/>
        <w:spacing w:after="0"/>
        <w:tabs>
          <w:tab w:leader="none" w:pos="12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 w:lineRule="exact"/>
        <w:rPr>
          <w:sz w:val="20"/>
          <w:szCs w:val="20"/>
          <w:color w:val="auto"/>
        </w:rPr>
      </w:pPr>
    </w:p>
    <w:p>
      <w:pPr>
        <w:ind w:left="10240"/>
        <w:spacing w:after="0" w:line="207" w:lineRule="exact"/>
        <w:tabs>
          <w:tab w:leader="none" w:pos="106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ind w:left="10260"/>
        <w:spacing w:after="0" w:line="207" w:lineRule="exact"/>
        <w:tabs>
          <w:tab w:leader="none" w:pos="1068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ind w:left="1200" w:hanging="730"/>
        <w:spacing w:after="0"/>
        <w:tabs>
          <w:tab w:leader="none" w:pos="12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right="6380" w:hanging="730"/>
        <w:spacing w:after="0" w:line="282" w:lineRule="auto"/>
        <w:tabs>
          <w:tab w:leader="none" w:pos="12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spacing w:after="0"/>
              <w:rPr>
                <w:sz w:val="20"/>
                <w:szCs w:val="20"/>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2260" w:type="dxa"/>
            <w:vAlign w:val="bottom"/>
            <w:vMerge w:val="continue"/>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440" w:type="dxa"/>
            <w:vAlign w:val="bottom"/>
          </w:tcPr>
          <w:p>
            <w:pPr>
              <w:spacing w:after="0"/>
              <w:rPr>
                <w:sz w:val="18"/>
                <w:szCs w:val="18"/>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1,584,466</w:t>
            </w:r>
          </w:p>
        </w:tc>
        <w:tc>
          <w:tcPr>
            <w:tcW w:w="0" w:type="dxa"/>
            <w:vAlign w:val="bottom"/>
          </w:tcPr>
          <w:p>
            <w:pPr>
              <w:spacing w:after="0"/>
              <w:rPr>
                <w:sz w:val="1"/>
                <w:szCs w:val="1"/>
                <w:color w:val="auto"/>
              </w:rPr>
            </w:pPr>
          </w:p>
        </w:tc>
      </w:tr>
      <w:tr>
        <w:trPr>
          <w:trHeight w:val="108"/>
        </w:trPr>
        <w:tc>
          <w:tcPr>
            <w:tcW w:w="226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Borders>
              <w:bottom w:val="single" w:sz="8" w:color="auto"/>
            </w:tcBorders>
          </w:tcPr>
          <w:p>
            <w:pPr>
              <w:spacing w:after="0"/>
              <w:rPr>
                <w:sz w:val="9"/>
                <w:szCs w:val="9"/>
                <w:color w:val="auto"/>
              </w:rPr>
            </w:pPr>
          </w:p>
        </w:tc>
        <w:tc>
          <w:tcPr>
            <w:tcW w:w="8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260" w:type="dxa"/>
            <w:vAlign w:val="bottom"/>
            <w:vMerge w:val="continue"/>
          </w:tcPr>
          <w:p>
            <w:pPr>
              <w:spacing w:after="0"/>
              <w:rPr>
                <w:sz w:val="6"/>
                <w:szCs w:val="6"/>
                <w:color w:val="auto"/>
              </w:rPr>
            </w:pPr>
          </w:p>
        </w:tc>
        <w:tc>
          <w:tcPr>
            <w:tcW w:w="4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85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80"/>
        </w:trPr>
        <w:tc>
          <w:tcPr>
            <w:tcW w:w="2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EACH</w:t>
            </w:r>
          </w:p>
        </w:tc>
        <w:tc>
          <w:tcPr>
            <w:tcW w:w="44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440" w:type="dxa"/>
            <w:vAlign w:val="bottom"/>
          </w:tcPr>
          <w:p>
            <w:pPr>
              <w:spacing w:after="0"/>
              <w:rPr>
                <w:sz w:val="21"/>
                <w:szCs w:val="21"/>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440" w:type="dxa"/>
            <w:vAlign w:val="bottom"/>
            <w:tcBorders>
              <w:bottom w:val="single" w:sz="8" w:color="auto"/>
            </w:tcBorders>
          </w:tcPr>
          <w:p>
            <w:pPr>
              <w:spacing w:after="0"/>
              <w:rPr>
                <w:sz w:val="2"/>
                <w:szCs w:val="2"/>
                <w:color w:val="auto"/>
              </w:rPr>
            </w:pPr>
          </w:p>
        </w:tc>
        <w:tc>
          <w:tcPr>
            <w:tcW w:w="8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60" w:type="dxa"/>
            <w:vAlign w:val="bottom"/>
            <w:vMerge w:val="continue"/>
          </w:tcPr>
          <w:p>
            <w:pPr>
              <w:spacing w:after="0"/>
              <w:rPr>
                <w:sz w:val="15"/>
                <w:szCs w:val="15"/>
                <w:color w:val="auto"/>
              </w:rPr>
            </w:pPr>
          </w:p>
        </w:tc>
        <w:tc>
          <w:tcPr>
            <w:tcW w:w="4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85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63"/>
        </w:trPr>
        <w:tc>
          <w:tcPr>
            <w:tcW w:w="22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1,584,466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ind w:left="1200" w:hanging="730"/>
        <w:spacing w:after="0"/>
        <w:tabs>
          <w:tab w:leader="none" w:pos="1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1,584,466</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960" w:type="dxa"/>
            <w:vAlign w:val="bottom"/>
            <w:tcBorders>
              <w:bottom w:val="single" w:sz="8" w:color="auto"/>
            </w:tcBorders>
          </w:tcPr>
          <w:p>
            <w:pPr>
              <w:spacing w:after="0"/>
              <w:rPr>
                <w:sz w:val="5"/>
                <w:szCs w:val="5"/>
                <w:color w:val="auto"/>
              </w:rPr>
            </w:pPr>
          </w:p>
        </w:tc>
        <w:tc>
          <w:tcPr>
            <w:tcW w:w="854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40" w:type="dxa"/>
            <w:vAlign w:val="bottom"/>
            <w:vMerge w:val="restart"/>
          </w:tcPr>
          <w:p>
            <w:pPr>
              <w:ind w:left="12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960" w:type="dxa"/>
            <w:vAlign w:val="bottom"/>
          </w:tcPr>
          <w:p>
            <w:pPr>
              <w:spacing w:after="0"/>
              <w:rPr>
                <w:sz w:val="12"/>
                <w:szCs w:val="12"/>
                <w:color w:val="auto"/>
              </w:rPr>
            </w:pPr>
          </w:p>
        </w:tc>
        <w:tc>
          <w:tcPr>
            <w:tcW w:w="85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(see instructions)</w:t>
            </w: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960" w:type="dxa"/>
            <w:vAlign w:val="bottom"/>
          </w:tcPr>
          <w:p>
            <w:pPr>
              <w:spacing w:after="0"/>
              <w:rPr>
                <w:sz w:val="7"/>
                <w:szCs w:val="7"/>
                <w:color w:val="auto"/>
              </w:rPr>
            </w:pPr>
          </w:p>
        </w:tc>
        <w:tc>
          <w:tcPr>
            <w:tcW w:w="8540" w:type="dxa"/>
            <w:vAlign w:val="bottom"/>
            <w:vMerge w:val="continue"/>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3" w:lineRule="exact"/>
        <w:rPr>
          <w:sz w:val="20"/>
          <w:szCs w:val="20"/>
          <w:color w:val="auto"/>
        </w:rPr>
      </w:pPr>
    </w:p>
    <w:p>
      <w:pPr>
        <w:ind w:left="1200" w:right="4980" w:hanging="772"/>
        <w:spacing w:after="0" w:line="282" w:lineRule="auto"/>
        <w:tabs>
          <w:tab w:leader="none" w:pos="12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6.5%</w:t>
      </w:r>
    </w:p>
    <w:p>
      <w:pPr>
        <w:spacing w:after="0" w:line="67" w:lineRule="exact"/>
        <w:rPr>
          <w:rFonts w:ascii="Times New Roman" w:cs="Times New Roman" w:eastAsia="Times New Roman" w:hAnsi="Times New Roman"/>
          <w:sz w:val="18"/>
          <w:szCs w:val="18"/>
          <w:color w:val="auto"/>
        </w:rPr>
      </w:pPr>
    </w:p>
    <w:p>
      <w:pPr>
        <w:ind w:left="1200" w:hanging="775"/>
        <w:spacing w:after="0"/>
        <w:tabs>
          <w:tab w:leader="none" w:pos="12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tabs>
          <w:tab w:leader="none" w:pos="5460" w:val="left"/>
          <w:tab w:leader="none" w:pos="9860" w:val="left"/>
        </w:tabs>
        <w:rPr>
          <w:sz w:val="20"/>
          <w:szCs w:val="20"/>
          <w:color w:val="auto"/>
        </w:rPr>
      </w:pPr>
      <w:r>
        <w:rPr>
          <w:rFonts w:ascii="Times New Roman" w:cs="Times New Roman" w:eastAsia="Times New Roman" w:hAnsi="Times New Roman"/>
          <w:sz w:val="18"/>
          <w:szCs w:val="18"/>
          <w:color w:val="auto"/>
        </w:rPr>
        <w:t>CUSIP No. 03969T109</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9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p>
      <w:pPr>
        <w:ind w:left="1200" w:right="6620" w:hanging="730"/>
        <w:spacing w:after="0" w:line="312" w:lineRule="auto"/>
        <w:tabs>
          <w:tab w:leader="none" w:pos="12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HealthCor Sanatate Offshore Master Fund, L.P.</w:t>
      </w:r>
    </w:p>
    <w:p>
      <w:pPr>
        <w:spacing w:after="0" w:line="274" w:lineRule="exact"/>
        <w:rPr>
          <w:rFonts w:ascii="Times New Roman" w:cs="Times New Roman" w:eastAsia="Times New Roman" w:hAnsi="Times New Roman"/>
          <w:sz w:val="17"/>
          <w:szCs w:val="17"/>
          <w:color w:val="auto"/>
        </w:rPr>
      </w:pPr>
    </w:p>
    <w:p>
      <w:pPr>
        <w:ind w:left="1200" w:hanging="730"/>
        <w:spacing w:after="0"/>
        <w:tabs>
          <w:tab w:leader="none" w:pos="12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 w:lineRule="exact"/>
        <w:rPr>
          <w:sz w:val="20"/>
          <w:szCs w:val="20"/>
          <w:color w:val="auto"/>
        </w:rPr>
      </w:pPr>
    </w:p>
    <w:p>
      <w:pPr>
        <w:ind w:left="10240"/>
        <w:spacing w:after="0" w:line="207" w:lineRule="exact"/>
        <w:tabs>
          <w:tab w:leader="none" w:pos="106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ind w:left="10260"/>
        <w:spacing w:after="0" w:line="207" w:lineRule="exact"/>
        <w:tabs>
          <w:tab w:leader="none" w:pos="1068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7" w:lineRule="exact"/>
        <w:rPr>
          <w:sz w:val="20"/>
          <w:szCs w:val="20"/>
          <w:color w:val="auto"/>
        </w:rPr>
      </w:pPr>
    </w:p>
    <w:p>
      <w:pPr>
        <w:ind w:left="1200" w:hanging="730"/>
        <w:spacing w:after="0"/>
        <w:tabs>
          <w:tab w:leader="none" w:pos="1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right="6380" w:hanging="730"/>
        <w:spacing w:after="0" w:line="282" w:lineRule="auto"/>
        <w:tabs>
          <w:tab w:leader="none" w:pos="1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spacing w:after="0"/>
              <w:rPr>
                <w:sz w:val="20"/>
                <w:szCs w:val="20"/>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2260" w:type="dxa"/>
            <w:vAlign w:val="bottom"/>
            <w:vMerge w:val="continue"/>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440" w:type="dxa"/>
            <w:vAlign w:val="bottom"/>
          </w:tcPr>
          <w:p>
            <w:pPr>
              <w:spacing w:after="0"/>
              <w:rPr>
                <w:sz w:val="18"/>
                <w:szCs w:val="18"/>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447,395</w:t>
            </w:r>
          </w:p>
        </w:tc>
        <w:tc>
          <w:tcPr>
            <w:tcW w:w="0" w:type="dxa"/>
            <w:vAlign w:val="bottom"/>
          </w:tcPr>
          <w:p>
            <w:pPr>
              <w:spacing w:after="0"/>
              <w:rPr>
                <w:sz w:val="1"/>
                <w:szCs w:val="1"/>
                <w:color w:val="auto"/>
              </w:rPr>
            </w:pPr>
          </w:p>
        </w:tc>
      </w:tr>
      <w:tr>
        <w:trPr>
          <w:trHeight w:val="108"/>
        </w:trPr>
        <w:tc>
          <w:tcPr>
            <w:tcW w:w="226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Borders>
              <w:bottom w:val="single" w:sz="8" w:color="auto"/>
            </w:tcBorders>
          </w:tcPr>
          <w:p>
            <w:pPr>
              <w:spacing w:after="0"/>
              <w:rPr>
                <w:sz w:val="9"/>
                <w:szCs w:val="9"/>
                <w:color w:val="auto"/>
              </w:rPr>
            </w:pPr>
          </w:p>
        </w:tc>
        <w:tc>
          <w:tcPr>
            <w:tcW w:w="8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260" w:type="dxa"/>
            <w:vAlign w:val="bottom"/>
            <w:vMerge w:val="continue"/>
          </w:tcPr>
          <w:p>
            <w:pPr>
              <w:spacing w:after="0"/>
              <w:rPr>
                <w:sz w:val="6"/>
                <w:szCs w:val="6"/>
                <w:color w:val="auto"/>
              </w:rPr>
            </w:pPr>
          </w:p>
        </w:tc>
        <w:tc>
          <w:tcPr>
            <w:tcW w:w="4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85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80"/>
        </w:trPr>
        <w:tc>
          <w:tcPr>
            <w:tcW w:w="2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EACH</w:t>
            </w:r>
          </w:p>
        </w:tc>
        <w:tc>
          <w:tcPr>
            <w:tcW w:w="44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440" w:type="dxa"/>
            <w:vAlign w:val="bottom"/>
          </w:tcPr>
          <w:p>
            <w:pPr>
              <w:spacing w:after="0"/>
              <w:rPr>
                <w:sz w:val="21"/>
                <w:szCs w:val="21"/>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440" w:type="dxa"/>
            <w:vAlign w:val="bottom"/>
            <w:tcBorders>
              <w:bottom w:val="single" w:sz="8" w:color="auto"/>
            </w:tcBorders>
          </w:tcPr>
          <w:p>
            <w:pPr>
              <w:spacing w:after="0"/>
              <w:rPr>
                <w:sz w:val="2"/>
                <w:szCs w:val="2"/>
                <w:color w:val="auto"/>
              </w:rPr>
            </w:pPr>
          </w:p>
        </w:tc>
        <w:tc>
          <w:tcPr>
            <w:tcW w:w="8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60" w:type="dxa"/>
            <w:vAlign w:val="bottom"/>
            <w:vMerge w:val="continue"/>
          </w:tcPr>
          <w:p>
            <w:pPr>
              <w:spacing w:after="0"/>
              <w:rPr>
                <w:sz w:val="15"/>
                <w:szCs w:val="15"/>
                <w:color w:val="auto"/>
              </w:rPr>
            </w:pPr>
          </w:p>
        </w:tc>
        <w:tc>
          <w:tcPr>
            <w:tcW w:w="4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85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63"/>
        </w:trPr>
        <w:tc>
          <w:tcPr>
            <w:tcW w:w="22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447,395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ind w:left="1200" w:hanging="730"/>
        <w:spacing w:after="0"/>
        <w:tabs>
          <w:tab w:leader="none" w:pos="12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447,395</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960" w:type="dxa"/>
            <w:vAlign w:val="bottom"/>
            <w:tcBorders>
              <w:bottom w:val="single" w:sz="8" w:color="auto"/>
            </w:tcBorders>
          </w:tcPr>
          <w:p>
            <w:pPr>
              <w:spacing w:after="0"/>
              <w:rPr>
                <w:sz w:val="5"/>
                <w:szCs w:val="5"/>
                <w:color w:val="auto"/>
              </w:rPr>
            </w:pPr>
          </w:p>
        </w:tc>
        <w:tc>
          <w:tcPr>
            <w:tcW w:w="854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40" w:type="dxa"/>
            <w:vAlign w:val="bottom"/>
            <w:vMerge w:val="restart"/>
          </w:tcPr>
          <w:p>
            <w:pPr>
              <w:ind w:left="12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960" w:type="dxa"/>
            <w:vAlign w:val="bottom"/>
          </w:tcPr>
          <w:p>
            <w:pPr>
              <w:spacing w:after="0"/>
              <w:rPr>
                <w:sz w:val="12"/>
                <w:szCs w:val="12"/>
                <w:color w:val="auto"/>
              </w:rPr>
            </w:pPr>
          </w:p>
        </w:tc>
        <w:tc>
          <w:tcPr>
            <w:tcW w:w="85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(see instructions)</w:t>
            </w: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960" w:type="dxa"/>
            <w:vAlign w:val="bottom"/>
          </w:tcPr>
          <w:p>
            <w:pPr>
              <w:spacing w:after="0"/>
              <w:rPr>
                <w:sz w:val="7"/>
                <w:szCs w:val="7"/>
                <w:color w:val="auto"/>
              </w:rPr>
            </w:pPr>
          </w:p>
        </w:tc>
        <w:tc>
          <w:tcPr>
            <w:tcW w:w="8540" w:type="dxa"/>
            <w:vAlign w:val="bottom"/>
            <w:vMerge w:val="continue"/>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3" w:lineRule="exact"/>
        <w:rPr>
          <w:sz w:val="20"/>
          <w:szCs w:val="20"/>
          <w:color w:val="auto"/>
        </w:rPr>
      </w:pPr>
    </w:p>
    <w:p>
      <w:pPr>
        <w:ind w:left="1200" w:right="4980" w:hanging="772"/>
        <w:spacing w:after="0" w:line="282" w:lineRule="auto"/>
        <w:tabs>
          <w:tab w:leader="none" w:pos="1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1.8%</w:t>
      </w:r>
    </w:p>
    <w:p>
      <w:pPr>
        <w:spacing w:after="0" w:line="67" w:lineRule="exact"/>
        <w:rPr>
          <w:rFonts w:ascii="Times New Roman" w:cs="Times New Roman" w:eastAsia="Times New Roman" w:hAnsi="Times New Roman"/>
          <w:sz w:val="18"/>
          <w:szCs w:val="18"/>
          <w:color w:val="auto"/>
        </w:rPr>
      </w:pPr>
    </w:p>
    <w:p>
      <w:pPr>
        <w:ind w:left="1200" w:hanging="775"/>
        <w:spacing w:after="0"/>
        <w:tabs>
          <w:tab w:leader="none" w:pos="1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 w:name="page10"/>
    <w:bookmarkEnd w:id="9"/>
    <w:p>
      <w:pPr>
        <w:spacing w:after="0"/>
        <w:tabs>
          <w:tab w:leader="none" w:pos="5460" w:val="left"/>
          <w:tab w:leader="none" w:pos="9760" w:val="left"/>
        </w:tabs>
        <w:rPr>
          <w:sz w:val="20"/>
          <w:szCs w:val="20"/>
          <w:color w:val="auto"/>
        </w:rPr>
      </w:pPr>
      <w:r>
        <w:rPr>
          <w:rFonts w:ascii="Times New Roman" w:cs="Times New Roman" w:eastAsia="Times New Roman" w:hAnsi="Times New Roman"/>
          <w:sz w:val="18"/>
          <w:szCs w:val="18"/>
          <w:color w:val="auto"/>
        </w:rPr>
        <w:t>CUSIP No. 03969T109</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10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3" w:lineRule="exact"/>
        <w:rPr>
          <w:sz w:val="20"/>
          <w:szCs w:val="20"/>
          <w:color w:val="auto"/>
        </w:rPr>
      </w:pPr>
    </w:p>
    <w:p>
      <w:pPr>
        <w:ind w:left="1200" w:right="7260" w:hanging="730"/>
        <w:spacing w:after="0" w:line="312" w:lineRule="auto"/>
        <w:tabs>
          <w:tab w:leader="none" w:pos="12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HealthCor Offshore II GP, LLC</w:t>
      </w:r>
    </w:p>
    <w:p>
      <w:pPr>
        <w:spacing w:after="0" w:line="274" w:lineRule="exact"/>
        <w:rPr>
          <w:rFonts w:ascii="Times New Roman" w:cs="Times New Roman" w:eastAsia="Times New Roman" w:hAnsi="Times New Roman"/>
          <w:sz w:val="17"/>
          <w:szCs w:val="17"/>
          <w:color w:val="auto"/>
        </w:rPr>
      </w:pPr>
    </w:p>
    <w:p>
      <w:pPr>
        <w:ind w:left="1200" w:hanging="730"/>
        <w:spacing w:after="0"/>
        <w:tabs>
          <w:tab w:leader="none" w:pos="12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 w:lineRule="exact"/>
        <w:rPr>
          <w:sz w:val="20"/>
          <w:szCs w:val="20"/>
          <w:color w:val="auto"/>
        </w:rPr>
      </w:pPr>
    </w:p>
    <w:p>
      <w:pPr>
        <w:ind w:left="10240"/>
        <w:spacing w:after="0" w:line="207" w:lineRule="exact"/>
        <w:tabs>
          <w:tab w:leader="none" w:pos="106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ind w:left="10260"/>
        <w:spacing w:after="0" w:line="207" w:lineRule="exact"/>
        <w:tabs>
          <w:tab w:leader="none" w:pos="1068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7" w:lineRule="exact"/>
        <w:rPr>
          <w:sz w:val="20"/>
          <w:szCs w:val="20"/>
          <w:color w:val="auto"/>
        </w:rPr>
      </w:pPr>
    </w:p>
    <w:p>
      <w:pPr>
        <w:ind w:left="1200" w:hanging="730"/>
        <w:spacing w:after="0"/>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right="6380" w:hanging="730"/>
        <w:spacing w:after="0" w:line="282" w:lineRule="auto"/>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spacing w:after="0"/>
              <w:rPr>
                <w:sz w:val="20"/>
                <w:szCs w:val="20"/>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2260" w:type="dxa"/>
            <w:vAlign w:val="bottom"/>
            <w:vMerge w:val="continue"/>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440" w:type="dxa"/>
            <w:vAlign w:val="bottom"/>
          </w:tcPr>
          <w:p>
            <w:pPr>
              <w:spacing w:after="0"/>
              <w:rPr>
                <w:sz w:val="18"/>
                <w:szCs w:val="18"/>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447,395</w:t>
            </w:r>
          </w:p>
        </w:tc>
        <w:tc>
          <w:tcPr>
            <w:tcW w:w="0" w:type="dxa"/>
            <w:vAlign w:val="bottom"/>
          </w:tcPr>
          <w:p>
            <w:pPr>
              <w:spacing w:after="0"/>
              <w:rPr>
                <w:sz w:val="1"/>
                <w:szCs w:val="1"/>
                <w:color w:val="auto"/>
              </w:rPr>
            </w:pPr>
          </w:p>
        </w:tc>
      </w:tr>
      <w:tr>
        <w:trPr>
          <w:trHeight w:val="108"/>
        </w:trPr>
        <w:tc>
          <w:tcPr>
            <w:tcW w:w="226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Borders>
              <w:bottom w:val="single" w:sz="8" w:color="auto"/>
            </w:tcBorders>
          </w:tcPr>
          <w:p>
            <w:pPr>
              <w:spacing w:after="0"/>
              <w:rPr>
                <w:sz w:val="9"/>
                <w:szCs w:val="9"/>
                <w:color w:val="auto"/>
              </w:rPr>
            </w:pPr>
          </w:p>
        </w:tc>
        <w:tc>
          <w:tcPr>
            <w:tcW w:w="8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260" w:type="dxa"/>
            <w:vAlign w:val="bottom"/>
            <w:vMerge w:val="continue"/>
          </w:tcPr>
          <w:p>
            <w:pPr>
              <w:spacing w:after="0"/>
              <w:rPr>
                <w:sz w:val="6"/>
                <w:szCs w:val="6"/>
                <w:color w:val="auto"/>
              </w:rPr>
            </w:pPr>
          </w:p>
        </w:tc>
        <w:tc>
          <w:tcPr>
            <w:tcW w:w="4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85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80"/>
        </w:trPr>
        <w:tc>
          <w:tcPr>
            <w:tcW w:w="2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EACH</w:t>
            </w:r>
          </w:p>
        </w:tc>
        <w:tc>
          <w:tcPr>
            <w:tcW w:w="44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440" w:type="dxa"/>
            <w:vAlign w:val="bottom"/>
          </w:tcPr>
          <w:p>
            <w:pPr>
              <w:spacing w:after="0"/>
              <w:rPr>
                <w:sz w:val="21"/>
                <w:szCs w:val="21"/>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440" w:type="dxa"/>
            <w:vAlign w:val="bottom"/>
            <w:tcBorders>
              <w:bottom w:val="single" w:sz="8" w:color="auto"/>
            </w:tcBorders>
          </w:tcPr>
          <w:p>
            <w:pPr>
              <w:spacing w:after="0"/>
              <w:rPr>
                <w:sz w:val="2"/>
                <w:szCs w:val="2"/>
                <w:color w:val="auto"/>
              </w:rPr>
            </w:pPr>
          </w:p>
        </w:tc>
        <w:tc>
          <w:tcPr>
            <w:tcW w:w="8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60" w:type="dxa"/>
            <w:vAlign w:val="bottom"/>
            <w:vMerge w:val="continue"/>
          </w:tcPr>
          <w:p>
            <w:pPr>
              <w:spacing w:after="0"/>
              <w:rPr>
                <w:sz w:val="15"/>
                <w:szCs w:val="15"/>
                <w:color w:val="auto"/>
              </w:rPr>
            </w:pPr>
          </w:p>
        </w:tc>
        <w:tc>
          <w:tcPr>
            <w:tcW w:w="4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85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63"/>
        </w:trPr>
        <w:tc>
          <w:tcPr>
            <w:tcW w:w="22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447,395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ind w:left="1200" w:hanging="730"/>
        <w:spacing w:after="0"/>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447,395</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960" w:type="dxa"/>
            <w:vAlign w:val="bottom"/>
            <w:tcBorders>
              <w:bottom w:val="single" w:sz="8" w:color="auto"/>
            </w:tcBorders>
          </w:tcPr>
          <w:p>
            <w:pPr>
              <w:spacing w:after="0"/>
              <w:rPr>
                <w:sz w:val="5"/>
                <w:szCs w:val="5"/>
                <w:color w:val="auto"/>
              </w:rPr>
            </w:pPr>
          </w:p>
        </w:tc>
        <w:tc>
          <w:tcPr>
            <w:tcW w:w="854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40" w:type="dxa"/>
            <w:vAlign w:val="bottom"/>
            <w:vMerge w:val="restart"/>
          </w:tcPr>
          <w:p>
            <w:pPr>
              <w:ind w:left="12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960" w:type="dxa"/>
            <w:vAlign w:val="bottom"/>
          </w:tcPr>
          <w:p>
            <w:pPr>
              <w:spacing w:after="0"/>
              <w:rPr>
                <w:sz w:val="12"/>
                <w:szCs w:val="12"/>
                <w:color w:val="auto"/>
              </w:rPr>
            </w:pPr>
          </w:p>
        </w:tc>
        <w:tc>
          <w:tcPr>
            <w:tcW w:w="85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(see instructions)</w:t>
            </w: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960" w:type="dxa"/>
            <w:vAlign w:val="bottom"/>
          </w:tcPr>
          <w:p>
            <w:pPr>
              <w:spacing w:after="0"/>
              <w:rPr>
                <w:sz w:val="7"/>
                <w:szCs w:val="7"/>
                <w:color w:val="auto"/>
              </w:rPr>
            </w:pPr>
          </w:p>
        </w:tc>
        <w:tc>
          <w:tcPr>
            <w:tcW w:w="8540" w:type="dxa"/>
            <w:vAlign w:val="bottom"/>
            <w:vMerge w:val="continue"/>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3" w:lineRule="exact"/>
        <w:rPr>
          <w:sz w:val="20"/>
          <w:szCs w:val="20"/>
          <w:color w:val="auto"/>
        </w:rPr>
      </w:pPr>
    </w:p>
    <w:p>
      <w:pPr>
        <w:ind w:left="1200" w:right="4980" w:hanging="772"/>
        <w:spacing w:after="0" w:line="282" w:lineRule="auto"/>
        <w:tabs>
          <w:tab w:leader="none" w:pos="12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1.8%</w:t>
      </w:r>
    </w:p>
    <w:p>
      <w:pPr>
        <w:spacing w:after="0" w:line="67" w:lineRule="exact"/>
        <w:rPr>
          <w:rFonts w:ascii="Times New Roman" w:cs="Times New Roman" w:eastAsia="Times New Roman" w:hAnsi="Times New Roman"/>
          <w:sz w:val="18"/>
          <w:szCs w:val="18"/>
          <w:color w:val="auto"/>
        </w:rPr>
      </w:pPr>
    </w:p>
    <w:p>
      <w:pPr>
        <w:ind w:left="1200" w:right="6260" w:hanging="775"/>
        <w:spacing w:after="0" w:line="532" w:lineRule="auto"/>
        <w:tabs>
          <w:tab w:leader="none" w:pos="12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 -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tabs>
          <w:tab w:leader="none" w:pos="5460" w:val="left"/>
          <w:tab w:leader="none" w:pos="9760" w:val="left"/>
        </w:tabs>
        <w:rPr>
          <w:sz w:val="20"/>
          <w:szCs w:val="20"/>
          <w:color w:val="auto"/>
        </w:rPr>
      </w:pPr>
      <w:r>
        <w:rPr>
          <w:rFonts w:ascii="Times New Roman" w:cs="Times New Roman" w:eastAsia="Times New Roman" w:hAnsi="Times New Roman"/>
          <w:sz w:val="18"/>
          <w:szCs w:val="18"/>
          <w:color w:val="auto"/>
        </w:rPr>
        <w:t>CUSIP No. 03969T109</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11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p>
      <w:pPr>
        <w:ind w:left="1200" w:right="7000" w:hanging="730"/>
        <w:spacing w:after="0" w:line="312" w:lineRule="auto"/>
        <w:tabs>
          <w:tab w:leader="none" w:pos="12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HealthCor Therapeutics Master Fund, L.P.</w:t>
      </w:r>
    </w:p>
    <w:p>
      <w:pPr>
        <w:spacing w:after="0" w:line="274" w:lineRule="exact"/>
        <w:rPr>
          <w:rFonts w:ascii="Times New Roman" w:cs="Times New Roman" w:eastAsia="Times New Roman" w:hAnsi="Times New Roman"/>
          <w:sz w:val="17"/>
          <w:szCs w:val="17"/>
          <w:color w:val="auto"/>
        </w:rPr>
      </w:pPr>
    </w:p>
    <w:p>
      <w:pPr>
        <w:ind w:left="1200" w:hanging="730"/>
        <w:spacing w:after="0"/>
        <w:tabs>
          <w:tab w:leader="none" w:pos="1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 w:lineRule="exact"/>
        <w:rPr>
          <w:sz w:val="20"/>
          <w:szCs w:val="20"/>
          <w:color w:val="auto"/>
        </w:rPr>
      </w:pPr>
    </w:p>
    <w:p>
      <w:pPr>
        <w:ind w:left="10240"/>
        <w:spacing w:after="0" w:line="207" w:lineRule="exact"/>
        <w:tabs>
          <w:tab w:leader="none" w:pos="106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ind w:left="10260"/>
        <w:spacing w:after="0" w:line="207" w:lineRule="exact"/>
        <w:tabs>
          <w:tab w:leader="none" w:pos="1068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ind w:left="1200" w:hanging="730"/>
        <w:spacing w:after="0"/>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right="6380" w:hanging="730"/>
        <w:spacing w:after="0" w:line="282" w:lineRule="auto"/>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spacing w:after="0"/>
              <w:rPr>
                <w:sz w:val="20"/>
                <w:szCs w:val="20"/>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2260" w:type="dxa"/>
            <w:vAlign w:val="bottom"/>
            <w:vMerge w:val="continue"/>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440" w:type="dxa"/>
            <w:vAlign w:val="bottom"/>
          </w:tcPr>
          <w:p>
            <w:pPr>
              <w:spacing w:after="0"/>
              <w:rPr>
                <w:sz w:val="18"/>
                <w:szCs w:val="18"/>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90,170</w:t>
            </w:r>
          </w:p>
        </w:tc>
        <w:tc>
          <w:tcPr>
            <w:tcW w:w="0" w:type="dxa"/>
            <w:vAlign w:val="bottom"/>
          </w:tcPr>
          <w:p>
            <w:pPr>
              <w:spacing w:after="0"/>
              <w:rPr>
                <w:sz w:val="1"/>
                <w:szCs w:val="1"/>
                <w:color w:val="auto"/>
              </w:rPr>
            </w:pPr>
          </w:p>
        </w:tc>
      </w:tr>
      <w:tr>
        <w:trPr>
          <w:trHeight w:val="108"/>
        </w:trPr>
        <w:tc>
          <w:tcPr>
            <w:tcW w:w="226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Borders>
              <w:bottom w:val="single" w:sz="8" w:color="auto"/>
            </w:tcBorders>
          </w:tcPr>
          <w:p>
            <w:pPr>
              <w:spacing w:after="0"/>
              <w:rPr>
                <w:sz w:val="9"/>
                <w:szCs w:val="9"/>
                <w:color w:val="auto"/>
              </w:rPr>
            </w:pPr>
          </w:p>
        </w:tc>
        <w:tc>
          <w:tcPr>
            <w:tcW w:w="8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260" w:type="dxa"/>
            <w:vAlign w:val="bottom"/>
            <w:vMerge w:val="continue"/>
          </w:tcPr>
          <w:p>
            <w:pPr>
              <w:spacing w:after="0"/>
              <w:rPr>
                <w:sz w:val="6"/>
                <w:szCs w:val="6"/>
                <w:color w:val="auto"/>
              </w:rPr>
            </w:pPr>
          </w:p>
        </w:tc>
        <w:tc>
          <w:tcPr>
            <w:tcW w:w="4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85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80"/>
        </w:trPr>
        <w:tc>
          <w:tcPr>
            <w:tcW w:w="2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EACH</w:t>
            </w:r>
          </w:p>
        </w:tc>
        <w:tc>
          <w:tcPr>
            <w:tcW w:w="44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440" w:type="dxa"/>
            <w:vAlign w:val="bottom"/>
          </w:tcPr>
          <w:p>
            <w:pPr>
              <w:spacing w:after="0"/>
              <w:rPr>
                <w:sz w:val="21"/>
                <w:szCs w:val="21"/>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440" w:type="dxa"/>
            <w:vAlign w:val="bottom"/>
            <w:tcBorders>
              <w:bottom w:val="single" w:sz="8" w:color="auto"/>
            </w:tcBorders>
          </w:tcPr>
          <w:p>
            <w:pPr>
              <w:spacing w:after="0"/>
              <w:rPr>
                <w:sz w:val="2"/>
                <w:szCs w:val="2"/>
                <w:color w:val="auto"/>
              </w:rPr>
            </w:pPr>
          </w:p>
        </w:tc>
        <w:tc>
          <w:tcPr>
            <w:tcW w:w="8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60" w:type="dxa"/>
            <w:vAlign w:val="bottom"/>
            <w:vMerge w:val="continue"/>
          </w:tcPr>
          <w:p>
            <w:pPr>
              <w:spacing w:after="0"/>
              <w:rPr>
                <w:sz w:val="15"/>
                <w:szCs w:val="15"/>
                <w:color w:val="auto"/>
              </w:rPr>
            </w:pPr>
          </w:p>
        </w:tc>
        <w:tc>
          <w:tcPr>
            <w:tcW w:w="4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85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63"/>
        </w:trPr>
        <w:tc>
          <w:tcPr>
            <w:tcW w:w="22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90,170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7" w:lineRule="exact"/>
        <w:rPr>
          <w:sz w:val="20"/>
          <w:szCs w:val="20"/>
          <w:color w:val="auto"/>
        </w:rPr>
      </w:pPr>
    </w:p>
    <w:p>
      <w:pPr>
        <w:ind w:left="1200" w:hanging="730"/>
        <w:spacing w:after="0"/>
        <w:tabs>
          <w:tab w:leader="none" w:pos="1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90,170</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960" w:type="dxa"/>
            <w:vAlign w:val="bottom"/>
            <w:tcBorders>
              <w:bottom w:val="single" w:sz="8" w:color="auto"/>
            </w:tcBorders>
          </w:tcPr>
          <w:p>
            <w:pPr>
              <w:spacing w:after="0"/>
              <w:rPr>
                <w:sz w:val="5"/>
                <w:szCs w:val="5"/>
                <w:color w:val="auto"/>
              </w:rPr>
            </w:pPr>
          </w:p>
        </w:tc>
        <w:tc>
          <w:tcPr>
            <w:tcW w:w="854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40" w:type="dxa"/>
            <w:vAlign w:val="bottom"/>
            <w:vMerge w:val="restart"/>
          </w:tcPr>
          <w:p>
            <w:pPr>
              <w:ind w:left="12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960" w:type="dxa"/>
            <w:vAlign w:val="bottom"/>
          </w:tcPr>
          <w:p>
            <w:pPr>
              <w:spacing w:after="0"/>
              <w:rPr>
                <w:sz w:val="12"/>
                <w:szCs w:val="12"/>
                <w:color w:val="auto"/>
              </w:rPr>
            </w:pPr>
          </w:p>
        </w:tc>
        <w:tc>
          <w:tcPr>
            <w:tcW w:w="85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(see instructions)</w:t>
            </w: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960" w:type="dxa"/>
            <w:vAlign w:val="bottom"/>
          </w:tcPr>
          <w:p>
            <w:pPr>
              <w:spacing w:after="0"/>
              <w:rPr>
                <w:sz w:val="7"/>
                <w:szCs w:val="7"/>
                <w:color w:val="auto"/>
              </w:rPr>
            </w:pPr>
          </w:p>
        </w:tc>
        <w:tc>
          <w:tcPr>
            <w:tcW w:w="8540" w:type="dxa"/>
            <w:vAlign w:val="bottom"/>
            <w:vMerge w:val="continue"/>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3" w:lineRule="exact"/>
        <w:rPr>
          <w:sz w:val="20"/>
          <w:szCs w:val="20"/>
          <w:color w:val="auto"/>
        </w:rPr>
      </w:pPr>
    </w:p>
    <w:p>
      <w:pPr>
        <w:ind w:left="1200" w:right="4980" w:hanging="772"/>
        <w:spacing w:after="0" w:line="282" w:lineRule="auto"/>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0.4%</w:t>
      </w:r>
    </w:p>
    <w:p>
      <w:pPr>
        <w:spacing w:after="0" w:line="67" w:lineRule="exact"/>
        <w:rPr>
          <w:rFonts w:ascii="Times New Roman" w:cs="Times New Roman" w:eastAsia="Times New Roman" w:hAnsi="Times New Roman"/>
          <w:sz w:val="18"/>
          <w:szCs w:val="18"/>
          <w:color w:val="auto"/>
        </w:rPr>
      </w:pPr>
    </w:p>
    <w:p>
      <w:pPr>
        <w:ind w:left="1200" w:hanging="775"/>
        <w:spacing w:after="0"/>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tabs>
          <w:tab w:leader="none" w:pos="5460" w:val="left"/>
          <w:tab w:leader="none" w:pos="9760" w:val="left"/>
        </w:tabs>
        <w:rPr>
          <w:sz w:val="20"/>
          <w:szCs w:val="20"/>
          <w:color w:val="auto"/>
        </w:rPr>
      </w:pPr>
      <w:r>
        <w:rPr>
          <w:rFonts w:ascii="Times New Roman" w:cs="Times New Roman" w:eastAsia="Times New Roman" w:hAnsi="Times New Roman"/>
          <w:sz w:val="18"/>
          <w:szCs w:val="18"/>
          <w:color w:val="auto"/>
        </w:rPr>
        <w:t>CUSIP No. 03969T109</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12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p>
      <w:pPr>
        <w:ind w:left="1200" w:right="7260" w:hanging="730"/>
        <w:spacing w:after="0" w:line="312" w:lineRule="auto"/>
        <w:tabs>
          <w:tab w:leader="none" w:pos="12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HealthCor Therapeutics GP, LLC</w:t>
      </w:r>
    </w:p>
    <w:p>
      <w:pPr>
        <w:spacing w:after="0" w:line="274" w:lineRule="exact"/>
        <w:rPr>
          <w:rFonts w:ascii="Times New Roman" w:cs="Times New Roman" w:eastAsia="Times New Roman" w:hAnsi="Times New Roman"/>
          <w:sz w:val="17"/>
          <w:szCs w:val="17"/>
          <w:color w:val="auto"/>
        </w:rPr>
      </w:pPr>
    </w:p>
    <w:p>
      <w:pPr>
        <w:ind w:left="1200" w:hanging="730"/>
        <w:spacing w:after="0"/>
        <w:tabs>
          <w:tab w:leader="none" w:pos="12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 w:lineRule="exact"/>
        <w:rPr>
          <w:sz w:val="20"/>
          <w:szCs w:val="20"/>
          <w:color w:val="auto"/>
        </w:rPr>
      </w:pPr>
    </w:p>
    <w:p>
      <w:pPr>
        <w:ind w:left="10240"/>
        <w:spacing w:after="0" w:line="207" w:lineRule="exact"/>
        <w:tabs>
          <w:tab w:leader="none" w:pos="106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ind w:left="10260"/>
        <w:spacing w:after="0" w:line="207" w:lineRule="exact"/>
        <w:tabs>
          <w:tab w:leader="none" w:pos="1068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ind w:left="1200" w:hanging="730"/>
        <w:spacing w:after="0"/>
        <w:tabs>
          <w:tab w:leader="none" w:pos="12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right="6380" w:hanging="730"/>
        <w:spacing w:after="0" w:line="282" w:lineRule="auto"/>
        <w:tabs>
          <w:tab w:leader="none" w:pos="12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spacing w:after="0"/>
              <w:rPr>
                <w:sz w:val="20"/>
                <w:szCs w:val="20"/>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2260" w:type="dxa"/>
            <w:vAlign w:val="bottom"/>
            <w:vMerge w:val="continue"/>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440" w:type="dxa"/>
            <w:vAlign w:val="bottom"/>
          </w:tcPr>
          <w:p>
            <w:pPr>
              <w:spacing w:after="0"/>
              <w:rPr>
                <w:sz w:val="18"/>
                <w:szCs w:val="18"/>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90,170</w:t>
            </w:r>
          </w:p>
        </w:tc>
        <w:tc>
          <w:tcPr>
            <w:tcW w:w="0" w:type="dxa"/>
            <w:vAlign w:val="bottom"/>
          </w:tcPr>
          <w:p>
            <w:pPr>
              <w:spacing w:after="0"/>
              <w:rPr>
                <w:sz w:val="1"/>
                <w:szCs w:val="1"/>
                <w:color w:val="auto"/>
              </w:rPr>
            </w:pPr>
          </w:p>
        </w:tc>
      </w:tr>
      <w:tr>
        <w:trPr>
          <w:trHeight w:val="108"/>
        </w:trPr>
        <w:tc>
          <w:tcPr>
            <w:tcW w:w="226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Borders>
              <w:bottom w:val="single" w:sz="8" w:color="auto"/>
            </w:tcBorders>
          </w:tcPr>
          <w:p>
            <w:pPr>
              <w:spacing w:after="0"/>
              <w:rPr>
                <w:sz w:val="9"/>
                <w:szCs w:val="9"/>
                <w:color w:val="auto"/>
              </w:rPr>
            </w:pPr>
          </w:p>
        </w:tc>
        <w:tc>
          <w:tcPr>
            <w:tcW w:w="8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260" w:type="dxa"/>
            <w:vAlign w:val="bottom"/>
            <w:vMerge w:val="continue"/>
          </w:tcPr>
          <w:p>
            <w:pPr>
              <w:spacing w:after="0"/>
              <w:rPr>
                <w:sz w:val="6"/>
                <w:szCs w:val="6"/>
                <w:color w:val="auto"/>
              </w:rPr>
            </w:pPr>
          </w:p>
        </w:tc>
        <w:tc>
          <w:tcPr>
            <w:tcW w:w="4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85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80"/>
        </w:trPr>
        <w:tc>
          <w:tcPr>
            <w:tcW w:w="2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EACH</w:t>
            </w:r>
          </w:p>
        </w:tc>
        <w:tc>
          <w:tcPr>
            <w:tcW w:w="44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440" w:type="dxa"/>
            <w:vAlign w:val="bottom"/>
          </w:tcPr>
          <w:p>
            <w:pPr>
              <w:spacing w:after="0"/>
              <w:rPr>
                <w:sz w:val="21"/>
                <w:szCs w:val="21"/>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440" w:type="dxa"/>
            <w:vAlign w:val="bottom"/>
            <w:tcBorders>
              <w:bottom w:val="single" w:sz="8" w:color="auto"/>
            </w:tcBorders>
          </w:tcPr>
          <w:p>
            <w:pPr>
              <w:spacing w:after="0"/>
              <w:rPr>
                <w:sz w:val="2"/>
                <w:szCs w:val="2"/>
                <w:color w:val="auto"/>
              </w:rPr>
            </w:pPr>
          </w:p>
        </w:tc>
        <w:tc>
          <w:tcPr>
            <w:tcW w:w="8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60" w:type="dxa"/>
            <w:vAlign w:val="bottom"/>
            <w:vMerge w:val="continue"/>
          </w:tcPr>
          <w:p>
            <w:pPr>
              <w:spacing w:after="0"/>
              <w:rPr>
                <w:sz w:val="15"/>
                <w:szCs w:val="15"/>
                <w:color w:val="auto"/>
              </w:rPr>
            </w:pPr>
          </w:p>
        </w:tc>
        <w:tc>
          <w:tcPr>
            <w:tcW w:w="4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85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63"/>
        </w:trPr>
        <w:tc>
          <w:tcPr>
            <w:tcW w:w="22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90,170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7" w:lineRule="exact"/>
        <w:rPr>
          <w:sz w:val="20"/>
          <w:szCs w:val="20"/>
          <w:color w:val="auto"/>
        </w:rPr>
      </w:pPr>
    </w:p>
    <w:p>
      <w:pPr>
        <w:ind w:left="1200" w:hanging="730"/>
        <w:spacing w:after="0"/>
        <w:tabs>
          <w:tab w:leader="none" w:pos="1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90,170</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960" w:type="dxa"/>
            <w:vAlign w:val="bottom"/>
            <w:tcBorders>
              <w:bottom w:val="single" w:sz="8" w:color="auto"/>
            </w:tcBorders>
          </w:tcPr>
          <w:p>
            <w:pPr>
              <w:spacing w:after="0"/>
              <w:rPr>
                <w:sz w:val="5"/>
                <w:szCs w:val="5"/>
                <w:color w:val="auto"/>
              </w:rPr>
            </w:pPr>
          </w:p>
        </w:tc>
        <w:tc>
          <w:tcPr>
            <w:tcW w:w="854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40" w:type="dxa"/>
            <w:vAlign w:val="bottom"/>
            <w:vMerge w:val="restart"/>
          </w:tcPr>
          <w:p>
            <w:pPr>
              <w:ind w:left="12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960" w:type="dxa"/>
            <w:vAlign w:val="bottom"/>
          </w:tcPr>
          <w:p>
            <w:pPr>
              <w:spacing w:after="0"/>
              <w:rPr>
                <w:sz w:val="12"/>
                <w:szCs w:val="12"/>
                <w:color w:val="auto"/>
              </w:rPr>
            </w:pPr>
          </w:p>
        </w:tc>
        <w:tc>
          <w:tcPr>
            <w:tcW w:w="85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(see instructions)</w:t>
            </w: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960" w:type="dxa"/>
            <w:vAlign w:val="bottom"/>
          </w:tcPr>
          <w:p>
            <w:pPr>
              <w:spacing w:after="0"/>
              <w:rPr>
                <w:sz w:val="7"/>
                <w:szCs w:val="7"/>
                <w:color w:val="auto"/>
              </w:rPr>
            </w:pPr>
          </w:p>
        </w:tc>
        <w:tc>
          <w:tcPr>
            <w:tcW w:w="8540" w:type="dxa"/>
            <w:vAlign w:val="bottom"/>
            <w:vMerge w:val="continue"/>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3" w:lineRule="exact"/>
        <w:rPr>
          <w:sz w:val="20"/>
          <w:szCs w:val="20"/>
          <w:color w:val="auto"/>
        </w:rPr>
      </w:pPr>
    </w:p>
    <w:p>
      <w:pPr>
        <w:ind w:left="1200" w:right="4980" w:hanging="772"/>
        <w:spacing w:after="0" w:line="282" w:lineRule="auto"/>
        <w:tabs>
          <w:tab w:leader="none" w:pos="12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0.4%</w:t>
      </w:r>
    </w:p>
    <w:p>
      <w:pPr>
        <w:spacing w:after="0" w:line="67" w:lineRule="exact"/>
        <w:rPr>
          <w:rFonts w:ascii="Times New Roman" w:cs="Times New Roman" w:eastAsia="Times New Roman" w:hAnsi="Times New Roman"/>
          <w:sz w:val="18"/>
          <w:szCs w:val="18"/>
          <w:color w:val="auto"/>
        </w:rPr>
      </w:pPr>
    </w:p>
    <w:p>
      <w:pPr>
        <w:ind w:left="1200" w:right="6260" w:hanging="775"/>
        <w:spacing w:after="0" w:line="532" w:lineRule="auto"/>
        <w:tabs>
          <w:tab w:leader="none" w:pos="12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 -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tabs>
          <w:tab w:leader="none" w:pos="5460" w:val="left"/>
        </w:tabs>
        <w:rPr>
          <w:sz w:val="20"/>
          <w:szCs w:val="20"/>
          <w:color w:val="auto"/>
        </w:rPr>
      </w:pPr>
      <w:r>
        <w:rPr>
          <w:rFonts w:ascii="Times New Roman" w:cs="Times New Roman" w:eastAsia="Times New Roman" w:hAnsi="Times New Roman"/>
          <w:sz w:val="18"/>
          <w:szCs w:val="18"/>
          <w:color w:val="auto"/>
        </w:rPr>
        <w:t>CUSIP No. 03969T109</w:t>
      </w:r>
      <w:r>
        <w:rPr>
          <w:sz w:val="20"/>
          <w:szCs w:val="20"/>
          <w:color w:val="auto"/>
        </w:rPr>
        <w:tab/>
      </w:r>
      <w:r>
        <w:rPr>
          <w:rFonts w:ascii="Times New Roman" w:cs="Times New Roman" w:eastAsia="Times New Roman" w:hAnsi="Times New Roman"/>
          <w:sz w:val="17"/>
          <w:szCs w:val="17"/>
          <w:color w:val="auto"/>
        </w:rPr>
        <w:t>13G</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1(a).</w:t>
      </w:r>
      <w:r>
        <w:rPr>
          <w:sz w:val="20"/>
          <w:szCs w:val="20"/>
          <w:color w:val="auto"/>
        </w:rPr>
        <w:tab/>
      </w:r>
      <w:r>
        <w:rPr>
          <w:rFonts w:ascii="Times New Roman" w:cs="Times New Roman" w:eastAsia="Times New Roman" w:hAnsi="Times New Roman"/>
          <w:sz w:val="18"/>
          <w:szCs w:val="18"/>
          <w:color w:val="auto"/>
        </w:rPr>
        <w:t>Name of Issuer:</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Arcturus Therapeutics Holdings Inc.</w:t>
      </w:r>
    </w:p>
    <w:p>
      <w:pPr>
        <w:spacing w:after="0" w:line="20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1(b).</w:t>
      </w:r>
      <w:r>
        <w:rPr>
          <w:sz w:val="20"/>
          <w:szCs w:val="20"/>
          <w:color w:val="auto"/>
        </w:rPr>
        <w:tab/>
      </w:r>
      <w:r>
        <w:rPr>
          <w:rFonts w:ascii="Times New Roman" w:cs="Times New Roman" w:eastAsia="Times New Roman" w:hAnsi="Times New Roman"/>
          <w:sz w:val="17"/>
          <w:szCs w:val="17"/>
          <w:color w:val="auto"/>
        </w:rPr>
        <w:t>Address of Issuer's Principal Executive Offices: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10628 Science Center Drive, Suite 250, San Diego, California 92121</w:t>
      </w:r>
    </w:p>
    <w:p>
      <w:pPr>
        <w:spacing w:after="0" w:line="20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2(a, b, c).</w:t>
      </w:r>
      <w:r>
        <w:rPr>
          <w:sz w:val="20"/>
          <w:szCs w:val="20"/>
          <w:color w:val="auto"/>
        </w:rPr>
        <w:tab/>
      </w:r>
      <w:r>
        <w:rPr>
          <w:rFonts w:ascii="Times New Roman" w:cs="Times New Roman" w:eastAsia="Times New Roman" w:hAnsi="Times New Roman"/>
          <w:sz w:val="17"/>
          <w:szCs w:val="17"/>
          <w:color w:val="auto"/>
        </w:rPr>
        <w:t>Name of Person Filing: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13 of 17 Pages</w:t>
      </w:r>
    </w:p>
    <w:p>
      <w:pPr>
        <w:spacing w:after="0" w:line="1939" w:lineRule="exact"/>
        <w:rPr>
          <w:sz w:val="20"/>
          <w:szCs w:val="20"/>
          <w:color w:val="auto"/>
        </w:rPr>
      </w:pPr>
    </w:p>
    <w:p>
      <w:pPr>
        <w:sectPr>
          <w:pgSz w:w="11900" w:h="16838" w:orient="portrait"/>
          <w:cols w:equalWidth="0" w:num="2">
            <w:col w:w="9060" w:space="720"/>
            <w:col w:w="1460"/>
          </w:cols>
          <w:pgMar w:left="320" w:top="904" w:right="339" w:bottom="1440" w:gutter="0" w:footer="0" w:header="0"/>
        </w:sectPr>
      </w:pPr>
    </w:p>
    <w:p>
      <w:pPr>
        <w:spacing w:after="0" w:line="29" w:lineRule="exact"/>
        <w:rPr>
          <w:sz w:val="20"/>
          <w:szCs w:val="20"/>
          <w:color w:val="auto"/>
        </w:rPr>
      </w:pPr>
    </w:p>
    <w:p>
      <w:pPr>
        <w:ind w:left="1520" w:hanging="216"/>
        <w:spacing w:after="0"/>
        <w:tabs>
          <w:tab w:leader="none" w:pos="1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HealthCor Management, L.P., a Delaware limited partnership, 55 Hudson Yards, 28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10001;</w:t>
      </w:r>
    </w:p>
    <w:p>
      <w:pPr>
        <w:spacing w:after="0" w:line="13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HealthCor Associates, LLC, a Delaware limited liability company, 55 Hudson Yards, 28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10001;</w:t>
      </w:r>
    </w:p>
    <w:p>
      <w:pPr>
        <w:spacing w:after="0" w:line="13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HealthCor Offshore Master Fund, L.P., a Cayman Islands limited partnership, 55 Hudson Yards, 28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10001;</w:t>
      </w:r>
    </w:p>
    <w:p>
      <w:pPr>
        <w:spacing w:after="0" w:line="139"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HealthCor Offshore GP, LLC, a Delaware limited liability company, 55 Hudson Yards, 28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10001;</w:t>
      </w:r>
    </w:p>
    <w:p>
      <w:pPr>
        <w:spacing w:after="0" w:line="13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HealthCor Group, LLC, a Delaware limited liability company, 55 Hudson Yards, 28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10001;</w:t>
      </w:r>
    </w:p>
    <w:p>
      <w:pPr>
        <w:spacing w:after="0" w:line="139"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Joseph Healey, 55 Hudson Yards, 28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10001;</w:t>
      </w:r>
    </w:p>
    <w:p>
      <w:pPr>
        <w:spacing w:after="0" w:line="13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Arthur Cohen, 12 South Main Street, #203 Norwalk, CT 06854;</w:t>
      </w:r>
    </w:p>
    <w:p>
      <w:pPr>
        <w:spacing w:after="0" w:line="228" w:lineRule="exact"/>
        <w:rPr>
          <w:rFonts w:ascii="Times New Roman" w:cs="Times New Roman" w:eastAsia="Times New Roman" w:hAnsi="Times New Roman"/>
          <w:sz w:val="18"/>
          <w:szCs w:val="18"/>
          <w:color w:val="auto"/>
        </w:rPr>
      </w:pPr>
    </w:p>
    <w:p>
      <w:pPr>
        <w:ind w:left="1300" w:right="20" w:firstLine="4"/>
        <w:spacing w:after="0" w:line="216" w:lineRule="auto"/>
        <w:tabs>
          <w:tab w:leader="none" w:pos="170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HealthCor Sanatate Offshore Master Fund, L.P., a Cayman Islands limited partnership, 55 Hudson Yards, 28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10001;</w:t>
      </w:r>
    </w:p>
    <w:p>
      <w:pPr>
        <w:spacing w:after="0" w:line="202"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HealthCor Offshore II GP, LLC, a Delaware limited liability company, 55 Hudson Yards, 28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10001;</w:t>
      </w:r>
    </w:p>
    <w:p>
      <w:pPr>
        <w:spacing w:after="0" w:line="78"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HealthCor Therapeutics Master Fund, L.P., a Cayman Islands limited partnership, 55 Hudson Yards, 28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w:t>
      </w:r>
    </w:p>
    <w:p>
      <w:pPr>
        <w:spacing w:after="0"/>
        <w:rPr>
          <w:sz w:val="20"/>
          <w:szCs w:val="20"/>
          <w:color w:val="auto"/>
        </w:rPr>
      </w:pPr>
      <w:r>
        <w:rPr>
          <w:rFonts w:ascii="Times New Roman" w:cs="Times New Roman" w:eastAsia="Times New Roman" w:hAnsi="Times New Roman"/>
          <w:sz w:val="18"/>
          <w:szCs w:val="18"/>
          <w:color w:val="auto"/>
        </w:rPr>
        <w:t>10001; and</w:t>
      </w:r>
    </w:p>
    <w:p>
      <w:pPr>
        <w:spacing w:after="0" w:line="209" w:lineRule="exact"/>
        <w:rPr>
          <w:sz w:val="20"/>
          <w:szCs w:val="20"/>
          <w:color w:val="auto"/>
        </w:rPr>
      </w:pPr>
    </w:p>
    <w:p>
      <w:pPr>
        <w:ind w:left="1300" w:right="600" w:firstLine="4"/>
        <w:spacing w:after="0" w:line="400" w:lineRule="auto"/>
        <w:tabs>
          <w:tab w:leader="none" w:pos="160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HealthCor Therapeutics GP, LLC, a Delaware limited liability company, 55 Hudson Yards, 28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10001. Both Mr. Healey and Mr. Cohen are United States citizens.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persons at (i) through (xi) above are collectively referred to herein as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CUSIP No. 03969T109</w:t>
      </w:r>
    </w:p>
    <w:p>
      <w:pPr>
        <w:spacing w:after="0" w:line="20" w:lineRule="exact"/>
        <w:rPr>
          <w:sz w:val="20"/>
          <w:szCs w:val="20"/>
          <w:color w:val="auto"/>
        </w:rPr>
      </w:pPr>
      <w:r>
        <w:rPr>
          <w:sz w:val="20"/>
          <w:szCs w:val="20"/>
          <w:color w:val="auto"/>
        </w:rPr>
        <w:br w:type="column"/>
      </w:r>
    </w:p>
    <w:p>
      <w:pPr>
        <w:jc w:val="center"/>
        <w:ind w:right="3280"/>
        <w:spacing w:after="0"/>
        <w:rPr>
          <w:sz w:val="20"/>
          <w:szCs w:val="20"/>
          <w:color w:val="auto"/>
        </w:rPr>
      </w:pPr>
      <w:r>
        <w:rPr>
          <w:rFonts w:ascii="Times New Roman" w:cs="Times New Roman" w:eastAsia="Times New Roman" w:hAnsi="Times New Roman"/>
          <w:sz w:val="17"/>
          <w:szCs w:val="17"/>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14 of 17 Pages</w:t>
      </w:r>
    </w:p>
    <w:p>
      <w:pPr>
        <w:spacing w:after="0" w:line="211" w:lineRule="exact"/>
        <w:rPr>
          <w:sz w:val="20"/>
          <w:szCs w:val="20"/>
          <w:color w:val="auto"/>
        </w:rPr>
      </w:pPr>
    </w:p>
    <w:p>
      <w:pPr>
        <w:sectPr>
          <w:pgSz w:w="11900" w:h="16838" w:orient="portrait"/>
          <w:cols w:equalWidth="0" w:num="3">
            <w:col w:w="4760" w:space="720"/>
            <w:col w:w="3580" w:space="720"/>
            <w:col w:w="1460"/>
          </w:cols>
          <w:pgMar w:left="320" w:top="904" w:right="339" w:bottom="1440" w:gutter="0" w:footer="0" w:header="0"/>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 (the "Common Stock")</w:t>
      </w:r>
    </w:p>
    <w:p>
      <w:pPr>
        <w:spacing w:after="0" w:line="200" w:lineRule="exact"/>
        <w:rPr>
          <w:sz w:val="20"/>
          <w:szCs w:val="20"/>
          <w:color w:val="auto"/>
        </w:rPr>
      </w:pPr>
    </w:p>
    <w:p>
      <w:pPr>
        <w:sectPr>
          <w:pgSz w:w="11900" w:h="16838" w:orient="portrait"/>
          <w:cols w:equalWidth="0" w:num="2">
            <w:col w:w="720" w:space="580"/>
            <w:col w:w="9940"/>
          </w:cols>
          <w:pgMar w:left="320" w:top="904"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Number: 03969T109</w:t>
      </w:r>
    </w:p>
    <w:p>
      <w:pPr>
        <w:spacing w:after="0" w:line="200" w:lineRule="exact"/>
        <w:rPr>
          <w:sz w:val="20"/>
          <w:szCs w:val="20"/>
          <w:color w:val="auto"/>
        </w:rPr>
      </w:pPr>
    </w:p>
    <w:p>
      <w:pPr>
        <w:sectPr>
          <w:pgSz w:w="11900" w:h="16838" w:orient="portrait"/>
          <w:cols w:equalWidth="0" w:num="2">
            <w:col w:w="720" w:space="580"/>
            <w:col w:w="9940"/>
          </w:cols>
          <w:pgMar w:left="320" w:top="904"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11" w:lineRule="exact"/>
        <w:rPr>
          <w:sz w:val="20"/>
          <w:szCs w:val="20"/>
          <w:color w:val="auto"/>
        </w:rPr>
      </w:pPr>
    </w:p>
    <w:p>
      <w:pPr>
        <w:sectPr>
          <w:pgSz w:w="11900" w:h="16838" w:orient="portrait"/>
          <w:cols w:equalWidth="0" w:num="2">
            <w:col w:w="580" w:space="720"/>
            <w:col w:w="9940"/>
          </w:cols>
          <w:pgMar w:left="320" w:top="904"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w:t>
      </w:r>
    </w:p>
    <w:p>
      <w:pPr>
        <w:spacing w:after="0" w:line="200" w:lineRule="exact"/>
        <w:rPr>
          <w:sz w:val="20"/>
          <w:szCs w:val="20"/>
          <w:color w:val="auto"/>
        </w:rPr>
      </w:pPr>
    </w:p>
    <w:p>
      <w:pPr>
        <w:sectPr>
          <w:pgSz w:w="11900" w:h="16838" w:orient="portrait"/>
          <w:cols w:equalWidth="0" w:num="2">
            <w:col w:w="580" w:space="720"/>
            <w:col w:w="9940"/>
          </w:cols>
          <w:pgMar w:left="320" w:top="904" w:right="339" w:bottom="1440" w:gutter="0" w:footer="0" w:header="0"/>
          <w:type w:val="continuous"/>
        </w:sectPr>
      </w:pPr>
    </w:p>
    <w:p>
      <w:pPr>
        <w:spacing w:after="0" w:line="25" w:lineRule="exact"/>
        <w:rPr>
          <w:sz w:val="20"/>
          <w:szCs w:val="20"/>
          <w:color w:val="auto"/>
        </w:rPr>
      </w:pPr>
    </w:p>
    <w:p>
      <w:pPr>
        <w:ind w:left="1300" w:right="68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Items 4(a) - (c) is set forth in Rows 5 - 11 of the cover page for each Reporting Person hereto and is incorporated herein by reference for each such Reporting Person.</w:t>
      </w:r>
    </w:p>
    <w:p>
      <w:pPr>
        <w:spacing w:after="0" w:line="162" w:lineRule="exact"/>
        <w:rPr>
          <w:sz w:val="20"/>
          <w:szCs w:val="20"/>
          <w:color w:val="auto"/>
        </w:rPr>
      </w:pPr>
    </w:p>
    <w:p>
      <w:pPr>
        <w:ind w:left="1300" w:right="60"/>
        <w:spacing w:after="0" w:line="261" w:lineRule="auto"/>
        <w:rPr>
          <w:sz w:val="20"/>
          <w:szCs w:val="20"/>
          <w:color w:val="auto"/>
        </w:rPr>
      </w:pPr>
      <w:r>
        <w:rPr>
          <w:rFonts w:ascii="Times New Roman" w:cs="Times New Roman" w:eastAsia="Times New Roman" w:hAnsi="Times New Roman"/>
          <w:sz w:val="18"/>
          <w:szCs w:val="18"/>
          <w:color w:val="auto"/>
        </w:rPr>
        <w:t>Collectively, HealthCor Offshore Master Fund, L.P., HealthCor Sanatate Offshore Master Fund, L.P. and HealthCor Therapeutics Master Fund, L.P. (each a "Fund" and together, the "Funds") are the beneficial owners of a total of 830,270 shares of the Common Stock of the Issuer. In addition, HealthCor Management, L.P. manages separately managed accounts that collectively hold a total of 754,196 shares of the Common Stock of the Issuer.</w:t>
      </w:r>
    </w:p>
    <w:p>
      <w:pPr>
        <w:spacing w:after="0" w:line="180" w:lineRule="exact"/>
        <w:rPr>
          <w:sz w:val="20"/>
          <w:szCs w:val="20"/>
          <w:color w:val="auto"/>
        </w:rPr>
      </w:pPr>
    </w:p>
    <w:p>
      <w:pPr>
        <w:ind w:left="1300" w:right="120"/>
        <w:spacing w:after="0" w:line="261" w:lineRule="auto"/>
        <w:rPr>
          <w:sz w:val="20"/>
          <w:szCs w:val="20"/>
          <w:color w:val="auto"/>
        </w:rPr>
      </w:pPr>
      <w:r>
        <w:rPr>
          <w:rFonts w:ascii="Times New Roman" w:cs="Times New Roman" w:eastAsia="Times New Roman" w:hAnsi="Times New Roman"/>
          <w:sz w:val="18"/>
          <w:szCs w:val="18"/>
          <w:color w:val="auto"/>
        </w:rPr>
        <w:t>HealthCor Offshore GP, LLC is the general partner of HealthCor Offshore Master Fund, L.P. Accordingly, HealthCor Offshore GP, LLC may be deemed to beneficially own the shares of Common Stock that are beneficially owned by HealthCor Offshore Master Fund, L.P. HealthCor Group, LLC is the managing member of HealthCor Offshore GP, LLC and, therefore, may be deemed to beneficially own the shares of Common Stock that are beneficially owned by HealthCor Offshore Master Fund, L.P.</w:t>
      </w:r>
    </w:p>
    <w:p>
      <w:pPr>
        <w:spacing w:after="0" w:line="180" w:lineRule="exact"/>
        <w:rPr>
          <w:sz w:val="20"/>
          <w:szCs w:val="20"/>
          <w:color w:val="auto"/>
        </w:rPr>
      </w:pPr>
    </w:p>
    <w:p>
      <w:pPr>
        <w:ind w:left="1300" w:right="40"/>
        <w:spacing w:after="0" w:line="281" w:lineRule="auto"/>
        <w:rPr>
          <w:sz w:val="20"/>
          <w:szCs w:val="20"/>
          <w:color w:val="auto"/>
        </w:rPr>
      </w:pPr>
      <w:r>
        <w:rPr>
          <w:rFonts w:ascii="Times New Roman" w:cs="Times New Roman" w:eastAsia="Times New Roman" w:hAnsi="Times New Roman"/>
          <w:sz w:val="17"/>
          <w:szCs w:val="17"/>
          <w:color w:val="auto"/>
        </w:rPr>
        <w:t>HealthCor Offshore II GP, LLC is the general partner of HealthCor Sanatate Offshore Master Fund, L.P. Accordingly, HealthCor Offshore II GP, LLC may be deemed to beneficially own the shares of Common Stock that are beneficially owned by HealthCor Sanatate Offshore Master Fund, L.P. HealthCor Group, LLC is the managing member of HealthCor Offshore II GP, LLC and, therefore, may be deemed to beneficially own the shares of Common Stock that are beneficially owned by HealthCor Sanatate Offshore Master Fund, L.P.</w:t>
      </w:r>
    </w:p>
    <w:p>
      <w:pPr>
        <w:spacing w:after="0" w:line="164" w:lineRule="exact"/>
        <w:rPr>
          <w:sz w:val="20"/>
          <w:szCs w:val="20"/>
          <w:color w:val="auto"/>
        </w:rPr>
      </w:pPr>
    </w:p>
    <w:p>
      <w:pPr>
        <w:ind w:left="1300" w:right="40"/>
        <w:spacing w:after="0" w:line="281" w:lineRule="auto"/>
        <w:rPr>
          <w:sz w:val="20"/>
          <w:szCs w:val="20"/>
          <w:color w:val="auto"/>
        </w:rPr>
      </w:pPr>
      <w:r>
        <w:rPr>
          <w:rFonts w:ascii="Times New Roman" w:cs="Times New Roman" w:eastAsia="Times New Roman" w:hAnsi="Times New Roman"/>
          <w:sz w:val="17"/>
          <w:szCs w:val="17"/>
          <w:color w:val="auto"/>
        </w:rPr>
        <w:t>HealthCor Therapeutics GP, LLC is the general partner of HealthCor Therapeutics Master Fund, L.P. Accordingly, HealthCor Therapeutics GP, LLC may be deemed to beneficially own the shares of Common Stock that are beneficially owned by HealthCor Therapeutics Master Fund, L.P. HealthCor Group, LLC is the managing member of HealthCor Therapeutics GP, LLC and, therefore, may be deemed to beneficially own the shares of Common Stock that are beneficially owned by HealthCor Therapeutics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4" w:name="page15"/>
    <w:bookmarkEnd w:id="14"/>
    <w:p>
      <w:pPr>
        <w:spacing w:after="0"/>
        <w:tabs>
          <w:tab w:leader="none" w:pos="5460" w:val="left"/>
          <w:tab w:leader="none" w:pos="9760" w:val="left"/>
        </w:tabs>
        <w:rPr>
          <w:sz w:val="20"/>
          <w:szCs w:val="20"/>
          <w:color w:val="auto"/>
        </w:rPr>
      </w:pPr>
      <w:r>
        <w:rPr>
          <w:rFonts w:ascii="Times New Roman" w:cs="Times New Roman" w:eastAsia="Times New Roman" w:hAnsi="Times New Roman"/>
          <w:sz w:val="18"/>
          <w:szCs w:val="18"/>
          <w:color w:val="auto"/>
        </w:rPr>
        <w:t>CUSIP No. 03969T109</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15 of 17 Pages</w:t>
      </w:r>
    </w:p>
    <w:p>
      <w:pPr>
        <w:spacing w:after="0" w:line="225" w:lineRule="exact"/>
        <w:rPr>
          <w:sz w:val="20"/>
          <w:szCs w:val="20"/>
          <w:color w:val="auto"/>
        </w:rPr>
      </w:pPr>
    </w:p>
    <w:p>
      <w:pPr>
        <w:ind w:left="1300" w:right="160"/>
        <w:spacing w:after="0" w:line="261" w:lineRule="auto"/>
        <w:rPr>
          <w:sz w:val="20"/>
          <w:szCs w:val="20"/>
          <w:color w:val="auto"/>
        </w:rPr>
      </w:pPr>
      <w:r>
        <w:rPr>
          <w:rFonts w:ascii="Times New Roman" w:cs="Times New Roman" w:eastAsia="Times New Roman" w:hAnsi="Times New Roman"/>
          <w:sz w:val="18"/>
          <w:szCs w:val="18"/>
          <w:color w:val="auto"/>
        </w:rPr>
        <w:t>By virtue of its position as the investment manager of the Funds, HealthCor Management, L.P. may be deemed a beneficial owner of all the shares of Common Stock owned by the Funds, as well as those it manages through separately managed accounts. HealthCor Associates, LLC is the general partner of HealthCor Management, L.P. and thus may also be deemed to beneficially own the shares of Common Stock that are beneficially owned by HealthCor Management, L.P.</w:t>
      </w:r>
    </w:p>
    <w:p>
      <w:pPr>
        <w:spacing w:after="0" w:line="180" w:lineRule="exact"/>
        <w:rPr>
          <w:sz w:val="20"/>
          <w:szCs w:val="20"/>
          <w:color w:val="auto"/>
        </w:rPr>
      </w:pPr>
    </w:p>
    <w:p>
      <w:pPr>
        <w:ind w:left="1300" w:right="220"/>
        <w:spacing w:after="0" w:line="282" w:lineRule="auto"/>
        <w:rPr>
          <w:sz w:val="20"/>
          <w:szCs w:val="20"/>
          <w:color w:val="auto"/>
        </w:rPr>
      </w:pPr>
      <w:r>
        <w:rPr>
          <w:rFonts w:ascii="Times New Roman" w:cs="Times New Roman" w:eastAsia="Times New Roman" w:hAnsi="Times New Roman"/>
          <w:sz w:val="18"/>
          <w:szCs w:val="18"/>
          <w:color w:val="auto"/>
        </w:rPr>
        <w:t>As the Managers of HealthCor Associates, LLC, Arthur Cohen and Joseph Healey exercise both voting and investment power with respect to the shares of Common Stock reported herein, and therefore each may be deemed a beneficial owner of such Common Stock.</w:t>
      </w:r>
    </w:p>
    <w:p>
      <w:pPr>
        <w:spacing w:after="0" w:line="162" w:lineRule="exact"/>
        <w:rPr>
          <w:sz w:val="20"/>
          <w:szCs w:val="20"/>
          <w:color w:val="auto"/>
        </w:rPr>
      </w:pPr>
    </w:p>
    <w:p>
      <w:pPr>
        <w:ind w:left="1300" w:right="160"/>
        <w:spacing w:after="0" w:line="282" w:lineRule="auto"/>
        <w:rPr>
          <w:sz w:val="20"/>
          <w:szCs w:val="20"/>
          <w:color w:val="auto"/>
        </w:rPr>
      </w:pPr>
      <w:r>
        <w:rPr>
          <w:rFonts w:ascii="Times New Roman" w:cs="Times New Roman" w:eastAsia="Times New Roman" w:hAnsi="Times New Roman"/>
          <w:sz w:val="18"/>
          <w:szCs w:val="18"/>
          <w:color w:val="auto"/>
        </w:rPr>
        <w:t>Each of the Reporting Persons hereby disclaims any beneficial ownership of any such shares of Common Stock in excess of their actual pecuniary interest therein.</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color w:val="auto"/>
        </w:rPr>
        <w:t>Ownership of Five Percent or Less of a Class:</w:t>
      </w:r>
    </w:p>
    <w:p>
      <w:pPr>
        <w:spacing w:after="0" w:line="225" w:lineRule="exact"/>
        <w:rPr>
          <w:sz w:val="20"/>
          <w:szCs w:val="20"/>
          <w:color w:val="auto"/>
        </w:rPr>
      </w:pPr>
    </w:p>
    <w:p>
      <w:pPr>
        <w:ind w:left="1300" w:right="32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7"/>
          <w:szCs w:val="17"/>
          <w:color w:val="auto"/>
        </w:rPr>
        <w:t>Identification and Classification of the Subsidiary Which Acquired the Security Being Reported on by the Parent Holding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color w:val="auto"/>
        </w:rPr>
        <w:t>Identification and Classification of Members of the Group.</w:t>
      </w:r>
    </w:p>
    <w:p>
      <w:pPr>
        <w:spacing w:after="0" w:line="225" w:lineRule="exact"/>
        <w:rPr>
          <w:sz w:val="20"/>
          <w:szCs w:val="20"/>
          <w:color w:val="auto"/>
        </w:rPr>
      </w:pPr>
    </w:p>
    <w:p>
      <w:pPr>
        <w:jc w:val="center"/>
        <w:ind w:right="7660"/>
        <w:spacing w:after="0"/>
        <w:rPr>
          <w:sz w:val="20"/>
          <w:szCs w:val="20"/>
          <w:color w:val="auto"/>
        </w:rPr>
      </w:pPr>
      <w:r>
        <w:rPr>
          <w:rFonts w:ascii="Times New Roman" w:cs="Times New Roman" w:eastAsia="Times New Roman" w:hAnsi="Times New Roman"/>
          <w:sz w:val="18"/>
          <w:szCs w:val="18"/>
          <w:color w:val="auto"/>
        </w:rPr>
        <w:t>See Exhibit I.</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color w:val="auto"/>
        </w:rPr>
        <w:t>Notice of Dissolution of Group.</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ind w:left="1300" w:right="20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Exhibit I:</w:t>
      </w:r>
      <w:r>
        <w:rPr>
          <w:sz w:val="20"/>
          <w:szCs w:val="20"/>
          <w:color w:val="auto"/>
        </w:rPr>
        <w:tab/>
      </w:r>
      <w:r>
        <w:rPr>
          <w:rFonts w:ascii="Times New Roman" w:cs="Times New Roman" w:eastAsia="Times New Roman" w:hAnsi="Times New Roman"/>
          <w:sz w:val="17"/>
          <w:szCs w:val="17"/>
          <w:color w:val="auto"/>
        </w:rPr>
        <w:t>Joint Acquisition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spacing w:after="0"/>
        <w:tabs>
          <w:tab w:leader="none" w:pos="5460" w:val="left"/>
          <w:tab w:leader="none" w:pos="9760" w:val="left"/>
        </w:tabs>
        <w:rPr>
          <w:sz w:val="20"/>
          <w:szCs w:val="20"/>
          <w:color w:val="auto"/>
        </w:rPr>
      </w:pPr>
      <w:r>
        <w:rPr>
          <w:rFonts w:ascii="Times New Roman" w:cs="Times New Roman" w:eastAsia="Times New Roman" w:hAnsi="Times New Roman"/>
          <w:sz w:val="18"/>
          <w:szCs w:val="18"/>
          <w:color w:val="auto"/>
        </w:rPr>
        <w:t>CUSIP No. 03969T109</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16 of 17 Pages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11, 2020</w:t>
      </w:r>
    </w:p>
    <w:p>
      <w:pPr>
        <w:spacing w:after="0" w:line="2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HEALTHCOR MANAGEMENT, L.P.</w:t>
      </w:r>
    </w:p>
    <w:p>
      <w:pPr>
        <w:spacing w:after="0" w:line="225" w:lineRule="exact"/>
        <w:rPr>
          <w:sz w:val="20"/>
          <w:szCs w:val="20"/>
          <w:color w:val="auto"/>
        </w:rPr>
      </w:pPr>
    </w:p>
    <w:p>
      <w:pPr>
        <w:ind w:left="5280"/>
        <w:spacing w:after="0"/>
        <w:tabs>
          <w:tab w:leader="none" w:pos="5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HealthCor Associates, LLC, its general partner</w:t>
      </w:r>
    </w:p>
    <w:p>
      <w:pPr>
        <w:spacing w:after="0" w:line="22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Anabelle P.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17145</wp:posOffset>
            </wp:positionV>
            <wp:extent cx="37801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780155" cy="8890"/>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 Anabelle P. Gray</w:t>
      </w:r>
    </w:p>
    <w:p>
      <w:pPr>
        <w:spacing w:after="0" w:line="23" w:lineRule="exact"/>
        <w:rPr>
          <w:sz w:val="20"/>
          <w:szCs w:val="20"/>
          <w:color w:val="auto"/>
        </w:rPr>
      </w:pPr>
    </w:p>
    <w:p>
      <w:pPr>
        <w:ind w:left="5280"/>
        <w:spacing w:after="0"/>
        <w:tabs>
          <w:tab w:leader="none" w:pos="5800" w:val="left"/>
        </w:tabs>
        <w:rPr>
          <w:sz w:val="20"/>
          <w:szCs w:val="20"/>
          <w:color w:val="auto"/>
        </w:rPr>
      </w:pPr>
      <w:r>
        <w:rPr>
          <w:rFonts w:ascii="Times New Roman" w:cs="Times New Roman" w:eastAsia="Times New Roman" w:hAnsi="Times New Roman"/>
          <w:sz w:val="18"/>
          <w:szCs w:val="18"/>
          <w:color w:val="auto"/>
        </w:rPr>
        <w:t>Title:</w:t>
        <w:tab/>
        <w:t>General Counsel</w:t>
      </w:r>
    </w:p>
    <w:p>
      <w:pPr>
        <w:spacing w:after="0" w:line="207" w:lineRule="exact"/>
        <w:rPr>
          <w:sz w:val="20"/>
          <w:szCs w:val="20"/>
          <w:color w:val="auto"/>
        </w:rPr>
      </w:pPr>
    </w:p>
    <w:p>
      <w:pPr>
        <w:ind w:left="3540" w:right="660"/>
        <w:spacing w:after="0" w:line="282" w:lineRule="auto"/>
        <w:rPr>
          <w:sz w:val="20"/>
          <w:szCs w:val="20"/>
          <w:color w:val="auto"/>
        </w:rPr>
      </w:pPr>
      <w:r>
        <w:rPr>
          <w:rFonts w:ascii="Times New Roman" w:cs="Times New Roman" w:eastAsia="Times New Roman" w:hAnsi="Times New Roman"/>
          <w:sz w:val="18"/>
          <w:szCs w:val="18"/>
          <w:color w:val="auto"/>
        </w:rPr>
        <w:t>HEALTHCOR OFFSHORE GP, LLC, for itself and as general partner of behalf of HEALTHCOR OFFSHORE MASTER FUND, L.P.</w:t>
      </w:r>
    </w:p>
    <w:p>
      <w:pPr>
        <w:spacing w:after="0" w:line="162" w:lineRule="exact"/>
        <w:rPr>
          <w:sz w:val="20"/>
          <w:szCs w:val="20"/>
          <w:color w:val="auto"/>
        </w:rPr>
      </w:pPr>
    </w:p>
    <w:p>
      <w:pPr>
        <w:ind w:left="5280"/>
        <w:spacing w:after="0"/>
        <w:tabs>
          <w:tab w:leader="none" w:pos="5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HealthCor Group, LLC, its general partner</w:t>
      </w:r>
    </w:p>
    <w:p>
      <w:pPr>
        <w:spacing w:after="0" w:line="22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Anabelle P.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17145</wp:posOffset>
            </wp:positionV>
            <wp:extent cx="37801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 Anabelle P. Gray</w:t>
      </w:r>
    </w:p>
    <w:p>
      <w:pPr>
        <w:spacing w:after="0" w:line="23" w:lineRule="exact"/>
        <w:rPr>
          <w:sz w:val="20"/>
          <w:szCs w:val="20"/>
          <w:color w:val="auto"/>
        </w:rPr>
      </w:pPr>
    </w:p>
    <w:p>
      <w:pPr>
        <w:ind w:left="5280"/>
        <w:spacing w:after="0"/>
        <w:tabs>
          <w:tab w:leader="none" w:pos="5800" w:val="left"/>
        </w:tabs>
        <w:rPr>
          <w:sz w:val="20"/>
          <w:szCs w:val="20"/>
          <w:color w:val="auto"/>
        </w:rPr>
      </w:pPr>
      <w:r>
        <w:rPr>
          <w:rFonts w:ascii="Times New Roman" w:cs="Times New Roman" w:eastAsia="Times New Roman" w:hAnsi="Times New Roman"/>
          <w:sz w:val="18"/>
          <w:szCs w:val="18"/>
          <w:color w:val="auto"/>
        </w:rPr>
        <w:t>Title:</w:t>
        <w:tab/>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tabs>
          <w:tab w:leader="none" w:pos="5460" w:val="left"/>
          <w:tab w:leader="none" w:pos="9760" w:val="left"/>
        </w:tabs>
        <w:rPr>
          <w:sz w:val="20"/>
          <w:szCs w:val="20"/>
          <w:color w:val="auto"/>
        </w:rPr>
      </w:pPr>
      <w:r>
        <w:rPr>
          <w:rFonts w:ascii="Times New Roman" w:cs="Times New Roman" w:eastAsia="Times New Roman" w:hAnsi="Times New Roman"/>
          <w:sz w:val="18"/>
          <w:szCs w:val="18"/>
          <w:color w:val="auto"/>
        </w:rPr>
        <w:t>CUSIP No. 03969T109</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17 of 17 Pages</w:t>
      </w:r>
    </w:p>
    <w:p>
      <w:pPr>
        <w:sectPr>
          <w:pgSz w:w="11900" w:h="16838" w:orient="portrait"/>
          <w:cols w:equalWidth="0" w:num="1">
            <w:col w:w="11240"/>
          </w:cols>
          <w:pgMar w:left="320" w:top="904" w:right="339" w:bottom="1440" w:gutter="0" w:footer="0" w:header="0"/>
        </w:sectPr>
      </w:pPr>
    </w:p>
    <w:p>
      <w:pPr>
        <w:spacing w:after="0" w:line="225" w:lineRule="exact"/>
        <w:rPr>
          <w:sz w:val="20"/>
          <w:szCs w:val="20"/>
          <w:color w:val="auto"/>
        </w:rPr>
      </w:pPr>
    </w:p>
    <w:p>
      <w:pPr>
        <w:ind w:left="3540" w:right="480"/>
        <w:spacing w:after="0" w:line="282" w:lineRule="auto"/>
        <w:rPr>
          <w:sz w:val="20"/>
          <w:szCs w:val="20"/>
          <w:color w:val="auto"/>
        </w:rPr>
      </w:pPr>
      <w:r>
        <w:rPr>
          <w:rFonts w:ascii="Times New Roman" w:cs="Times New Roman" w:eastAsia="Times New Roman" w:hAnsi="Times New Roman"/>
          <w:sz w:val="18"/>
          <w:szCs w:val="18"/>
          <w:color w:val="auto"/>
        </w:rPr>
        <w:t>HEALTHCOR OFFSHORE II GP, LLC, for itself and as general partner of behalf of HEALTHCOR SANATATE OFFSHORE MASTER FUND, L.P.</w:t>
      </w:r>
    </w:p>
    <w:p>
      <w:pPr>
        <w:spacing w:after="0" w:line="162" w:lineRule="exact"/>
        <w:rPr>
          <w:sz w:val="20"/>
          <w:szCs w:val="20"/>
          <w:color w:val="auto"/>
        </w:rPr>
      </w:pPr>
    </w:p>
    <w:p>
      <w:pPr>
        <w:ind w:left="5280"/>
        <w:spacing w:after="0"/>
        <w:tabs>
          <w:tab w:leader="none" w:pos="5760" w:val="left"/>
        </w:tabs>
        <w:rPr>
          <w:sz w:val="20"/>
          <w:szCs w:val="20"/>
          <w:color w:val="auto"/>
        </w:rPr>
      </w:pPr>
      <w:r>
        <w:rPr>
          <w:rFonts w:ascii="Times New Roman" w:cs="Times New Roman" w:eastAsia="Times New Roman" w:hAnsi="Times New Roman"/>
          <w:sz w:val="18"/>
          <w:szCs w:val="18"/>
          <w:color w:val="auto"/>
        </w:rPr>
        <w:t>By:</w:t>
        <w:tab/>
        <w:t>HealthCor Group, LLC, its general partner</w:t>
      </w:r>
    </w:p>
    <w:p>
      <w:pPr>
        <w:spacing w:after="0" w:line="22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Anabelle P.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17145</wp:posOffset>
            </wp:positionV>
            <wp:extent cx="37801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Name:Anabelle P. Gray</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7" w:lineRule="exact"/>
        <w:rPr>
          <w:sz w:val="20"/>
          <w:szCs w:val="20"/>
          <w:color w:val="auto"/>
        </w:rPr>
      </w:pPr>
    </w:p>
    <w:p>
      <w:pPr>
        <w:ind w:left="3540" w:right="240"/>
        <w:spacing w:after="0" w:line="282" w:lineRule="auto"/>
        <w:rPr>
          <w:sz w:val="20"/>
          <w:szCs w:val="20"/>
          <w:color w:val="auto"/>
        </w:rPr>
      </w:pPr>
      <w:r>
        <w:rPr>
          <w:rFonts w:ascii="Times New Roman" w:cs="Times New Roman" w:eastAsia="Times New Roman" w:hAnsi="Times New Roman"/>
          <w:sz w:val="18"/>
          <w:szCs w:val="18"/>
          <w:color w:val="auto"/>
        </w:rPr>
        <w:t>HEALTHCOR THERAPEUTICS GP, LLC, for itself and as general partner of behalf of HEALTHCOR THERAPEUTICS MASTER FUND, L.P.</w:t>
      </w:r>
    </w:p>
    <w:p>
      <w:pPr>
        <w:spacing w:after="0" w:line="162" w:lineRule="exact"/>
        <w:rPr>
          <w:sz w:val="20"/>
          <w:szCs w:val="20"/>
          <w:color w:val="auto"/>
        </w:rPr>
      </w:pPr>
    </w:p>
    <w:p>
      <w:pPr>
        <w:ind w:left="5280"/>
        <w:spacing w:after="0"/>
        <w:tabs>
          <w:tab w:leader="none" w:pos="5760" w:val="left"/>
        </w:tabs>
        <w:rPr>
          <w:sz w:val="20"/>
          <w:szCs w:val="20"/>
          <w:color w:val="auto"/>
        </w:rPr>
      </w:pPr>
      <w:r>
        <w:rPr>
          <w:rFonts w:ascii="Times New Roman" w:cs="Times New Roman" w:eastAsia="Times New Roman" w:hAnsi="Times New Roman"/>
          <w:sz w:val="18"/>
          <w:szCs w:val="18"/>
          <w:color w:val="auto"/>
        </w:rPr>
        <w:t>By:</w:t>
        <w:tab/>
        <w:t>HealthCor Group, LLC, its general partner</w:t>
      </w:r>
    </w:p>
    <w:p>
      <w:pPr>
        <w:spacing w:after="0" w:line="22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Anabelle P.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17145</wp:posOffset>
            </wp:positionV>
            <wp:extent cx="37801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780155" cy="8890"/>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Name:Anabelle P. Gray</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HEALTHCOR ASSOCIATES, LLC</w:t>
      </w:r>
    </w:p>
    <w:p>
      <w:pPr>
        <w:spacing w:after="0" w:line="22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Anabelle P.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17145</wp:posOffset>
            </wp:positionV>
            <wp:extent cx="37801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Name:Anabelle P. Gray</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HEALTHCOR GROUP, LLC</w:t>
      </w:r>
    </w:p>
    <w:p>
      <w:pPr>
        <w:spacing w:after="0" w:line="22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Anabelle P.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17145</wp:posOffset>
            </wp:positionV>
            <wp:extent cx="37801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Name:Anabelle P. Gray</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JOSEPH HEALEY, Individually</w:t>
      </w:r>
    </w:p>
    <w:p>
      <w:pPr>
        <w:spacing w:after="0" w:line="22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Joseph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17145</wp:posOffset>
            </wp:positionV>
            <wp:extent cx="37801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780155" cy="8890"/>
                    </a:xfrm>
                    <a:prstGeom prst="rect">
                      <a:avLst/>
                    </a:prstGeom>
                    <a:noFill/>
                  </pic:spPr>
                </pic:pic>
              </a:graphicData>
            </a:graphic>
          </wp:anchor>
        </w:drawing>
      </w:r>
    </w:p>
    <w:p>
      <w:pPr>
        <w:spacing w:after="0" w:line="21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ARTHUR COHEN, Individually</w:t>
      </w:r>
    </w:p>
    <w:p>
      <w:pPr>
        <w:spacing w:after="0" w:line="22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Arthur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17145</wp:posOffset>
            </wp:positionV>
            <wp:extent cx="37801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7801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7" w:name="page18"/>
    <w:bookmarkEnd w:id="17"/>
    <w:p>
      <w:pPr>
        <w:jc w:val="center"/>
        <w:ind w:right="-7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JOINT ACQUISITION STATEMENT PURSUANT TO RULE 13d-1(k)</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11, 2020</w:t>
      </w:r>
    </w:p>
    <w:p>
      <w:pPr>
        <w:spacing w:after="0" w:line="2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HEALTHCOR MANAGEMENT, L.P.</w:t>
      </w:r>
    </w:p>
    <w:p>
      <w:pPr>
        <w:spacing w:after="0" w:line="225" w:lineRule="exact"/>
        <w:rPr>
          <w:sz w:val="20"/>
          <w:szCs w:val="20"/>
          <w:color w:val="auto"/>
        </w:rPr>
      </w:pPr>
    </w:p>
    <w:p>
      <w:pPr>
        <w:ind w:left="5280"/>
        <w:spacing w:after="0"/>
        <w:tabs>
          <w:tab w:leader="none" w:pos="5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HealthCor Associates, LLC, its general partner</w:t>
      </w:r>
    </w:p>
    <w:p>
      <w:pPr>
        <w:spacing w:after="0" w:line="22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Anabelle P.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17145</wp:posOffset>
            </wp:positionV>
            <wp:extent cx="37801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 Anabelle P. Gray</w:t>
      </w:r>
    </w:p>
    <w:p>
      <w:pPr>
        <w:spacing w:after="0" w:line="23" w:lineRule="exact"/>
        <w:rPr>
          <w:sz w:val="20"/>
          <w:szCs w:val="20"/>
          <w:color w:val="auto"/>
        </w:rPr>
      </w:pPr>
    </w:p>
    <w:p>
      <w:pPr>
        <w:ind w:left="5280"/>
        <w:spacing w:after="0"/>
        <w:tabs>
          <w:tab w:leader="none" w:pos="5800" w:val="left"/>
        </w:tabs>
        <w:rPr>
          <w:sz w:val="20"/>
          <w:szCs w:val="20"/>
          <w:color w:val="auto"/>
        </w:rPr>
      </w:pPr>
      <w:r>
        <w:rPr>
          <w:rFonts w:ascii="Times New Roman" w:cs="Times New Roman" w:eastAsia="Times New Roman" w:hAnsi="Times New Roman"/>
          <w:sz w:val="18"/>
          <w:szCs w:val="18"/>
          <w:color w:val="auto"/>
        </w:rPr>
        <w:t>Title:</w:t>
        <w:tab/>
        <w:t>General Counsel</w:t>
      </w:r>
    </w:p>
    <w:p>
      <w:pPr>
        <w:spacing w:after="0" w:line="207" w:lineRule="exact"/>
        <w:rPr>
          <w:sz w:val="20"/>
          <w:szCs w:val="20"/>
          <w:color w:val="auto"/>
        </w:rPr>
      </w:pPr>
    </w:p>
    <w:p>
      <w:pPr>
        <w:ind w:left="3540" w:right="580"/>
        <w:spacing w:after="0" w:line="282" w:lineRule="auto"/>
        <w:rPr>
          <w:sz w:val="20"/>
          <w:szCs w:val="20"/>
          <w:color w:val="auto"/>
        </w:rPr>
      </w:pPr>
      <w:r>
        <w:rPr>
          <w:rFonts w:ascii="Times New Roman" w:cs="Times New Roman" w:eastAsia="Times New Roman" w:hAnsi="Times New Roman"/>
          <w:sz w:val="18"/>
          <w:szCs w:val="18"/>
          <w:color w:val="auto"/>
        </w:rPr>
        <w:t>HEALTHCOR OFFSHORE GP, LLC, for itself and as general partner of behalf of HEALTHCOR OFFSHORE MASTER FUND, L.P.</w:t>
      </w:r>
    </w:p>
    <w:p>
      <w:pPr>
        <w:spacing w:after="0" w:line="162" w:lineRule="exact"/>
        <w:rPr>
          <w:sz w:val="20"/>
          <w:szCs w:val="20"/>
          <w:color w:val="auto"/>
        </w:rPr>
      </w:pPr>
    </w:p>
    <w:p>
      <w:pPr>
        <w:ind w:left="5280"/>
        <w:spacing w:after="0"/>
        <w:tabs>
          <w:tab w:leader="none" w:pos="5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HealthCor Group, LLC, its general partner</w:t>
      </w:r>
    </w:p>
    <w:p>
      <w:pPr>
        <w:spacing w:after="0" w:line="22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Anabelle P.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17145</wp:posOffset>
            </wp:positionV>
            <wp:extent cx="37801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 Anabelle P. Gray</w:t>
      </w:r>
    </w:p>
    <w:p>
      <w:pPr>
        <w:spacing w:after="0" w:line="23" w:lineRule="exact"/>
        <w:rPr>
          <w:sz w:val="20"/>
          <w:szCs w:val="20"/>
          <w:color w:val="auto"/>
        </w:rPr>
      </w:pPr>
    </w:p>
    <w:p>
      <w:pPr>
        <w:ind w:left="5280"/>
        <w:spacing w:after="0"/>
        <w:tabs>
          <w:tab w:leader="none" w:pos="5800" w:val="left"/>
        </w:tabs>
        <w:rPr>
          <w:sz w:val="20"/>
          <w:szCs w:val="20"/>
          <w:color w:val="auto"/>
        </w:rPr>
      </w:pPr>
      <w:r>
        <w:rPr>
          <w:rFonts w:ascii="Times New Roman" w:cs="Times New Roman" w:eastAsia="Times New Roman" w:hAnsi="Times New Roman"/>
          <w:sz w:val="18"/>
          <w:szCs w:val="18"/>
          <w:color w:val="auto"/>
        </w:rPr>
        <w:t>Title:</w:t>
        <w:tab/>
        <w:t>General Counsel</w:t>
      </w:r>
    </w:p>
    <w:p>
      <w:pPr>
        <w:spacing w:after="0" w:line="207" w:lineRule="exact"/>
        <w:rPr>
          <w:sz w:val="20"/>
          <w:szCs w:val="20"/>
          <w:color w:val="auto"/>
        </w:rPr>
      </w:pPr>
    </w:p>
    <w:p>
      <w:pPr>
        <w:ind w:left="3540" w:right="400"/>
        <w:spacing w:after="0" w:line="282" w:lineRule="auto"/>
        <w:rPr>
          <w:sz w:val="20"/>
          <w:szCs w:val="20"/>
          <w:color w:val="auto"/>
        </w:rPr>
      </w:pPr>
      <w:r>
        <w:rPr>
          <w:rFonts w:ascii="Times New Roman" w:cs="Times New Roman" w:eastAsia="Times New Roman" w:hAnsi="Times New Roman"/>
          <w:sz w:val="18"/>
          <w:szCs w:val="18"/>
          <w:color w:val="auto"/>
        </w:rPr>
        <w:t>HEALTHCOR OFFSHORE II GP, LLC, for itself and as general partner of behalf of HEALTHCOR SANATATE OFFSHORE MASTER FUND, L.P.</w:t>
      </w:r>
    </w:p>
    <w:p>
      <w:pPr>
        <w:spacing w:after="0" w:line="162" w:lineRule="exact"/>
        <w:rPr>
          <w:sz w:val="20"/>
          <w:szCs w:val="20"/>
          <w:color w:val="auto"/>
        </w:rPr>
      </w:pPr>
    </w:p>
    <w:p>
      <w:pPr>
        <w:ind w:left="5280"/>
        <w:spacing w:after="0"/>
        <w:tabs>
          <w:tab w:leader="none" w:pos="5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HealthCor Group, LLC, its general partner</w:t>
      </w:r>
    </w:p>
    <w:p>
      <w:pPr>
        <w:spacing w:after="0" w:line="22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Anabelle P.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17145</wp:posOffset>
            </wp:positionV>
            <wp:extent cx="37801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 Anabelle P. Gray</w:t>
      </w:r>
    </w:p>
    <w:p>
      <w:pPr>
        <w:spacing w:after="0" w:line="23" w:lineRule="exact"/>
        <w:rPr>
          <w:sz w:val="20"/>
          <w:szCs w:val="20"/>
          <w:color w:val="auto"/>
        </w:rPr>
      </w:pPr>
    </w:p>
    <w:p>
      <w:pPr>
        <w:ind w:left="5280"/>
        <w:spacing w:after="0"/>
        <w:tabs>
          <w:tab w:leader="none" w:pos="5800" w:val="left"/>
        </w:tabs>
        <w:rPr>
          <w:sz w:val="20"/>
          <w:szCs w:val="20"/>
          <w:color w:val="auto"/>
        </w:rPr>
      </w:pPr>
      <w:r>
        <w:rPr>
          <w:rFonts w:ascii="Times New Roman" w:cs="Times New Roman" w:eastAsia="Times New Roman" w:hAnsi="Times New Roman"/>
          <w:sz w:val="18"/>
          <w:szCs w:val="18"/>
          <w:color w:val="auto"/>
        </w:rPr>
        <w:t>Title:</w:t>
        <w:tab/>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18" w:name="page19"/>
    <w:bookmarkEnd w:id="18"/>
    <w:p>
      <w:pPr>
        <w:ind w:left="2420"/>
        <w:spacing w:after="0" w:line="282" w:lineRule="auto"/>
        <w:rPr>
          <w:sz w:val="20"/>
          <w:szCs w:val="20"/>
          <w:color w:val="auto"/>
        </w:rPr>
      </w:pPr>
      <w:r>
        <w:rPr>
          <w:rFonts w:ascii="Times New Roman" w:cs="Times New Roman" w:eastAsia="Times New Roman" w:hAnsi="Times New Roman"/>
          <w:sz w:val="18"/>
          <w:szCs w:val="18"/>
          <w:color w:val="auto"/>
        </w:rPr>
        <w:t>HEALTHCOR THERAPEUTICS GP, LLC, for itself and as general partner of behalf of HEALTHCOR THERAPEUTICS MASTER FUND, L.P.</w:t>
      </w:r>
    </w:p>
    <w:p>
      <w:pPr>
        <w:spacing w:after="0" w:line="162" w:lineRule="exact"/>
        <w:rPr>
          <w:sz w:val="20"/>
          <w:szCs w:val="20"/>
          <w:color w:val="auto"/>
        </w:rPr>
      </w:pPr>
    </w:p>
    <w:p>
      <w:pPr>
        <w:ind w:left="4160"/>
        <w:spacing w:after="0"/>
        <w:tabs>
          <w:tab w:leader="none" w:pos="4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HealthCor Group, LLC, its general partner</w:t>
      </w:r>
    </w:p>
    <w:p>
      <w:pPr>
        <w:spacing w:after="0" w:line="22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/s/ Anabelle P.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17145</wp:posOffset>
            </wp:positionV>
            <wp:extent cx="37801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Name: Anabelle P. Gray</w:t>
      </w:r>
    </w:p>
    <w:p>
      <w:pPr>
        <w:spacing w:after="0" w:line="23" w:lineRule="exact"/>
        <w:rPr>
          <w:sz w:val="20"/>
          <w:szCs w:val="20"/>
          <w:color w:val="auto"/>
        </w:rPr>
      </w:pPr>
    </w:p>
    <w:p>
      <w:pPr>
        <w:ind w:left="4160"/>
        <w:spacing w:after="0"/>
        <w:tabs>
          <w:tab w:leader="none" w:pos="4680" w:val="left"/>
        </w:tabs>
        <w:rPr>
          <w:sz w:val="20"/>
          <w:szCs w:val="20"/>
          <w:color w:val="auto"/>
        </w:rPr>
      </w:pPr>
      <w:r>
        <w:rPr>
          <w:rFonts w:ascii="Times New Roman" w:cs="Times New Roman" w:eastAsia="Times New Roman" w:hAnsi="Times New Roman"/>
          <w:sz w:val="18"/>
          <w:szCs w:val="18"/>
          <w:color w:val="auto"/>
        </w:rPr>
        <w:t>Title:</w:t>
        <w:tab/>
        <w:t>General Counsel</w:t>
      </w:r>
    </w:p>
    <w:p>
      <w:pPr>
        <w:spacing w:after="0" w:line="20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HEALTHCOR ASSOCIATES, LLC</w:t>
      </w:r>
    </w:p>
    <w:p>
      <w:pPr>
        <w:spacing w:after="0" w:line="22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/s/ Anabelle P.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17145</wp:posOffset>
            </wp:positionV>
            <wp:extent cx="37801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Name: Anabelle P. Gray</w:t>
      </w:r>
    </w:p>
    <w:p>
      <w:pPr>
        <w:spacing w:after="0" w:line="23" w:lineRule="exact"/>
        <w:rPr>
          <w:sz w:val="20"/>
          <w:szCs w:val="20"/>
          <w:color w:val="auto"/>
        </w:rPr>
      </w:pPr>
    </w:p>
    <w:p>
      <w:pPr>
        <w:ind w:left="4160"/>
        <w:spacing w:after="0"/>
        <w:tabs>
          <w:tab w:leader="none" w:pos="4680" w:val="left"/>
        </w:tabs>
        <w:rPr>
          <w:sz w:val="20"/>
          <w:szCs w:val="20"/>
          <w:color w:val="auto"/>
        </w:rPr>
      </w:pPr>
      <w:r>
        <w:rPr>
          <w:rFonts w:ascii="Times New Roman" w:cs="Times New Roman" w:eastAsia="Times New Roman" w:hAnsi="Times New Roman"/>
          <w:sz w:val="18"/>
          <w:szCs w:val="18"/>
          <w:color w:val="auto"/>
        </w:rPr>
        <w:t>Title:</w:t>
        <w:tab/>
        <w:t>General Counsel</w:t>
      </w:r>
    </w:p>
    <w:p>
      <w:pPr>
        <w:spacing w:after="0" w:line="20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HEALTHCOR GROUP, LLC</w:t>
      </w:r>
    </w:p>
    <w:p>
      <w:pPr>
        <w:spacing w:after="0" w:line="22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/s/ Anabelle P.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17145</wp:posOffset>
            </wp:positionV>
            <wp:extent cx="37801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Name: Anabelle P. Gray</w:t>
      </w:r>
    </w:p>
    <w:p>
      <w:pPr>
        <w:spacing w:after="0" w:line="23" w:lineRule="exact"/>
        <w:rPr>
          <w:sz w:val="20"/>
          <w:szCs w:val="20"/>
          <w:color w:val="auto"/>
        </w:rPr>
      </w:pPr>
    </w:p>
    <w:p>
      <w:pPr>
        <w:ind w:left="4160"/>
        <w:spacing w:after="0"/>
        <w:tabs>
          <w:tab w:leader="none" w:pos="4680" w:val="left"/>
        </w:tabs>
        <w:rPr>
          <w:sz w:val="20"/>
          <w:szCs w:val="20"/>
          <w:color w:val="auto"/>
        </w:rPr>
      </w:pPr>
      <w:r>
        <w:rPr>
          <w:rFonts w:ascii="Times New Roman" w:cs="Times New Roman" w:eastAsia="Times New Roman" w:hAnsi="Times New Roman"/>
          <w:sz w:val="18"/>
          <w:szCs w:val="18"/>
          <w:color w:val="auto"/>
        </w:rPr>
        <w:t>Title:</w:t>
        <w:tab/>
        <w:t>General Counsel</w:t>
      </w:r>
    </w:p>
    <w:p>
      <w:pPr>
        <w:spacing w:after="0" w:line="20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JOSEPH HEALEY, Individually</w:t>
      </w:r>
    </w:p>
    <w:p>
      <w:pPr>
        <w:spacing w:after="0" w:line="22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/s/ Joseph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17145</wp:posOffset>
            </wp:positionV>
            <wp:extent cx="37801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21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ARTHUR COHEN, Individually</w:t>
      </w:r>
    </w:p>
    <w:p>
      <w:pPr>
        <w:spacing w:after="0" w:line="22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 Arthur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17145</wp:posOffset>
            </wp:positionV>
            <wp:extent cx="37801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780155"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880"/>
      </w:cols>
      <w:pgMar w:left="1440" w:top="904"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decimal"/>
      <w:start w:val="1"/>
    </w:lvl>
  </w:abstractNum>
  <w:abstractNum w:abstractNumId="2">
    <w:nsid w:val="79838CB2"/>
    <w:multiLevelType w:val="hybridMultilevel"/>
    <w:lvl w:ilvl="0">
      <w:lvlJc w:val="left"/>
      <w:lvlText w:val="(%1)"/>
      <w:numFmt w:val="decimal"/>
      <w:start w:val="3"/>
    </w:lvl>
  </w:abstractNum>
  <w:abstractNum w:abstractNumId="3">
    <w:nsid w:val="4353D0CD"/>
    <w:multiLevelType w:val="hybridMultilevel"/>
    <w:lvl w:ilvl="0">
      <w:lvlJc w:val="left"/>
      <w:lvlText w:val="(%1)"/>
      <w:numFmt w:val="decimal"/>
      <w:start w:val="9"/>
    </w:lvl>
  </w:abstractNum>
  <w:abstractNum w:abstractNumId="4">
    <w:nsid w:val="B03E0C6"/>
    <w:multiLevelType w:val="hybridMultilevel"/>
    <w:lvl w:ilvl="0">
      <w:lvlJc w:val="left"/>
      <w:lvlText w:val="(%1)"/>
      <w:numFmt w:val="decimal"/>
      <w:start w:val="1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decimal"/>
      <w:start w:val="3"/>
    </w:lvl>
  </w:abstractNum>
  <w:abstractNum w:abstractNumId="7">
    <w:nsid w:val="71F32454"/>
    <w:multiLevelType w:val="hybridMultilevel"/>
    <w:lvl w:ilvl="0">
      <w:lvlJc w:val="left"/>
      <w:lvlText w:val="(%1)"/>
      <w:numFmt w:val="decimal"/>
      <w:start w:val="9"/>
    </w:lvl>
  </w:abstractNum>
  <w:abstractNum w:abstractNumId="8">
    <w:nsid w:val="2CA88611"/>
    <w:multiLevelType w:val="hybridMultilevel"/>
    <w:lvl w:ilvl="0">
      <w:lvlJc w:val="left"/>
      <w:lvlText w:val="(%1)"/>
      <w:numFmt w:val="decimal"/>
      <w:start w:val="1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1)"/>
      <w:numFmt w:val="decimal"/>
      <w:start w:val="3"/>
    </w:lvl>
  </w:abstractNum>
  <w:abstractNum w:abstractNumId="11">
    <w:nsid w:val="3A95F874"/>
    <w:multiLevelType w:val="hybridMultilevel"/>
    <w:lvl w:ilvl="0">
      <w:lvlJc w:val="left"/>
      <w:lvlText w:val="(%1)"/>
      <w:numFmt w:val="decimal"/>
      <w:start w:val="9"/>
    </w:lvl>
  </w:abstractNum>
  <w:abstractNum w:abstractNumId="12">
    <w:nsid w:val="8138641"/>
    <w:multiLevelType w:val="hybridMultilevel"/>
    <w:lvl w:ilvl="0">
      <w:lvlJc w:val="left"/>
      <w:lvlText w:val="(%1)"/>
      <w:numFmt w:val="decimal"/>
      <w:start w:val="1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decimal"/>
      <w:start w:val="3"/>
    </w:lvl>
  </w:abstractNum>
  <w:abstractNum w:abstractNumId="15">
    <w:nsid w:val="737B8DDC"/>
    <w:multiLevelType w:val="hybridMultilevel"/>
    <w:lvl w:ilvl="0">
      <w:lvlJc w:val="left"/>
      <w:lvlText w:val="(%1)"/>
      <w:numFmt w:val="decimal"/>
      <w:start w:val="9"/>
    </w:lvl>
  </w:abstractNum>
  <w:abstractNum w:abstractNumId="16">
    <w:nsid w:val="6CEAF087"/>
    <w:multiLevelType w:val="hybridMultilevel"/>
    <w:lvl w:ilvl="0">
      <w:lvlJc w:val="left"/>
      <w:lvlText w:val="(%1)"/>
      <w:numFmt w:val="decimal"/>
      <w:start w:val="1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decimal"/>
      <w:start w:val="3"/>
    </w:lvl>
  </w:abstractNum>
  <w:abstractNum w:abstractNumId="19">
    <w:nsid w:val="3006C83E"/>
    <w:multiLevelType w:val="hybridMultilevel"/>
    <w:lvl w:ilvl="0">
      <w:lvlJc w:val="left"/>
      <w:lvlText w:val="(%1)"/>
      <w:numFmt w:val="decimal"/>
      <w:start w:val="9"/>
    </w:lvl>
  </w:abstractNum>
  <w:abstractNum w:abstractNumId="20">
    <w:nsid w:val="614FD4A1"/>
    <w:multiLevelType w:val="hybridMultilevel"/>
    <w:lvl w:ilvl="0">
      <w:lvlJc w:val="left"/>
      <w:lvlText w:val="(%1)"/>
      <w:numFmt w:val="decimal"/>
      <w:start w:val="1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decimal"/>
      <w:start w:val="3"/>
    </w:lvl>
  </w:abstractNum>
  <w:abstractNum w:abstractNumId="23">
    <w:nsid w:val="440BADFC"/>
    <w:multiLevelType w:val="hybridMultilevel"/>
    <w:lvl w:ilvl="0">
      <w:lvlJc w:val="left"/>
      <w:lvlText w:val="(%1)"/>
      <w:numFmt w:val="decimal"/>
      <w:start w:val="9"/>
    </w:lvl>
  </w:abstractNum>
  <w:abstractNum w:abstractNumId="24">
    <w:nsid w:val="5072367"/>
    <w:multiLevelType w:val="hybridMultilevel"/>
    <w:lvl w:ilvl="0">
      <w:lvlJc w:val="left"/>
      <w:lvlText w:val="(%1)"/>
      <w:numFmt w:val="decimal"/>
      <w:start w:val="1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decimal"/>
      <w:start w:val="3"/>
    </w:lvl>
  </w:abstractNum>
  <w:abstractNum w:abstractNumId="27">
    <w:nsid w:val="7724C67E"/>
    <w:multiLevelType w:val="hybridMultilevel"/>
    <w:lvl w:ilvl="0">
      <w:lvlJc w:val="left"/>
      <w:lvlText w:val="(%1)"/>
      <w:numFmt w:val="decimal"/>
      <w:start w:val="9"/>
    </w:lvl>
  </w:abstractNum>
  <w:abstractNum w:abstractNumId="28">
    <w:nsid w:val="5C482A97"/>
    <w:multiLevelType w:val="hybridMultilevel"/>
    <w:lvl w:ilvl="0">
      <w:lvlJc w:val="left"/>
      <w:lvlText w:val="(%1)"/>
      <w:numFmt w:val="decimal"/>
      <w:start w:val="1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decimal"/>
      <w:start w:val="3"/>
    </w:lvl>
  </w:abstractNum>
  <w:abstractNum w:abstractNumId="31">
    <w:nsid w:val="51EAD36B"/>
    <w:multiLevelType w:val="hybridMultilevel"/>
    <w:lvl w:ilvl="0">
      <w:lvlJc w:val="left"/>
      <w:lvlText w:val="(%1)"/>
      <w:numFmt w:val="decimal"/>
      <w:start w:val="9"/>
    </w:lvl>
  </w:abstractNum>
  <w:abstractNum w:abstractNumId="32">
    <w:nsid w:val="2D517796"/>
    <w:multiLevelType w:val="hybridMultilevel"/>
    <w:lvl w:ilvl="0">
      <w:lvlJc w:val="left"/>
      <w:lvlText w:val="(%1)"/>
      <w:numFmt w:val="decimal"/>
      <w:start w:val="1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1)"/>
      <w:numFmt w:val="decimal"/>
      <w:start w:val="3"/>
    </w:lvl>
  </w:abstractNum>
  <w:abstractNum w:abstractNumId="35">
    <w:nsid w:val="3855585C"/>
    <w:multiLevelType w:val="hybridMultilevel"/>
    <w:lvl w:ilvl="0">
      <w:lvlJc w:val="left"/>
      <w:lvlText w:val="(%1)"/>
      <w:numFmt w:val="decimal"/>
      <w:start w:val="9"/>
    </w:lvl>
  </w:abstractNum>
  <w:abstractNum w:abstractNumId="36">
    <w:nsid w:val="70A64E2A"/>
    <w:multiLevelType w:val="hybridMultilevel"/>
    <w:lvl w:ilvl="0">
      <w:lvlJc w:val="left"/>
      <w:lvlText w:val="(%1)"/>
      <w:numFmt w:val="decimal"/>
      <w:start w:val="1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decimal"/>
      <w:start w:val="3"/>
    </w:lvl>
  </w:abstractNum>
  <w:abstractNum w:abstractNumId="39">
    <w:nsid w:val="1D4ED43B"/>
    <w:multiLevelType w:val="hybridMultilevel"/>
    <w:lvl w:ilvl="0">
      <w:lvlJc w:val="left"/>
      <w:lvlText w:val="(%1)"/>
      <w:numFmt w:val="decimal"/>
      <w:start w:val="9"/>
    </w:lvl>
  </w:abstractNum>
  <w:abstractNum w:abstractNumId="40">
    <w:nsid w:val="725A06FB"/>
    <w:multiLevelType w:val="hybridMultilevel"/>
    <w:lvl w:ilvl="0">
      <w:lvlJc w:val="left"/>
      <w:lvlText w:val="(%1)"/>
      <w:numFmt w:val="decimal"/>
      <w:start w:val="1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3"/>
    </w:lvl>
  </w:abstractNum>
  <w:abstractNum w:abstractNumId="43">
    <w:nsid w:val="7A6D8D3C"/>
    <w:multiLevelType w:val="hybridMultilevel"/>
    <w:lvl w:ilvl="0">
      <w:lvlJc w:val="left"/>
      <w:lvlText w:val="(%1)"/>
      <w:numFmt w:val="decimal"/>
      <w:start w:val="9"/>
    </w:lvl>
  </w:abstractNum>
  <w:abstractNum w:abstractNumId="44">
    <w:nsid w:val="4B588F54"/>
    <w:multiLevelType w:val="hybridMultilevel"/>
    <w:lvl w:ilvl="0">
      <w:lvlJc w:val="left"/>
      <w:lvlText w:val="(%1)"/>
      <w:numFmt w:val="decimal"/>
      <w:start w:val="11"/>
    </w:lvl>
  </w:abstractNum>
  <w:abstractNum w:abstractNumId="45">
    <w:nsid w:val="542289EC"/>
    <w:multiLevelType w:val="hybridMultilevel"/>
    <w:lvl w:ilvl="0">
      <w:lvlJc w:val="left"/>
      <w:lvlText w:val="(%1)"/>
      <w:numFmt w:val="lowerRoman"/>
      <w:start w:val="1"/>
    </w:lvl>
  </w:abstractNum>
  <w:abstractNum w:abstractNumId="46">
    <w:nsid w:val="6DE91B18"/>
    <w:multiLevelType w:val="hybridMultilevel"/>
    <w:lvl w:ilvl="0">
      <w:lvlJc w:val="left"/>
      <w:lvlText w:val="(%1)"/>
      <w:numFmt w:val="lowerRoman"/>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2020-09-11T15:03:14Z</dcterms:created>
  <dcterms:modified xsi:type="dcterms:W3CDTF">2020-09-11T15:03:14Z</dcterms:modified>
</cp:coreProperties>
</file>