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40"/>
        <w:spacing w:after="0"/>
        <w:rPr>
          <w:sz w:val="20"/>
          <w:szCs w:val="20"/>
          <w:color w:val="auto"/>
        </w:rPr>
      </w:pPr>
      <w:r>
        <w:rPr>
          <w:rFonts w:ascii="Arial" w:cs="Arial" w:eastAsia="Arial" w:hAnsi="Arial"/>
          <w:sz w:val="18"/>
          <w:szCs w:val="18"/>
          <w:b w:val="1"/>
          <w:bCs w:val="1"/>
          <w:color w:val="auto"/>
        </w:rPr>
        <w:t>As filed with the Securities and Exchange Commission on March 4, 2016</w:t>
      </w:r>
    </w:p>
    <w:p>
      <w:pPr>
        <w:spacing w:after="0" w:line="252" w:lineRule="exact"/>
        <w:rPr>
          <w:sz w:val="24"/>
          <w:szCs w:val="24"/>
          <w:color w:val="auto"/>
        </w:rPr>
      </w:pPr>
    </w:p>
    <w:p>
      <w:pPr>
        <w:ind w:left="920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THE SECURITIES ACT OF 1933</w:t>
      </w: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20"/>
          </w:cols>
          <w:pgMar w:left="240" w:top="472" w:right="639" w:bottom="1440" w:gutter="0" w:footer="0" w:header="0"/>
        </w:sectPr>
      </w:pPr>
    </w:p>
    <w:p>
      <w:pPr>
        <w:spacing w:after="0" w:line="207"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State of Israel</w:t>
      </w:r>
    </w:p>
    <w:p>
      <w:pPr>
        <w:spacing w:after="0" w:line="27" w:lineRule="exact"/>
        <w:rPr>
          <w:sz w:val="24"/>
          <w:szCs w:val="24"/>
          <w:color w:val="auto"/>
        </w:r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 Identification No.)</w:t>
      </w:r>
    </w:p>
    <w:p>
      <w:pPr>
        <w:spacing w:after="0" w:line="365" w:lineRule="exact"/>
        <w:rPr>
          <w:sz w:val="24"/>
          <w:szCs w:val="24"/>
          <w:color w:val="auto"/>
        </w:rPr>
      </w:pPr>
    </w:p>
    <w:p>
      <w:pPr>
        <w:sectPr>
          <w:pgSz w:w="11900" w:h="16838" w:orient="portrait"/>
          <w:cols w:equalWidth="0" w:num="2">
            <w:col w:w="6540" w:space="720"/>
            <w:col w:w="3760"/>
          </w:cols>
          <w:pgMar w:left="240" w:top="472"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Azrieli Triangle Building, 132 Derech Menachem Begin, 39</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Tel Aviv 6701101 Israel</w:t>
      </w:r>
    </w:p>
    <w:p>
      <w:pPr>
        <w:jc w:val="center"/>
        <w:ind w:right="-399"/>
        <w:spacing w:after="0"/>
        <w:rPr>
          <w:sz w:val="20"/>
          <w:szCs w:val="20"/>
          <w:color w:val="auto"/>
        </w:rPr>
      </w:pPr>
      <w:r>
        <w:rPr>
          <w:rFonts w:ascii="Arial" w:cs="Arial" w:eastAsia="Arial" w:hAnsi="Arial"/>
          <w:sz w:val="18"/>
          <w:szCs w:val="18"/>
          <w:color w:val="auto"/>
        </w:rPr>
        <w:t>(Address of Principal Executive Offices)</w:t>
      </w: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Alcobra Ltd. 2010 Incentive Option Plan</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Alcobra Inc.</w:t>
      </w:r>
    </w:p>
    <w:p>
      <w:pPr>
        <w:spacing w:after="0" w:line="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600 West Germantown Pike, Suite 400, Plymouth Meeting, PA, 19462 Tel: (610)-940-1631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(Name, Address and Telephone Number of Agent for Service)</w:t>
      </w:r>
    </w:p>
    <w:p>
      <w:pPr>
        <w:spacing w:after="0" w:line="211" w:lineRule="exact"/>
        <w:rPr>
          <w:sz w:val="24"/>
          <w:szCs w:val="24"/>
          <w:color w:val="auto"/>
        </w:rPr>
      </w:pPr>
    </w:p>
    <w:tbl>
      <w:tblPr>
        <w:tblLayout w:type="fixed"/>
        <w:tblInd w:w="84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COPIES TO:</w:t>
            </w:r>
          </w:p>
        </w:tc>
      </w:tr>
      <w:tr>
        <w:trPr>
          <w:trHeight w:val="418"/>
        </w:trPr>
        <w:tc>
          <w:tcPr>
            <w:tcW w:w="4220" w:type="dxa"/>
            <w:vAlign w:val="bottom"/>
          </w:tcPr>
          <w:p>
            <w:pPr>
              <w:jc w:val="center"/>
              <w:ind w:right="90"/>
              <w:spacing w:after="0"/>
              <w:rPr>
                <w:sz w:val="20"/>
                <w:szCs w:val="20"/>
                <w:color w:val="auto"/>
              </w:rPr>
            </w:pPr>
            <w:r>
              <w:rPr>
                <w:rFonts w:ascii="Arial" w:cs="Arial" w:eastAsia="Arial" w:hAnsi="Arial"/>
                <w:sz w:val="18"/>
                <w:szCs w:val="18"/>
                <w:color w:val="auto"/>
                <w:w w:val="92"/>
              </w:rPr>
              <w:t>Howard E. Berkenblit, Esq.</w:t>
            </w:r>
          </w:p>
        </w:tc>
        <w:tc>
          <w:tcPr>
            <w:tcW w:w="4640" w:type="dxa"/>
            <w:vAlign w:val="bottom"/>
          </w:tcPr>
          <w:p>
            <w:pPr>
              <w:jc w:val="center"/>
              <w:ind w:left="2310"/>
              <w:spacing w:after="0"/>
              <w:rPr>
                <w:sz w:val="20"/>
                <w:szCs w:val="20"/>
                <w:color w:val="auto"/>
              </w:rPr>
            </w:pPr>
            <w:r>
              <w:rPr>
                <w:rFonts w:ascii="Arial" w:cs="Arial" w:eastAsia="Arial" w:hAnsi="Arial"/>
                <w:sz w:val="18"/>
                <w:szCs w:val="18"/>
                <w:color w:val="auto"/>
                <w:w w:val="92"/>
              </w:rPr>
              <w:t>Eran Ben-Dor, Adv.</w:t>
            </w:r>
          </w:p>
        </w:tc>
      </w:tr>
      <w:tr>
        <w:trPr>
          <w:trHeight w:val="216"/>
        </w:trPr>
        <w:tc>
          <w:tcPr>
            <w:tcW w:w="4220" w:type="dxa"/>
            <w:vAlign w:val="bottom"/>
          </w:tcPr>
          <w:p>
            <w:pPr>
              <w:jc w:val="center"/>
              <w:ind w:right="90"/>
              <w:spacing w:after="0"/>
              <w:rPr>
                <w:sz w:val="20"/>
                <w:szCs w:val="20"/>
                <w:color w:val="auto"/>
              </w:rPr>
            </w:pPr>
            <w:r>
              <w:rPr>
                <w:rFonts w:ascii="Arial" w:cs="Arial" w:eastAsia="Arial" w:hAnsi="Arial"/>
                <w:sz w:val="18"/>
                <w:szCs w:val="18"/>
                <w:color w:val="auto"/>
                <w:w w:val="88"/>
              </w:rPr>
              <w:t>Shy S. Baranov, Esq.</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2"/>
              </w:rPr>
              <w:t>Zysman, Aharoni, Gayer &amp; Co.</w:t>
            </w:r>
          </w:p>
        </w:tc>
      </w:tr>
      <w:tr>
        <w:trPr>
          <w:trHeight w:val="216"/>
        </w:trPr>
        <w:tc>
          <w:tcPr>
            <w:tcW w:w="4220" w:type="dxa"/>
            <w:vAlign w:val="bottom"/>
          </w:tcPr>
          <w:p>
            <w:pPr>
              <w:jc w:val="center"/>
              <w:ind w:right="70"/>
              <w:spacing w:after="0"/>
              <w:rPr>
                <w:sz w:val="20"/>
                <w:szCs w:val="20"/>
                <w:color w:val="auto"/>
              </w:rPr>
            </w:pPr>
            <w:r>
              <w:rPr>
                <w:rFonts w:ascii="Arial" w:cs="Arial" w:eastAsia="Arial" w:hAnsi="Arial"/>
                <w:sz w:val="18"/>
                <w:szCs w:val="18"/>
                <w:color w:val="auto"/>
                <w:w w:val="92"/>
              </w:rPr>
              <w:t>Zysman, Aharoni, Gayer and Sullivan &amp; Worcester LLP</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4"/>
              </w:rPr>
              <w:t>41-45 Rothschild Blvd.</w:t>
            </w:r>
          </w:p>
        </w:tc>
      </w:tr>
      <w:tr>
        <w:trPr>
          <w:trHeight w:val="216"/>
        </w:trPr>
        <w:tc>
          <w:tcPr>
            <w:tcW w:w="4220" w:type="dxa"/>
            <w:vAlign w:val="bottom"/>
          </w:tcPr>
          <w:p>
            <w:pPr>
              <w:jc w:val="center"/>
              <w:ind w:right="70"/>
              <w:spacing w:after="0"/>
              <w:rPr>
                <w:sz w:val="20"/>
                <w:szCs w:val="20"/>
                <w:color w:val="auto"/>
              </w:rPr>
            </w:pPr>
            <w:r>
              <w:rPr>
                <w:rFonts w:ascii="Arial" w:cs="Arial" w:eastAsia="Arial" w:hAnsi="Arial"/>
                <w:sz w:val="18"/>
                <w:szCs w:val="18"/>
                <w:color w:val="auto"/>
                <w:w w:val="91"/>
              </w:rPr>
              <w:t>1633 Broadway</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8"/>
              </w:rPr>
              <w:t>Beit Zion</w:t>
            </w:r>
          </w:p>
        </w:tc>
      </w:tr>
      <w:tr>
        <w:trPr>
          <w:trHeight w:val="216"/>
        </w:trPr>
        <w:tc>
          <w:tcPr>
            <w:tcW w:w="4220" w:type="dxa"/>
            <w:vAlign w:val="bottom"/>
          </w:tcPr>
          <w:p>
            <w:pPr>
              <w:jc w:val="center"/>
              <w:ind w:right="70"/>
              <w:spacing w:after="0"/>
              <w:rPr>
                <w:sz w:val="20"/>
                <w:szCs w:val="20"/>
                <w:color w:val="auto"/>
              </w:rPr>
            </w:pPr>
            <w:r>
              <w:rPr>
                <w:rFonts w:ascii="Arial" w:cs="Arial" w:eastAsia="Arial" w:hAnsi="Arial"/>
                <w:sz w:val="18"/>
                <w:szCs w:val="18"/>
                <w:color w:val="auto"/>
                <w:w w:val="93"/>
              </w:rPr>
              <w:t>New York, NY 10019</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3"/>
              </w:rPr>
              <w:t>Tel Aviv 65784, Israel</w:t>
            </w:r>
          </w:p>
        </w:tc>
      </w:tr>
      <w:tr>
        <w:trPr>
          <w:trHeight w:val="230"/>
        </w:trPr>
        <w:tc>
          <w:tcPr>
            <w:tcW w:w="4220" w:type="dxa"/>
            <w:vAlign w:val="bottom"/>
          </w:tcPr>
          <w:p>
            <w:pPr>
              <w:jc w:val="center"/>
              <w:ind w:right="70"/>
              <w:spacing w:after="0"/>
              <w:rPr>
                <w:sz w:val="20"/>
                <w:szCs w:val="20"/>
                <w:color w:val="auto"/>
              </w:rPr>
            </w:pPr>
            <w:r>
              <w:rPr>
                <w:rFonts w:ascii="Arial" w:cs="Arial" w:eastAsia="Arial" w:hAnsi="Arial"/>
                <w:sz w:val="18"/>
                <w:szCs w:val="18"/>
                <w:color w:val="auto"/>
                <w:w w:val="91"/>
              </w:rPr>
              <w:t>(212)-660-3000</w:t>
            </w:r>
          </w:p>
        </w:tc>
        <w:tc>
          <w:tcPr>
            <w:tcW w:w="4640" w:type="dxa"/>
            <w:vAlign w:val="bottom"/>
          </w:tcPr>
          <w:p>
            <w:pPr>
              <w:jc w:val="center"/>
              <w:ind w:left="2290"/>
              <w:spacing w:after="0"/>
              <w:rPr>
                <w:sz w:val="20"/>
                <w:szCs w:val="20"/>
                <w:color w:val="auto"/>
              </w:rPr>
            </w:pPr>
            <w:r>
              <w:rPr>
                <w:rFonts w:ascii="Arial" w:cs="Arial" w:eastAsia="Arial" w:hAnsi="Arial"/>
                <w:sz w:val="18"/>
                <w:szCs w:val="18"/>
                <w:color w:val="auto"/>
                <w:w w:val="91"/>
              </w:rPr>
              <w:t>Tel: +972-3-7955555</w:t>
            </w:r>
          </w:p>
        </w:tc>
      </w:tr>
    </w:tbl>
    <w:p>
      <w:pPr>
        <w:spacing w:after="0" w:line="202"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14" w:lineRule="exact"/>
        <w:rPr>
          <w:sz w:val="24"/>
          <w:szCs w:val="24"/>
          <w:color w:val="auto"/>
        </w:rPr>
      </w:pPr>
    </w:p>
    <w:p>
      <w:pPr>
        <w:ind w:left="1720"/>
        <w:spacing w:after="0" w:line="207" w:lineRule="exact"/>
        <w:tabs>
          <w:tab w:leader="none" w:pos="37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r>
        <w:rPr>
          <w:rFonts w:ascii="MS PGothic" w:cs="MS PGothic" w:eastAsia="MS PGothic" w:hAnsi="MS PGothic"/>
          <w:sz w:val="16"/>
          <w:szCs w:val="16"/>
          <w:color w:val="auto"/>
        </w:rPr>
        <w:t xml:space="preserve">  ☐ </w:t>
      </w:r>
      <w:r>
        <w:rPr>
          <w:rFonts w:ascii="Arial" w:cs="Arial" w:eastAsia="Arial" w:hAnsi="Arial"/>
          <w:sz w:val="16"/>
          <w:szCs w:val="16"/>
          <w:color w:val="auto"/>
        </w:rPr>
        <w:t>Non-Accelerated Filer</w:t>
      </w:r>
      <w:r>
        <w:rPr>
          <w:rFonts w:ascii="MS PGothic" w:cs="MS PGothic" w:eastAsia="MS PGothic" w:hAnsi="MS PGothic"/>
          <w:sz w:val="16"/>
          <w:szCs w:val="16"/>
          <w:color w:val="auto"/>
        </w:rPr>
        <w:t xml:space="preserve">  ☐ </w:t>
      </w: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72" w:right="6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20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tcBorders>
          </w:tcPr>
          <w:p>
            <w:pPr>
              <w:spacing w:after="0"/>
              <w:rPr>
                <w:sz w:val="3"/>
                <w:szCs w:val="3"/>
                <w:color w:val="auto"/>
              </w:rPr>
            </w:pPr>
          </w:p>
        </w:tc>
        <w:tc>
          <w:tcPr>
            <w:tcW w:w="20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20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w w:val="97"/>
              </w:rPr>
              <w:t>Title of Securities to be Registered</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Proposed maximum</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Amount of registration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00" w:type="dxa"/>
            <w:vAlign w:val="bottom"/>
            <w:tcBorders>
              <w:right w:val="single" w:sz="8" w:color="auto"/>
            </w:tcBorders>
            <w:vMerge w:val="continue"/>
          </w:tcPr>
          <w:p>
            <w:pPr>
              <w:spacing w:after="0"/>
              <w:rPr>
                <w:sz w:val="10"/>
                <w:szCs w:val="10"/>
                <w:color w:val="auto"/>
              </w:rPr>
            </w:pP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registered (2)</w:t>
            </w:r>
          </w:p>
        </w:tc>
        <w:tc>
          <w:tcPr>
            <w:tcW w:w="2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offering price per share</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aggregate offering price</w:t>
            </w: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fee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2040" w:type="dxa"/>
            <w:vAlign w:val="bottom"/>
            <w:tcBorders>
              <w:right w:val="single" w:sz="8" w:color="auto"/>
            </w:tcBorders>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200" w:type="dxa"/>
            <w:vAlign w:val="bottom"/>
            <w:tcBorders>
              <w:bottom w:val="single" w:sz="8" w:color="auto"/>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206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right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vMerge w:val="continue"/>
          </w:tcPr>
          <w:p>
            <w:pPr>
              <w:spacing w:after="0"/>
              <w:rPr>
                <w:sz w:val="18"/>
                <w:szCs w:val="18"/>
                <w:color w:val="auto"/>
              </w:rPr>
            </w:pPr>
          </w:p>
        </w:tc>
        <w:tc>
          <w:tcPr>
            <w:tcW w:w="32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(1)</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959,571</w:t>
            </w:r>
          </w:p>
        </w:tc>
        <w:tc>
          <w:tcPr>
            <w:tcW w:w="2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$ 4.55 (3)</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$ 4,366,048</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$ 439.67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Par value NIS 0.01 per share.</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or the Securities Act, this Registration Statement also covers an indeterminate number of additional securities which may be offered and issued to prevent dilution resulting from stock splits, stock dividends, recapitalizations or similar transactions.</w:t>
      </w:r>
    </w:p>
    <w:p>
      <w:pPr>
        <w:spacing w:after="0" w:line="18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Computed in accordance with Rule 457(h) promulgated under the Securities Act based on the exercise price of the options underlying the ordinary shares.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filing this Registration Statement on Form S-8 in connection with 959,571 ordinary shares issuable to eligible directors, employees, office holders, service providers and consultants of Alcobra Ltd., or the Company, or the Registrant, and its affiliates, under the Company’s 2010 Incentive Option Plan, or the Plan, which are in addition to the 1,364,533 ordinary shares under the Plan registered on the Company’s Form S-8 filed on March 28, 2014 (Commission File No. 333-194875) and the 481,565 ordinary shares under the Plan registered on the Company’s Form S-8 on February 27, 2015, or, collectively, the Prior Registration Statements. The aggregate number of ordinary shares we have registered under this Registration Statement on Form S-8 and the Prior Registration Statements is 2,805,669.</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Registration Statement relates to securities of the same class as those to which the Prior Registration Statements relate, and is submitted in accordance with General Instruction E to Form S-8 regarding Registration of Additional Securities. Pursuant to Instruction E of Form S-8, the contents of the Prior Registration Statements are incorporated herein by reference and made part of this Registration Statement, except as amended hereby.</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Increases in the number of ordinary shares authorized for issuance under the Plan were approved by the board of directors of the Company on March 26, 2014, August 10, 2014, December 16, 2014 and March 2,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information required by Part I to be contained in the prospectus is omitted from this Registration Statement in accordance with Rule 428 and the introductory note to Part I of Form S-8, in each case under the Securities Act of 1933, as amended.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documents filed with or furnished to the Securities and Exchange Commission, or the SEC, by the Registrant are incorporated herein by reference and made a part hereof:</w:t>
      </w:r>
    </w:p>
    <w:p>
      <w:pPr>
        <w:spacing w:after="0" w:line="170"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Annual Report on Form 20-F for the fiscal year ended December 31, 2015, filed with the SEC on March 4, 2016;</w:t>
      </w:r>
    </w:p>
    <w:p>
      <w:pPr>
        <w:spacing w:after="0" w:line="236"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ordinary shares, par value NIS 0.01 per share contained in the Registrant’s registration statement on Form 8-A filed pursuant to the Securities the Exchange Act of 1934, as amended, or the Exchange Act, on May 17, 2013 (File No. 001-35932), including any amendment or report filed for the purpose of updating such description.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both"/>
        <w:ind w:firstLine="648"/>
        <w:spacing w:after="0" w:line="279" w:lineRule="auto"/>
        <w:rPr>
          <w:sz w:val="20"/>
          <w:szCs w:val="20"/>
          <w:color w:val="auto"/>
        </w:rPr>
      </w:pPr>
      <w:r>
        <w:rPr>
          <w:rFonts w:ascii="Arial" w:cs="Arial" w:eastAsia="Arial" w:hAnsi="Arial"/>
          <w:sz w:val="17"/>
          <w:szCs w:val="17"/>
          <w:color w:val="auto"/>
        </w:rPr>
        <w:t>In addition to the foregoing, all documents subsequently filed by the Registrant pursuant to Sections 13(a), 13(c), 14 and 15(d) of the Exchange Act, and all reports on Form 6-K subsequently filed by the Registrant which state that they are incorporated by reference herein, prior to the filing of a post-effective amendment which indicates that all securities offered hereunder have been sold or which deregisters all securities then remaining unsold, shall be deemed to be incorporated by reference herein and to be part hereof from the date of filing of such documents and reports.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herein, or in any subsequently filed document which also is or is deemed to be incorporated by reference, modifies or supersedes such statement. Any statement so modified or superseded shall not be deemed, except as so modified or superseded, to constitute a part of this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Articles of Association of the Registrant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Zysman, Aharoni, Gayer &amp; Co.</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Kost Forer Gabbay &amp; Kasierer, Certified Public Accountants (Israel) (a Member of Ernst &amp; Young Global)</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Zysman, Aharoni, Gayer &amp; Co. (included in the opinion filed as Exhibit 5.1 to this Registration Statement)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99.1(2)  Alcobra Ltd. 2010 Incentive Option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620" w:hanging="315"/>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Exhibit 3.2 to Form F-1/A filed with the SEC on March 19, 2013 (File No. 333-186003), and incorporated herein by reference.</w:t>
      </w:r>
    </w:p>
    <w:p>
      <w:pPr>
        <w:spacing w:after="0" w:line="170" w:lineRule="exact"/>
        <w:rPr>
          <w:rFonts w:ascii="Arial" w:cs="Arial" w:eastAsia="Arial" w:hAnsi="Arial"/>
          <w:sz w:val="18"/>
          <w:szCs w:val="18"/>
          <w:color w:val="auto"/>
        </w:rPr>
      </w:pPr>
    </w:p>
    <w:p>
      <w:pPr>
        <w:ind w:left="1620" w:hanging="315"/>
        <w:spacing w:after="0" w:line="277" w:lineRule="auto"/>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Previously filed as Exhibit 4.3 to Form 20-F filed with the SEC on March 4, 2016 (File No. 001-35932), and incorporated herein by reference.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Tel-Aviv, State of Israel, on March 4, 2016.</w:t>
      </w:r>
    </w:p>
    <w:p>
      <w:pPr>
        <w:spacing w:after="0" w:line="177"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ALCOBRA LTD.</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Executive Officer and President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the undersigned officers and directors of Alcobra Ltd., hereby severally constitute and appoint Yaron Daniely and Tomer Berkovitz, and each of them individually, our true and lawful attorney to sign for us and in our names in the capacities indicated below any and all amendments or supplements, including any post-effective amendments, to this Registration Statement on Form S-8 and to file the same, with exhibits thereto and other documents in connection therewith, with the SEC, granting unto said attorney full power and authority to do and perform each and every act and thing requisite or necessary to be done in and about the premises, as fully to all intents and purposes as he might or could do in person, hereby ratifying and confirming our signatures to said amendments to this Registration Statement signed by our said attorney and all else that said attorney may lawfully do and cause to be done by virtue hereof.</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on Form S-8 has been signed below by the following persons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920" w:type="dxa"/>
            <w:vAlign w:val="bottom"/>
            <w:gridSpan w:val="5"/>
          </w:tcPr>
          <w:p>
            <w:pPr>
              <w:spacing w:after="0"/>
              <w:rPr>
                <w:sz w:val="18"/>
                <w:szCs w:val="18"/>
                <w:color w:val="auto"/>
              </w:rPr>
            </w:pPr>
          </w:p>
        </w:tc>
        <w:tc>
          <w:tcPr>
            <w:tcW w:w="32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700" w:type="dxa"/>
            <w:vAlign w:val="bottom"/>
          </w:tcPr>
          <w:p>
            <w:pPr>
              <w:spacing w:after="0"/>
              <w:rPr>
                <w:sz w:val="18"/>
                <w:szCs w:val="18"/>
                <w:color w:val="auto"/>
              </w:rPr>
            </w:pPr>
          </w:p>
        </w:tc>
        <w:tc>
          <w:tcPr>
            <w:tcW w:w="120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2160" w:type="dxa"/>
            <w:vAlign w:val="bottom"/>
            <w:gridSpan w:val="10"/>
          </w:tcPr>
          <w:p>
            <w:pPr>
              <w:jc w:val="center"/>
              <w:ind w:right="440"/>
              <w:spacing w:after="0"/>
              <w:rPr>
                <w:sz w:val="20"/>
                <w:szCs w:val="20"/>
                <w:color w:val="auto"/>
              </w:rPr>
            </w:pPr>
            <w:r>
              <w:rPr>
                <w:rFonts w:ascii="Arial" w:cs="Arial" w:eastAsia="Arial" w:hAnsi="Arial"/>
                <w:sz w:val="18"/>
                <w:szCs w:val="18"/>
                <w:color w:val="auto"/>
                <w:w w:val="91"/>
              </w:rPr>
              <w:t>/s/ Dr. Yaron Daniely</w:t>
            </w:r>
          </w:p>
        </w:tc>
        <w:tc>
          <w:tcPr>
            <w:tcW w:w="6500" w:type="dxa"/>
            <w:vAlign w:val="bottom"/>
            <w:gridSpan w:val="3"/>
          </w:tcPr>
          <w:p>
            <w:pPr>
              <w:ind w:left="460"/>
              <w:spacing w:after="0"/>
              <w:rPr>
                <w:sz w:val="20"/>
                <w:szCs w:val="20"/>
                <w:color w:val="auto"/>
              </w:rPr>
            </w:pPr>
            <w:r>
              <w:rPr>
                <w:rFonts w:ascii="Arial" w:cs="Arial" w:eastAsia="Arial" w:hAnsi="Arial"/>
                <w:sz w:val="18"/>
                <w:szCs w:val="18"/>
                <w:color w:val="auto"/>
              </w:rPr>
              <w:t>Chief Executive Officer, President and Director</w:t>
            </w:r>
          </w:p>
        </w:tc>
        <w:tc>
          <w:tcPr>
            <w:tcW w:w="19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March 4, 2016</w:t>
            </w: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5"/>
          </w:tcPr>
          <w:p>
            <w:pPr>
              <w:jc w:val="center"/>
              <w:ind w:right="80"/>
              <w:spacing w:after="0"/>
              <w:rPr>
                <w:sz w:val="20"/>
                <w:szCs w:val="20"/>
                <w:color w:val="auto"/>
              </w:rPr>
            </w:pPr>
            <w:r>
              <w:rPr>
                <w:rFonts w:ascii="Arial" w:cs="Arial" w:eastAsia="Arial" w:hAnsi="Arial"/>
                <w:sz w:val="18"/>
                <w:szCs w:val="18"/>
                <w:color w:val="auto"/>
                <w:w w:val="92"/>
              </w:rPr>
              <w:t>Dr. Yaron Daniely</w:t>
            </w:r>
          </w:p>
        </w:tc>
        <w:tc>
          <w:tcPr>
            <w:tcW w:w="520" w:type="dxa"/>
            <w:vAlign w:val="bottom"/>
            <w:gridSpan w:val="2"/>
          </w:tcPr>
          <w:p>
            <w:pPr>
              <w:spacing w:after="0"/>
              <w:rPr>
                <w:sz w:val="20"/>
                <w:szCs w:val="20"/>
                <w:color w:val="auto"/>
              </w:rPr>
            </w:pPr>
          </w:p>
        </w:tc>
        <w:tc>
          <w:tcPr>
            <w:tcW w:w="6500" w:type="dxa"/>
            <w:vAlign w:val="bottom"/>
            <w:gridSpan w:val="3"/>
          </w:tcPr>
          <w:p>
            <w:pPr>
              <w:ind w:left="460"/>
              <w:spacing w:after="0"/>
              <w:rPr>
                <w:sz w:val="20"/>
                <w:szCs w:val="20"/>
                <w:color w:val="auto"/>
              </w:rPr>
            </w:pPr>
            <w:r>
              <w:rPr>
                <w:rFonts w:ascii="Arial" w:cs="Arial" w:eastAsia="Arial" w:hAnsi="Arial"/>
                <w:sz w:val="18"/>
                <w:szCs w:val="18"/>
                <w:color w:val="auto"/>
              </w:rPr>
              <w:t>(principal executive officer)</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92"/>
        </w:trPr>
        <w:tc>
          <w:tcPr>
            <w:tcW w:w="860" w:type="dxa"/>
            <w:vAlign w:val="bottom"/>
          </w:tcPr>
          <w:p>
            <w:pPr>
              <w:spacing w:after="0"/>
              <w:rPr>
                <w:sz w:val="24"/>
                <w:szCs w:val="24"/>
                <w:color w:val="auto"/>
              </w:rPr>
            </w:pPr>
          </w:p>
        </w:tc>
        <w:tc>
          <w:tcPr>
            <w:tcW w:w="17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93"/>
              </w:rPr>
              <w:t>/s/ Dr. Tomer Berkovitz</w:t>
            </w:r>
          </w:p>
        </w:tc>
        <w:tc>
          <w:tcPr>
            <w:tcW w:w="440" w:type="dxa"/>
            <w:vAlign w:val="bottom"/>
          </w:tcPr>
          <w:p>
            <w:pPr>
              <w:spacing w:after="0"/>
              <w:rPr>
                <w:sz w:val="24"/>
                <w:szCs w:val="24"/>
                <w:color w:val="auto"/>
              </w:rPr>
            </w:pPr>
          </w:p>
        </w:tc>
        <w:tc>
          <w:tcPr>
            <w:tcW w:w="6500" w:type="dxa"/>
            <w:vAlign w:val="bottom"/>
            <w:gridSpan w:val="3"/>
          </w:tcPr>
          <w:p>
            <w:pPr>
              <w:ind w:left="460"/>
              <w:spacing w:after="0"/>
              <w:rPr>
                <w:sz w:val="20"/>
                <w:szCs w:val="20"/>
                <w:color w:val="auto"/>
              </w:rPr>
            </w:pPr>
            <w:r>
              <w:rPr>
                <w:rFonts w:ascii="Arial" w:cs="Arial" w:eastAsia="Arial" w:hAnsi="Arial"/>
                <w:sz w:val="18"/>
                <w:szCs w:val="18"/>
                <w:color w:val="auto"/>
                <w:w w:val="99"/>
              </w:rPr>
              <w:t>Chief Operating Officer and Chief Financial Officer (principal financial officer</w:t>
            </w:r>
          </w:p>
        </w:tc>
        <w:tc>
          <w:tcPr>
            <w:tcW w:w="19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March 4, 2016</w:t>
            </w: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40" w:type="dxa"/>
            <w:vAlign w:val="bottom"/>
            <w:gridSpan w:val="8"/>
          </w:tcPr>
          <w:p>
            <w:pPr>
              <w:jc w:val="center"/>
              <w:ind w:right="560"/>
              <w:spacing w:after="0"/>
              <w:rPr>
                <w:sz w:val="20"/>
                <w:szCs w:val="20"/>
                <w:color w:val="auto"/>
              </w:rPr>
            </w:pPr>
            <w:r>
              <w:rPr>
                <w:rFonts w:ascii="Arial" w:cs="Arial" w:eastAsia="Arial" w:hAnsi="Arial"/>
                <w:sz w:val="18"/>
                <w:szCs w:val="18"/>
                <w:color w:val="auto"/>
                <w:w w:val="92"/>
              </w:rPr>
              <w:t>Dr. Tomer Berkovitz</w:t>
            </w:r>
          </w:p>
        </w:tc>
        <w:tc>
          <w:tcPr>
            <w:tcW w:w="6500" w:type="dxa"/>
            <w:vAlign w:val="bottom"/>
            <w:gridSpan w:val="3"/>
          </w:tcPr>
          <w:p>
            <w:pPr>
              <w:ind w:left="460"/>
              <w:spacing w:after="0"/>
              <w:rPr>
                <w:sz w:val="20"/>
                <w:szCs w:val="20"/>
                <w:color w:val="auto"/>
              </w:rPr>
            </w:pPr>
            <w:r>
              <w:rPr>
                <w:rFonts w:ascii="Arial" w:cs="Arial" w:eastAsia="Arial" w:hAnsi="Arial"/>
                <w:sz w:val="18"/>
                <w:szCs w:val="18"/>
                <w:color w:val="auto"/>
              </w:rPr>
              <w:t>and principal accounting officer)</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92"/>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9"/>
          </w:tcPr>
          <w:p>
            <w:pPr>
              <w:jc w:val="center"/>
              <w:ind w:right="520"/>
              <w:spacing w:after="0"/>
              <w:rPr>
                <w:sz w:val="20"/>
                <w:szCs w:val="20"/>
                <w:color w:val="auto"/>
              </w:rPr>
            </w:pPr>
            <w:r>
              <w:rPr>
                <w:rFonts w:ascii="Arial" w:cs="Arial" w:eastAsia="Arial" w:hAnsi="Arial"/>
                <w:sz w:val="18"/>
                <w:szCs w:val="18"/>
                <w:color w:val="auto"/>
                <w:w w:val="90"/>
              </w:rPr>
              <w:t>/s/ Howard B. Rosen</w:t>
            </w:r>
          </w:p>
        </w:tc>
        <w:tc>
          <w:tcPr>
            <w:tcW w:w="6500" w:type="dxa"/>
            <w:vAlign w:val="bottom"/>
            <w:gridSpan w:val="3"/>
          </w:tcPr>
          <w:p>
            <w:pPr>
              <w:ind w:left="460"/>
              <w:spacing w:after="0"/>
              <w:rPr>
                <w:sz w:val="20"/>
                <w:szCs w:val="20"/>
                <w:color w:val="auto"/>
              </w:rPr>
            </w:pPr>
            <w:r>
              <w:rPr>
                <w:rFonts w:ascii="Arial" w:cs="Arial" w:eastAsia="Arial" w:hAnsi="Arial"/>
                <w:sz w:val="18"/>
                <w:szCs w:val="18"/>
                <w:color w:val="auto"/>
              </w:rPr>
              <w:t>Chairman of the Board</w:t>
            </w:r>
          </w:p>
        </w:tc>
        <w:tc>
          <w:tcPr>
            <w:tcW w:w="19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March 4, 2016</w:t>
            </w: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8"/>
                <w:szCs w:val="18"/>
                <w:color w:val="auto"/>
                <w:w w:val="90"/>
              </w:rPr>
              <w:t>Howard B. Rosen</w:t>
            </w:r>
          </w:p>
        </w:tc>
        <w:tc>
          <w:tcPr>
            <w:tcW w:w="540" w:type="dxa"/>
            <w:vAlign w:val="bottom"/>
            <w:gridSpan w:val="3"/>
          </w:tcPr>
          <w:p>
            <w:pPr>
              <w:spacing w:after="0"/>
              <w:rPr>
                <w:sz w:val="20"/>
                <w:szCs w:val="20"/>
                <w:color w:val="auto"/>
              </w:rPr>
            </w:pPr>
          </w:p>
        </w:tc>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92"/>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8"/>
          </w:tcPr>
          <w:p>
            <w:pPr>
              <w:jc w:val="center"/>
              <w:ind w:right="540"/>
              <w:spacing w:after="0"/>
              <w:rPr>
                <w:sz w:val="20"/>
                <w:szCs w:val="20"/>
                <w:color w:val="auto"/>
              </w:rPr>
            </w:pPr>
            <w:r>
              <w:rPr>
                <w:rFonts w:ascii="Arial" w:cs="Arial" w:eastAsia="Arial" w:hAnsi="Arial"/>
                <w:sz w:val="18"/>
                <w:szCs w:val="18"/>
                <w:color w:val="auto"/>
                <w:w w:val="92"/>
              </w:rPr>
              <w:t>/s/ Arieh Ben Yosef</w:t>
            </w:r>
          </w:p>
        </w:tc>
        <w:tc>
          <w:tcPr>
            <w:tcW w:w="65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March 4, 2016</w:t>
            </w:r>
          </w:p>
        </w:tc>
      </w:tr>
      <w:tr>
        <w:trPr>
          <w:trHeight w:val="237"/>
        </w:trPr>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Arieh Ben Yosef</w:t>
            </w:r>
          </w:p>
        </w:tc>
        <w:tc>
          <w:tcPr>
            <w:tcW w:w="580" w:type="dxa"/>
            <w:vAlign w:val="bottom"/>
            <w:gridSpan w:val="4"/>
          </w:tcPr>
          <w:p>
            <w:pPr>
              <w:spacing w:after="0"/>
              <w:rPr>
                <w:sz w:val="20"/>
                <w:szCs w:val="20"/>
                <w:color w:val="auto"/>
              </w:rPr>
            </w:pPr>
          </w:p>
        </w:tc>
        <w:tc>
          <w:tcPr>
            <w:tcW w:w="3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891"/>
        </w:trPr>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ind w:left="2660"/>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/s/ Daniel E. Geffken</w:t>
            </w:r>
          </w:p>
        </w:tc>
        <w:tc>
          <w:tcPr>
            <w:tcW w:w="4360" w:type="dxa"/>
            <w:vAlign w:val="bottom"/>
          </w:tcPr>
          <w:p>
            <w:pPr>
              <w:ind w:left="84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900"/>
              <w:spacing w:after="0"/>
              <w:rPr>
                <w:sz w:val="20"/>
                <w:szCs w:val="20"/>
                <w:color w:val="auto"/>
              </w:rPr>
            </w:pPr>
            <w:r>
              <w:rPr>
                <w:rFonts w:ascii="Arial" w:cs="Arial" w:eastAsia="Arial" w:hAnsi="Arial"/>
                <w:sz w:val="18"/>
                <w:szCs w:val="18"/>
                <w:color w:val="auto"/>
                <w:w w:val="90"/>
              </w:rPr>
              <w:t>March 4, 2016</w:t>
            </w: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Daniel E. Geffken</w:t>
            </w:r>
          </w:p>
        </w:tc>
        <w:tc>
          <w:tcPr>
            <w:tcW w:w="120" w:type="dxa"/>
            <w:vAlign w:val="bottom"/>
            <w:gridSpan w:val="3"/>
          </w:tcPr>
          <w:p>
            <w:pPr>
              <w:spacing w:after="0"/>
              <w:rPr>
                <w:sz w:val="20"/>
                <w:szCs w:val="20"/>
                <w:color w:val="auto"/>
              </w:rPr>
            </w:pPr>
          </w:p>
        </w:tc>
        <w:tc>
          <w:tcPr>
            <w:tcW w:w="436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392"/>
        </w:trPr>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tcPr>
          <w:p>
            <w:pPr>
              <w:ind w:left="840"/>
              <w:spacing w:after="0"/>
              <w:rPr>
                <w:sz w:val="20"/>
                <w:szCs w:val="20"/>
                <w:color w:val="auto"/>
              </w:rPr>
            </w:pPr>
            <w:r>
              <w:rPr>
                <w:rFonts w:ascii="Arial" w:cs="Arial" w:eastAsia="Arial" w:hAnsi="Arial"/>
                <w:sz w:val="18"/>
                <w:szCs w:val="18"/>
                <w:color w:val="auto"/>
              </w:rPr>
              <w:t>Director</w:t>
            </w:r>
          </w:p>
        </w:tc>
        <w:tc>
          <w:tcPr>
            <w:tcW w:w="3960" w:type="dxa"/>
            <w:vAlign w:val="bottom"/>
          </w:tcPr>
          <w:p>
            <w:pPr>
              <w:spacing w:after="0"/>
              <w:rPr>
                <w:sz w:val="24"/>
                <w:szCs w:val="24"/>
                <w:color w:val="auto"/>
              </w:rPr>
            </w:pP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gridSpan w:val="6"/>
          </w:tcPr>
          <w:p>
            <w:pPr>
              <w:jc w:val="center"/>
              <w:ind w:right="100"/>
              <w:spacing w:after="0"/>
              <w:rPr>
                <w:sz w:val="20"/>
                <w:szCs w:val="20"/>
                <w:color w:val="auto"/>
              </w:rPr>
            </w:pPr>
            <w:r>
              <w:rPr>
                <w:rFonts w:ascii="Arial" w:cs="Arial" w:eastAsia="Arial" w:hAnsi="Arial"/>
                <w:sz w:val="18"/>
                <w:szCs w:val="18"/>
                <w:color w:val="auto"/>
                <w:w w:val="88"/>
              </w:rPr>
              <w:t>Dr. Hadas Gelander</w:t>
            </w:r>
          </w:p>
        </w:tc>
        <w:tc>
          <w:tcPr>
            <w:tcW w:w="436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392"/>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6"/>
          </w:tcPr>
          <w:p>
            <w:pPr>
              <w:jc w:val="center"/>
              <w:ind w:right="120"/>
              <w:spacing w:after="0"/>
              <w:rPr>
                <w:sz w:val="20"/>
                <w:szCs w:val="20"/>
                <w:color w:val="auto"/>
              </w:rPr>
            </w:pPr>
            <w:r>
              <w:rPr>
                <w:rFonts w:ascii="Arial" w:cs="Arial" w:eastAsia="Arial" w:hAnsi="Arial"/>
                <w:sz w:val="18"/>
                <w:szCs w:val="18"/>
                <w:color w:val="auto"/>
                <w:w w:val="95"/>
              </w:rPr>
              <w:t>/s/ Ori Mor</w:t>
            </w:r>
          </w:p>
        </w:tc>
        <w:tc>
          <w:tcPr>
            <w:tcW w:w="4360" w:type="dxa"/>
            <w:vAlign w:val="bottom"/>
          </w:tcPr>
          <w:p>
            <w:pPr>
              <w:ind w:left="84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900"/>
              <w:spacing w:after="0"/>
              <w:rPr>
                <w:sz w:val="20"/>
                <w:szCs w:val="20"/>
                <w:color w:val="auto"/>
              </w:rPr>
            </w:pPr>
            <w:r>
              <w:rPr>
                <w:rFonts w:ascii="Arial" w:cs="Arial" w:eastAsia="Arial" w:hAnsi="Arial"/>
                <w:sz w:val="18"/>
                <w:szCs w:val="18"/>
                <w:color w:val="auto"/>
                <w:w w:val="90"/>
              </w:rPr>
              <w:t>March 4, 2016</w:t>
            </w: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Ori Mor</w:t>
            </w:r>
          </w:p>
        </w:tc>
        <w:tc>
          <w:tcPr>
            <w:tcW w:w="480" w:type="dxa"/>
            <w:vAlign w:val="bottom"/>
            <w:gridSpan w:val="4"/>
          </w:tcPr>
          <w:p>
            <w:pPr>
              <w:spacing w:after="0"/>
              <w:rPr>
                <w:sz w:val="20"/>
                <w:szCs w:val="20"/>
                <w:color w:val="auto"/>
              </w:rPr>
            </w:pPr>
          </w:p>
        </w:tc>
        <w:tc>
          <w:tcPr>
            <w:tcW w:w="436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392"/>
        </w:trPr>
        <w:tc>
          <w:tcPr>
            <w:tcW w:w="174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1"/>
              </w:rPr>
              <w:t>/s/ Dr. Aharon Schwartz</w:t>
            </w:r>
          </w:p>
        </w:tc>
        <w:tc>
          <w:tcPr>
            <w:tcW w:w="4360" w:type="dxa"/>
            <w:vAlign w:val="bottom"/>
          </w:tcPr>
          <w:p>
            <w:pPr>
              <w:ind w:left="840"/>
              <w:spacing w:after="0"/>
              <w:rPr>
                <w:sz w:val="20"/>
                <w:szCs w:val="20"/>
                <w:color w:val="auto"/>
              </w:rPr>
            </w:pPr>
            <w:r>
              <w:rPr>
                <w:rFonts w:ascii="Arial" w:cs="Arial" w:eastAsia="Arial" w:hAnsi="Arial"/>
                <w:sz w:val="18"/>
                <w:szCs w:val="18"/>
                <w:color w:val="auto"/>
              </w:rPr>
              <w:t>Director</w:t>
            </w:r>
          </w:p>
        </w:tc>
        <w:tc>
          <w:tcPr>
            <w:tcW w:w="3960" w:type="dxa"/>
            <w:vAlign w:val="bottom"/>
          </w:tcPr>
          <w:p>
            <w:pPr>
              <w:ind w:left="2900"/>
              <w:spacing w:after="0"/>
              <w:rPr>
                <w:sz w:val="20"/>
                <w:szCs w:val="20"/>
                <w:color w:val="auto"/>
              </w:rPr>
            </w:pPr>
            <w:r>
              <w:rPr>
                <w:rFonts w:ascii="Arial" w:cs="Arial" w:eastAsia="Arial" w:hAnsi="Arial"/>
                <w:sz w:val="18"/>
                <w:szCs w:val="18"/>
                <w:color w:val="auto"/>
                <w:w w:val="90"/>
              </w:rPr>
              <w:t>March 4, 2016</w:t>
            </w: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gridSpan w:val="6"/>
          </w:tcPr>
          <w:p>
            <w:pPr>
              <w:jc w:val="center"/>
              <w:ind w:right="120"/>
              <w:spacing w:after="0"/>
              <w:rPr>
                <w:sz w:val="20"/>
                <w:szCs w:val="20"/>
                <w:color w:val="auto"/>
              </w:rPr>
            </w:pPr>
            <w:r>
              <w:rPr>
                <w:rFonts w:ascii="Arial" w:cs="Arial" w:eastAsia="Arial" w:hAnsi="Arial"/>
                <w:sz w:val="18"/>
                <w:szCs w:val="18"/>
                <w:color w:val="auto"/>
                <w:w w:val="91"/>
              </w:rPr>
              <w:t>Dr. Aharon Schwartz</w:t>
            </w:r>
          </w:p>
        </w:tc>
        <w:tc>
          <w:tcPr>
            <w:tcW w:w="436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392"/>
        </w:trPr>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tcPr>
          <w:p>
            <w:pPr>
              <w:ind w:left="840"/>
              <w:spacing w:after="0"/>
              <w:rPr>
                <w:sz w:val="20"/>
                <w:szCs w:val="20"/>
                <w:color w:val="auto"/>
              </w:rPr>
            </w:pPr>
            <w:r>
              <w:rPr>
                <w:rFonts w:ascii="Arial" w:cs="Arial" w:eastAsia="Arial" w:hAnsi="Arial"/>
                <w:sz w:val="18"/>
                <w:szCs w:val="18"/>
                <w:color w:val="auto"/>
              </w:rPr>
              <w:t>Director</w:t>
            </w:r>
          </w:p>
        </w:tc>
        <w:tc>
          <w:tcPr>
            <w:tcW w:w="3960" w:type="dxa"/>
            <w:vAlign w:val="bottom"/>
          </w:tcPr>
          <w:p>
            <w:pPr>
              <w:spacing w:after="0"/>
              <w:rPr>
                <w:sz w:val="24"/>
                <w:szCs w:val="24"/>
                <w:color w:val="auto"/>
              </w:rPr>
            </w:pPr>
          </w:p>
        </w:tc>
      </w:tr>
      <w:tr>
        <w:trPr>
          <w:trHeight w:val="237"/>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gridSpan w:val="6"/>
          </w:tcPr>
          <w:p>
            <w:pPr>
              <w:jc w:val="center"/>
              <w:ind w:right="100"/>
              <w:spacing w:after="0"/>
              <w:rPr>
                <w:sz w:val="20"/>
                <w:szCs w:val="20"/>
                <w:color w:val="auto"/>
              </w:rPr>
            </w:pPr>
            <w:r>
              <w:rPr>
                <w:rFonts w:ascii="Arial" w:cs="Arial" w:eastAsia="Arial" w:hAnsi="Arial"/>
                <w:sz w:val="18"/>
                <w:szCs w:val="18"/>
                <w:color w:val="auto"/>
                <w:w w:val="91"/>
              </w:rPr>
              <w:t>Dr. Joao Siffert</w:t>
            </w:r>
          </w:p>
        </w:tc>
        <w:tc>
          <w:tcPr>
            <w:tcW w:w="4360" w:type="dxa"/>
            <w:vAlign w:val="bottom"/>
          </w:tcPr>
          <w:p>
            <w:pPr>
              <w:spacing w:after="0"/>
              <w:rPr>
                <w:sz w:val="20"/>
                <w:szCs w:val="20"/>
                <w:color w:val="auto"/>
              </w:rPr>
            </w:pPr>
          </w:p>
        </w:tc>
        <w:tc>
          <w:tcPr>
            <w:tcW w:w="39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Act of 1933, as amended, the undersigned, the duly authorized representative in the United States of Alcobra Ltd., has signed this Registration Statement on Form S-8 on March 4, 2016.</w:t>
      </w:r>
    </w:p>
    <w:p>
      <w:pPr>
        <w:spacing w:after="0" w:line="166" w:lineRule="exact"/>
        <w:rPr>
          <w:sz w:val="20"/>
          <w:szCs w:val="20"/>
          <w:color w:val="auto"/>
        </w:rPr>
      </w:pPr>
    </w:p>
    <w:p>
      <w:pPr>
        <w:jc w:val="center"/>
        <w:ind w:left="300"/>
        <w:spacing w:after="0"/>
        <w:rPr>
          <w:sz w:val="20"/>
          <w:szCs w:val="20"/>
          <w:color w:val="auto"/>
        </w:rPr>
      </w:pPr>
      <w:r>
        <w:rPr>
          <w:rFonts w:ascii="Arial" w:cs="Arial" w:eastAsia="Arial" w:hAnsi="Arial"/>
          <w:sz w:val="18"/>
          <w:szCs w:val="18"/>
          <w:b w:val="1"/>
          <w:bCs w:val="1"/>
          <w:color w:val="auto"/>
        </w:rPr>
        <w:t>ALCOBRA INC.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Name: Dr. Yaron Daniely</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Title: Chief Executive Officer and President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165735</wp:posOffset>
            </wp:positionV>
            <wp:extent cx="2032635" cy="1166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32635"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Azrieli Triangle 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6701101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acting as Israeli counsel for Alcobra Ltd., an Israeli company (the “Company”), in connection with the preparation of a Registration Statement on Form S-8 (the “Registration Statement”) under the Securities Act of 1933, as amended (the “Act”), pertaining to the registration of an additional 959,571 Ordinary Shares nominal value NIS 0.01 per share of the Company (the “Plan Shares”) under the Alcobra Ltd. 2010 Incentive Option Plan (the “Plan”).</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rendering our opinion, we have examined, and have relied as to factual matters solely upon, originals or copies certified, or otherwise identified to our satisfaction, of such documents, corporate records or other instruments as we have deemed necessary or appropriate for the purposes of this opinion. In our examination we have assumed the genuineness of all signatures, the authenticity of all documents submitted to us as originals, and the conformity with the originals of all documents submitted to us as copies. We have, when relevant facts material to our opinion were not independently established by us, relied to the extent we deemed such reliance proper upon written or oral statements of officers and other representatives of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giving the opinion expressed herein, no opinion is expressed as to the laws of any jurisdiction other than the State of Israel.</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Based upon and subject to the foregoing, we are of the opinion that the Plan Shares, when issued pursuant to the terms of the Plan, and the terms of any agreements relating to such issuance, will be upon receipt of the consideration provided for in the Plan, validly issued, fully paid and nonassessable.</w:t>
      </w:r>
    </w:p>
    <w:p>
      <w:pPr>
        <w:spacing w:after="0" w:line="12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This opinion is intended solely for the benefit and use of the Company and other persons who are entitled to rely on the Registration Statement, and is not to be used, released, quoted, or relied upon by anyone else for any purpose (other than as required by law), without our prior written consent.</w:t>
      </w:r>
    </w:p>
    <w:p>
      <w:pPr>
        <w:spacing w:after="0" w:line="12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hereby consent to the filing of this opinion as Exhibit 5.1 to the Registration Statement, and to the use of our name wherever appearing in the Registration Statement in connection with Israeli law. In giving such consent, we do not thereby admit that we are in the category of persons whose consent is required under Section 7 of the Act or the rules and regulations of the Securities and Exchange Commission promulgated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ZYSMAN AHARONI GAYER &amp; CO., LAW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Zysman, Aharoni, Gayer &amp; Co.,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Alcobra Ltd. 2010 Incentive Option Plan of our report dated March 4, 2016 with respect to the consolidated financial statements of Alcobra Ltd. and its subsidiary included in the Annual Report on Form 20-F of Alcobra Ltd. for the year ended December 31, 2015 filed with the Securities and Exchange Commission.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 Kost Forer Gabbay &amp; Kasierer</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Tel-Aviv, Israel</w:t>
            </w:r>
          </w:p>
        </w:tc>
        <w:tc>
          <w:tcPr>
            <w:tcW w:w="24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Kost Forer Gabbay &amp; Kasierer</w:t>
            </w:r>
          </w:p>
        </w:tc>
        <w:tc>
          <w:tcPr>
            <w:tcW w:w="2140" w:type="dxa"/>
            <w:vAlign w:val="bottom"/>
          </w:tcPr>
          <w:p>
            <w:pPr>
              <w:spacing w:after="0"/>
              <w:rPr>
                <w:sz w:val="19"/>
                <w:szCs w:val="19"/>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March 4, 2016</w:t>
            </w:r>
          </w:p>
        </w:tc>
        <w:tc>
          <w:tcPr>
            <w:tcW w:w="4560" w:type="dxa"/>
            <w:vAlign w:val="bottom"/>
            <w:gridSpan w:val="2"/>
          </w:tcPr>
          <w:p>
            <w:pPr>
              <w:spacing w:after="0"/>
              <w:rPr>
                <w:sz w:val="20"/>
                <w:szCs w:val="20"/>
                <w:color w:val="auto"/>
              </w:rPr>
            </w:pPr>
            <w:r>
              <w:rPr>
                <w:rFonts w:ascii="Arial" w:cs="Arial" w:eastAsia="Arial" w:hAnsi="Arial"/>
                <w:sz w:val="18"/>
                <w:szCs w:val="18"/>
                <w:color w:val="auto"/>
              </w:rPr>
              <w:t>A member of EY Global</w:t>
            </w:r>
          </w:p>
        </w:tc>
      </w:tr>
      <w:tr>
        <w:trPr>
          <w:trHeight w:val="891"/>
        </w:trPr>
        <w:tc>
          <w:tcPr>
            <w:tcW w:w="68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2019-12-08T22:50:39Z</dcterms:created>
  <dcterms:modified xsi:type="dcterms:W3CDTF">2019-12-08T22:50:39Z</dcterms:modified>
</cp:coreProperties>
</file>