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9)</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Arcturus Therapeutics Ltd.</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Ordinary Shares, par value of NIS 0.01</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M1492T105</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AMIR EFRATI</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BROSH CAPITAL PARTNERS,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11 Menachem Begin Rd.</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Ramat-Gan, Israel 5268104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+972-77-3206050</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November 16, 2017</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M1492T105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Brosh Capital Partners,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517,023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517,023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517,023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Exodus Management Israel Ltd.</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555,877</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555,877</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555,877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5.3%</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Aharon Biram</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44,729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44,729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44,729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Ester Deutsch</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44,729</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44,729</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44,729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M1492T105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Amir Efrati</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Israel</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645,336</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645,336</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645,336</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following constitutes Amendment No. 9 to the Schedule 13D filed by the undersigned (“Amendment No. 9”). The Schedule 13D is being amended to reflect changes in the beneficial ownership of the Reporting Persons resulting from the Merger, as defined and described below. This Amendment No. 9 amends the Schedule 13D as specifically set forth herein.</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1 is hereby amended and restated to read as follows:</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This statement relates to the Ordinary Shares, par value of NIS 0.01 (the “Shares”), of Arcturus Therapeutics Ltd., an Israeli corporation (the “Issuer”). The address of the principal executive offices of the Issuer is 10628 Science Center Drive, Suite 200, San Diego, California 92121.</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Immediately upon the filing of this Amendment No. 9, Phoenix, Delek and Mr. Tshuva cease to be Reporting Persons. Item 2 is hereby amended and restated to read as follows:</w:t>
      </w:r>
    </w:p>
    <w:p>
      <w:pPr>
        <w:spacing w:after="0" w:line="170" w:lineRule="exact"/>
        <w:rPr>
          <w:sz w:val="20"/>
          <w:szCs w:val="20"/>
          <w:color w:val="auto"/>
        </w:rPr>
      </w:pPr>
    </w:p>
    <w:p>
      <w:pPr>
        <w:ind w:left="1800" w:hanging="505"/>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1940" w:hanging="460"/>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Brosh Capital Partners, L.P., a Cayman Islands limited partnership (“Brosh”);</w:t>
      </w:r>
    </w:p>
    <w:p>
      <w:pPr>
        <w:spacing w:after="0" w:line="225" w:lineRule="exact"/>
        <w:rPr>
          <w:rFonts w:ascii="Arial" w:cs="Arial" w:eastAsia="Arial" w:hAnsi="Arial"/>
          <w:sz w:val="18"/>
          <w:szCs w:val="18"/>
          <w:color w:val="auto"/>
        </w:rPr>
      </w:pPr>
    </w:p>
    <w:p>
      <w:pPr>
        <w:ind w:left="1940" w:right="620" w:hanging="460"/>
        <w:spacing w:after="0" w:line="277" w:lineRule="auto"/>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Exodus Management Israel Ltd., an Israeli corporation, which serves as the general partner of Brosh (“Exodus GP”) and as portfolio manager for a certain managed account (the “Exodus Managed Account”);</w:t>
      </w:r>
    </w:p>
    <w:p>
      <w:pPr>
        <w:spacing w:after="0" w:line="170" w:lineRule="exact"/>
        <w:rPr>
          <w:rFonts w:ascii="Arial" w:cs="Arial" w:eastAsia="Arial" w:hAnsi="Arial"/>
          <w:sz w:val="18"/>
          <w:szCs w:val="18"/>
          <w:color w:val="auto"/>
        </w:rPr>
      </w:pPr>
    </w:p>
    <w:p>
      <w:pPr>
        <w:ind w:left="1940" w:right="220" w:hanging="460"/>
        <w:spacing w:after="0" w:line="277" w:lineRule="auto"/>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Amir Efrati, who serves as the portfolio manager of each of Brosh and Exodus GP, and as the sole director and officer of Exodus GP;</w:t>
      </w:r>
    </w:p>
    <w:p>
      <w:pPr>
        <w:spacing w:after="0" w:line="170" w:lineRule="exact"/>
        <w:rPr>
          <w:rFonts w:ascii="Arial" w:cs="Arial" w:eastAsia="Arial" w:hAnsi="Arial"/>
          <w:sz w:val="18"/>
          <w:szCs w:val="18"/>
          <w:color w:val="auto"/>
        </w:rPr>
      </w:pPr>
    </w:p>
    <w:p>
      <w:pPr>
        <w:ind w:left="1940" w:hanging="460"/>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Aharon Biram; and</w:t>
      </w:r>
    </w:p>
    <w:p>
      <w:pPr>
        <w:spacing w:after="0" w:line="225" w:lineRule="exact"/>
        <w:rPr>
          <w:rFonts w:ascii="Arial" w:cs="Arial" w:eastAsia="Arial" w:hAnsi="Arial"/>
          <w:sz w:val="18"/>
          <w:szCs w:val="18"/>
          <w:color w:val="auto"/>
        </w:rPr>
      </w:pPr>
    </w:p>
    <w:p>
      <w:pPr>
        <w:ind w:left="1940" w:hanging="460"/>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Ester Deutsch.</w:t>
      </w:r>
    </w:p>
    <w:p>
      <w:pPr>
        <w:spacing w:after="0" w:line="225"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ind w:left="1820" w:hanging="515"/>
        <w:spacing w:after="0"/>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the principal office of each of the Reporting Persons is 11 Menachem Begin Rd., Ramat-Gan, Israel.</w:t>
      </w:r>
    </w:p>
    <w:p>
      <w:pPr>
        <w:spacing w:after="0" w:line="225" w:lineRule="exact"/>
        <w:rPr>
          <w:rFonts w:ascii="Arial" w:cs="Arial" w:eastAsia="Arial" w:hAnsi="Arial"/>
          <w:sz w:val="18"/>
          <w:szCs w:val="18"/>
          <w:color w:val="auto"/>
        </w:rPr>
      </w:pPr>
    </w:p>
    <w:p>
      <w:pPr>
        <w:ind w:right="100" w:firstLine="1305"/>
        <w:spacing w:after="0" w:line="259" w:lineRule="auto"/>
        <w:tabs>
          <w:tab w:leader="none" w:pos="18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business of Brosh is investing in securities. The principal business of Exodus GP is serving as the general partner of Brosh and as a portfolio manager for the Exodus Managed Account. The principal occupation of Mr. Efrati is serving as the portfolio manager of each of Brosh and Exodus GP. The principal occupation of Mr. Biram is serving as the chairman of Sunflower Sustainable Investments Ltd. and as a private investor. The principal occupation of Ms. Deutsch is a medical doctor.</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Reporting Person has, during the last five years, been convicted in a criminal proceeding (excluding traffic violations or similar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misdemeanors).</w:t>
      </w:r>
    </w:p>
    <w:p>
      <w:pPr>
        <w:spacing w:after="0" w:line="210" w:lineRule="exact"/>
        <w:rPr>
          <w:rFonts w:ascii="Arial" w:cs="Arial" w:eastAsia="Arial" w:hAnsi="Arial"/>
          <w:sz w:val="16"/>
          <w:szCs w:val="16"/>
          <w:color w:val="auto"/>
        </w:rPr>
      </w:pPr>
    </w:p>
    <w:p>
      <w:pPr>
        <w:ind w:right="60" w:firstLine="1305"/>
        <w:spacing w:after="0" w:line="264" w:lineRule="auto"/>
        <w:tabs>
          <w:tab w:leader="none" w:pos="1811"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Reporting Person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left="1800" w:hanging="495"/>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Messrs. Efrati and Biram and Ms. Deutsch are citizens of Israel.</w:t>
      </w:r>
    </w:p>
    <w:p>
      <w:pPr>
        <w:spacing w:after="0" w:line="225" w:lineRule="exact"/>
        <w:rPr>
          <w:rFonts w:ascii="Arial" w:cs="Arial" w:eastAsia="Arial" w:hAnsi="Arial"/>
          <w:sz w:val="18"/>
          <w:szCs w:val="18"/>
          <w:color w:val="auto"/>
        </w:rPr>
      </w:pPr>
    </w:p>
    <w:p>
      <w:pPr>
        <w:ind w:left="1300" w:right="5980" w:hanging="1297"/>
        <w:spacing w:after="0" w:line="563" w:lineRule="auto"/>
        <w:rPr>
          <w:rFonts w:ascii="Arial" w:cs="Arial" w:eastAsia="Arial" w:hAnsi="Arial"/>
          <w:sz w:val="18"/>
          <w:szCs w:val="18"/>
          <w:color w:val="auto"/>
        </w:rPr>
      </w:pPr>
      <w:r>
        <w:rPr>
          <w:rFonts w:ascii="Arial" w:cs="Arial" w:eastAsia="Arial" w:hAnsi="Arial"/>
          <w:sz w:val="18"/>
          <w:szCs w:val="18"/>
          <w:color w:val="auto"/>
        </w:rPr>
        <w:t>Item 3.</w:t>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r>
        <w:rPr>
          <w:rFonts w:ascii="Arial" w:cs="Arial" w:eastAsia="Arial" w:hAnsi="Arial"/>
          <w:sz w:val="16"/>
          <w:szCs w:val="16"/>
          <w:u w:val="single" w:color="auto"/>
          <w:color w:val="auto"/>
        </w:rPr>
        <w:t xml:space="preserve"> </w:t>
      </w:r>
      <w:r>
        <w:rPr>
          <w:rFonts w:ascii="Arial" w:cs="Arial" w:eastAsia="Arial" w:hAnsi="Arial"/>
          <w:sz w:val="16"/>
          <w:szCs w:val="16"/>
          <w:color w:val="auto"/>
        </w:rPr>
        <w:t>Item 3 is hereby amended and restated to read as follows:</w:t>
      </w:r>
    </w:p>
    <w:p>
      <w:pPr>
        <w:spacing w:after="0" w:line="1"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The Shares purchased by Brosh and the Shares held in the Exodus Managed Account, were purchased with working capital (which may, at any given time, include margin loans made by brokerage firms in the ordinary course of business) in open market purchases, except as otherwise noted in Schedule A to this Amendment No. 9, which is incorporated herein by reference. The aggregate purchase price of the 517,023 Shares owned directly by Brosh is approximately $3,932,795, excluding brokerage commissions. The aggregate purchase price of the 38,855 Shares held in the Exodus Managed Account is approximately $292,783, excluding brokerage commissions. The Shares purchased by Mr. Biram were purchased with personal funds, in open market purchases, except as otherwise noted in Schedule A, which is incorporated herein by reference. The aggregate purchase price of the 44,729 Shares owned directly by Mr. Biram is approximately $347,358, excluding brokerage commissions. The Shares purchased by Ms. Deutsch were purchased with personal funds, in open market purchases, except as otherwise noted in Schedule A, which is incorporated herein by reference. The aggregate purchase price of the 44,729 Shares owned directly by Ms. Deutsch is approximately $347,358, excluding brokerage commissions.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On November 15, 2017, the Issuer (formerly known as Alcobra Ltd.) completed its business combination with what was then known as Arcturus Therapeutics, Inc. (“Arcturus Inc.”) in accordance with the terms of the Agreement and Plan of Merger and Reorganization, dated as of September 27, 2017, by and among the Issuer, Aleph MergerSub, Inc. (“Merger Sub”), and Arcturus Inc. (the “Merger Agreement”), pursuant to which Merger Sub merged with and into Arcturus Inc., with Arcturus Inc. surviving as a wholly owned subsidiary of the Issuer (the “Merger”). In connection with, and prior to the completion of, the Merger, the Issuer effected a 7-for-1 reverse stock split of the Issuers’ Shares (the “Reverse Share Split”). The transactions contemplated by the Merger Agreement (including the Merger and the Reverse Stock Split) were approved by the Issuer’s shareholders at the extraordinary general meeting of shareholders held on November 12, 2017.</w:t>
      </w:r>
    </w:p>
    <w:p>
      <w:pPr>
        <w:spacing w:after="0" w:line="189"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Pursuant to the terms of the Merger Agreement, the Issuer issued Shares to Arcturus Inc. stockholders, at an exchange ratio of 0.293 Shares (after taking into account the Reverse Share Split) per share of Arcturus Inc. common stock outstanding immediately prior to the Merger.</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Effective immediately upon the completion of the Merger, Amir Efrati ceased to serve on the Issuer’s board of directors.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foregoing description of the Merger and the Merger Agreement is not complete and is subject to and qualified in its entirety by reference to the Merger Agreement, a copy of which is attached as Exhibit 99.2 to the Report of Foreign Private Issuer on Form 6-K furnished to the Securities and Exchange Commission on September 28, 2017, and which is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is hereby amended and restated to read as follows:</w:t>
      </w:r>
    </w:p>
    <w:p>
      <w:pPr>
        <w:spacing w:after="0" w:line="225" w:lineRule="exact"/>
        <w:rPr>
          <w:sz w:val="20"/>
          <w:szCs w:val="20"/>
          <w:color w:val="auto"/>
        </w:rPr>
      </w:pPr>
    </w:p>
    <w:p>
      <w:pPr>
        <w:ind w:right="120" w:firstLine="656"/>
        <w:spacing w:after="0" w:line="286" w:lineRule="auto"/>
        <w:tabs>
          <w:tab w:leader="none" w:pos="11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aggregate percentage of Shares reported owned by each person named herein is based upon 10,568,901 Shares outstanding, which is the total number of Shares outstanding as reported in the Issuer’s Report of Foreign Private Issuer on Form 6-K filed with the Securities and Exchange Commission on November 16, 2017. All ownership information reported in this Item 5 is as of the close of business on November 16, 2017.</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Brosh</w:t>
      </w:r>
    </w:p>
    <w:p>
      <w:pPr>
        <w:spacing w:after="0" w:line="225" w:lineRule="exact"/>
        <w:rPr>
          <w:rFonts w:ascii="Arial" w:cs="Arial" w:eastAsia="Arial" w:hAnsi="Arial"/>
          <w:sz w:val="18"/>
          <w:szCs w:val="18"/>
          <w:color w:val="auto"/>
        </w:rPr>
      </w:pPr>
    </w:p>
    <w:p>
      <w:pPr>
        <w:ind w:left="1300" w:right="6580" w:hanging="644"/>
        <w:spacing w:after="0" w:line="532"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Brosh directly beneficially owns 517,023 Shares. Percentage: Approximately 4.9%</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517,023</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517,023</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transactions in the Shares by Brosh during the past sixty days are set forth in Schedule A and are incorporated herein by reference.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Exodus GP</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Exodus, Exodus GP may be deemed to beneficially own the (i) 517,023 Shares beneficially owned by Brosh and (ii) 38,855 Shares held in the Exodus Managed Account.</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5.3%</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555,877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555,877</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Exodus GP has not entered into any transactions in the Shares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Biram</w:t>
      </w:r>
    </w:p>
    <w:p>
      <w:pPr>
        <w:spacing w:after="0" w:line="225" w:lineRule="exact"/>
        <w:rPr>
          <w:rFonts w:ascii="Arial" w:cs="Arial" w:eastAsia="Arial" w:hAnsi="Arial"/>
          <w:sz w:val="18"/>
          <w:szCs w:val="18"/>
          <w:color w:val="auto"/>
        </w:rPr>
      </w:pPr>
    </w:p>
    <w:p>
      <w:pPr>
        <w:ind w:left="1300" w:right="3120" w:hanging="644"/>
        <w:spacing w:after="0" w:line="501"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of the close of business on November 16, 2017, Mr. Biram beneficially owned 44,729 Shares. Percentage: Less than 1%</w:t>
      </w: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vote or direct vote: 44,729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44,729</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Mr. Biram has not entered into any transactions in the Shares during the past sixty days.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M1492T105</w:t>
      </w:r>
    </w:p>
    <w:p>
      <w:pPr>
        <w:spacing w:after="0" w:line="10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Deutsch</w:t>
      </w:r>
    </w:p>
    <w:p>
      <w:pPr>
        <w:spacing w:after="0" w:line="225" w:lineRule="exact"/>
        <w:rPr>
          <w:rFonts w:ascii="Arial" w:cs="Arial" w:eastAsia="Arial" w:hAnsi="Arial"/>
          <w:sz w:val="18"/>
          <w:szCs w:val="18"/>
          <w:color w:val="auto"/>
        </w:rPr>
      </w:pPr>
    </w:p>
    <w:p>
      <w:pPr>
        <w:ind w:left="1300" w:right="2960" w:hanging="644"/>
        <w:spacing w:after="0" w:line="50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of the close of business on November 16, 2017, Ms. Deutsch beneficially owned 44,729 Shares. Percentage: Less than 1%</w:t>
      </w: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44,729</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44,729</w:t>
      </w:r>
    </w:p>
    <w:p>
      <w:pPr>
        <w:spacing w:after="0" w:line="210" w:lineRule="exact"/>
        <w:rPr>
          <w:rFonts w:ascii="Arial" w:cs="Arial" w:eastAsia="Arial" w:hAnsi="Arial"/>
          <w:sz w:val="18"/>
          <w:szCs w:val="18"/>
          <w:color w:val="auto"/>
        </w:rPr>
      </w:pPr>
    </w:p>
    <w:p>
      <w:pPr>
        <w:ind w:left="1380" w:hanging="724"/>
        <w:spacing w:after="0"/>
        <w:tabs>
          <w:tab w:leader="none" w:pos="1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Ms. Deutsch has not entered into any transactions in the Shares during the past sixty days.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Efrati</w:t>
      </w:r>
    </w:p>
    <w:p>
      <w:pPr>
        <w:spacing w:after="0" w:line="225"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Mr. Efrati as the portfolio manager of Exodus and because of that certain Power of Attorney Agreement between him between him and each of Mr. Biram and Ms. Deutsch, may be deemed the beneficial owner of the: (i) 517,023 Shares owned by Exodus; (ii) 38,855 Shares held in the Exodus Managed Account; (iii) 44,729 Shares owned by Mr. Biram and (iv) 44,729 Shares owned by Ms. Deutsch..</w:t>
      </w:r>
    </w:p>
    <w:p>
      <w:pPr>
        <w:spacing w:after="0" w:line="165"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Percentage: Approximately 6.1%</w:t>
      </w:r>
    </w:p>
    <w:p>
      <w:pPr>
        <w:spacing w:after="0" w:line="225" w:lineRule="exact"/>
        <w:rPr>
          <w:rFonts w:ascii="Arial" w:cs="Arial" w:eastAsia="Arial" w:hAnsi="Arial"/>
          <w:sz w:val="17"/>
          <w:szCs w:val="17"/>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645,336</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645,336</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Mr. Efrati has not entered into any transactions in the Shares during the past sixty days. The transactions in the Shares by Brosh during the past sixty days are set forth in Schedule A and are incorporated herein by reference.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right="80" w:firstLine="737"/>
        <w:spacing w:after="0" w:line="277" w:lineRule="auto"/>
        <w:tabs>
          <w:tab w:leader="none" w:pos="12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person, other than the Reporting Persons and the Exodus Managed Account,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260" w:hanging="523"/>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November 16, 2017, the Reporting Persons entered into a Joint Filing Agreement in which the Reporting Persons agreed to the joint filing on behalf of each of them of statements on Schedule 13D with respect to securities of the Issuer, to the extent required by applicable law. The Joint Filing Agreement is attached hereto as Exhibit 99.1 and is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w:t>
      </w:r>
    </w:p>
    <w:p>
      <w:pPr>
        <w:spacing w:after="0" w:line="225" w:lineRule="exact"/>
        <w:rPr>
          <w:sz w:val="20"/>
          <w:szCs w:val="20"/>
          <w:color w:val="auto"/>
        </w:rPr>
      </w:pPr>
    </w:p>
    <w:p>
      <w:pPr>
        <w:ind w:left="1960" w:hanging="647"/>
        <w:spacing w:after="0" w:line="277"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Joint Filing Agreement by and among Brosh Capital Partners, L.P., Exodus Management Israel Ltd., Amir Efrati, Aharon Biram and Ester Deutsch, dated November 16,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M1492T105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2017</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M1492T105</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4"/>
          </w:tcPr>
          <w:p>
            <w:pPr>
              <w:jc w:val="center"/>
              <w:ind w:right="1820"/>
              <w:spacing w:after="0"/>
              <w:rPr>
                <w:sz w:val="20"/>
                <w:szCs w:val="20"/>
                <w:color w:val="auto"/>
              </w:rPr>
            </w:pPr>
            <w:r>
              <w:rPr>
                <w:rFonts w:ascii="Arial" w:cs="Arial" w:eastAsia="Arial" w:hAnsi="Arial"/>
                <w:sz w:val="18"/>
                <w:szCs w:val="18"/>
                <w:b w:val="1"/>
                <w:bCs w:val="1"/>
                <w:color w:val="auto"/>
                <w:w w:val="99"/>
              </w:rPr>
              <w:t>SCHEDULE A</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89"/>
              </w:rPr>
              <w:t>Transaction in the Shares During the Past Sixty (60) Days</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Nature of Transaction</w:t>
            </w:r>
          </w:p>
        </w:tc>
        <w:tc>
          <w:tcPr>
            <w:tcW w:w="620" w:type="dxa"/>
            <w:vAlign w:val="bottom"/>
          </w:tcPr>
          <w:p>
            <w:pPr>
              <w:spacing w:after="0"/>
              <w:rPr>
                <w:sz w:val="24"/>
                <w:szCs w:val="24"/>
                <w:color w:val="auto"/>
              </w:rPr>
            </w:pPr>
          </w:p>
        </w:tc>
        <w:tc>
          <w:tcPr>
            <w:tcW w:w="1620" w:type="dxa"/>
            <w:vAlign w:val="bottom"/>
            <w:gridSpan w:val="5"/>
          </w:tcPr>
          <w:p>
            <w:pPr>
              <w:jc w:val="center"/>
              <w:ind w:right="20"/>
              <w:spacing w:after="0"/>
              <w:rPr>
                <w:sz w:val="20"/>
                <w:szCs w:val="20"/>
                <w:color w:val="auto"/>
              </w:rPr>
            </w:pPr>
            <w:r>
              <w:rPr>
                <w:rFonts w:ascii="Arial" w:cs="Arial" w:eastAsia="Arial" w:hAnsi="Arial"/>
                <w:sz w:val="18"/>
                <w:szCs w:val="18"/>
                <w:color w:val="auto"/>
                <w:w w:val="88"/>
              </w:rPr>
              <w:t>Date of Purchase/Sale</w:t>
            </w:r>
          </w:p>
        </w:tc>
        <w:tc>
          <w:tcPr>
            <w:tcW w:w="3020" w:type="dxa"/>
            <w:vAlign w:val="bottom"/>
            <w:gridSpan w:val="4"/>
          </w:tcPr>
          <w:p>
            <w:pPr>
              <w:jc w:val="center"/>
              <w:ind w:left="930"/>
              <w:spacing w:after="0"/>
              <w:rPr>
                <w:sz w:val="20"/>
                <w:szCs w:val="20"/>
                <w:color w:val="auto"/>
              </w:rPr>
            </w:pPr>
            <w:r>
              <w:rPr>
                <w:rFonts w:ascii="Arial" w:cs="Arial" w:eastAsia="Arial" w:hAnsi="Arial"/>
                <w:sz w:val="18"/>
                <w:szCs w:val="18"/>
                <w:color w:val="auto"/>
                <w:w w:val="89"/>
              </w:rPr>
              <w:t>Securities Purchased/(Sold)</w:t>
            </w:r>
          </w:p>
        </w:tc>
        <w:tc>
          <w:tcPr>
            <w:tcW w:w="136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 xml:space="preserve">Price [U.S.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98"/>
              </w:rPr>
              <w:t>[dd/mm/yyyy]</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7"/>
              </w:rPr>
              <w:t>BROSH CAPITAL PARTNERS L.P.</w:t>
            </w: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gridSpan w:val="3"/>
            <w:vMerge w:val="restart"/>
          </w:tcPr>
          <w:p>
            <w:pPr>
              <w:ind w:left="100"/>
              <w:spacing w:after="0"/>
              <w:rPr>
                <w:sz w:val="20"/>
                <w:szCs w:val="20"/>
                <w:color w:val="auto"/>
              </w:rPr>
            </w:pPr>
            <w:r>
              <w:rPr>
                <w:rFonts w:ascii="Arial" w:cs="Arial" w:eastAsia="Arial" w:hAnsi="Arial"/>
                <w:sz w:val="18"/>
                <w:szCs w:val="18"/>
                <w:color w:val="auto"/>
              </w:rPr>
              <w:t>Sale of Ordinary Shares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gridSpan w:val="3"/>
            <w:vMerge w:val="continue"/>
          </w:tcPr>
          <w:p>
            <w:pPr>
              <w:spacing w:after="0"/>
              <w:rPr>
                <w:sz w:val="20"/>
                <w:szCs w:val="20"/>
                <w:color w:val="auto"/>
              </w:rPr>
            </w:pPr>
          </w:p>
        </w:tc>
        <w:tc>
          <w:tcPr>
            <w:tcW w:w="1940" w:type="dxa"/>
            <w:vAlign w:val="bottom"/>
            <w:gridSpan w:val="4"/>
            <w:shd w:val="clear" w:color="auto" w:fill="FEFEFE"/>
          </w:tcPr>
          <w:p>
            <w:pPr>
              <w:jc w:val="center"/>
              <w:ind w:left="790"/>
              <w:spacing w:after="0"/>
              <w:rPr>
                <w:sz w:val="20"/>
                <w:szCs w:val="20"/>
                <w:color w:val="auto"/>
              </w:rPr>
            </w:pPr>
            <w:r>
              <w:rPr>
                <w:rFonts w:ascii="Arial" w:cs="Arial" w:eastAsia="Arial" w:hAnsi="Arial"/>
                <w:sz w:val="18"/>
                <w:szCs w:val="18"/>
                <w:color w:val="auto"/>
                <w:w w:val="90"/>
              </w:rPr>
              <w:t>15/11/2017</w:t>
            </w:r>
          </w:p>
        </w:tc>
        <w:tc>
          <w:tcPr>
            <w:tcW w:w="28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800" w:type="dxa"/>
            <w:vAlign w:val="bottom"/>
            <w:gridSpan w:val="3"/>
            <w:shd w:val="clear" w:color="auto" w:fill="FEFEFE"/>
          </w:tcPr>
          <w:p>
            <w:pPr>
              <w:jc w:val="right"/>
              <w:ind w:right="460"/>
              <w:spacing w:after="0"/>
              <w:rPr>
                <w:sz w:val="20"/>
                <w:szCs w:val="20"/>
                <w:color w:val="auto"/>
              </w:rPr>
            </w:pPr>
            <w:r>
              <w:rPr>
                <w:rFonts w:ascii="Arial" w:cs="Arial" w:eastAsia="Arial" w:hAnsi="Arial"/>
                <w:sz w:val="18"/>
                <w:szCs w:val="18"/>
                <w:color w:val="auto"/>
              </w:rPr>
              <w:t>(36,905)</w:t>
            </w:r>
          </w:p>
        </w:tc>
        <w:tc>
          <w:tcPr>
            <w:tcW w:w="220" w:type="dxa"/>
            <w:vAlign w:val="bottom"/>
            <w:shd w:val="clear" w:color="auto" w:fill="FEFEFE"/>
          </w:tcPr>
          <w:p>
            <w:pPr>
              <w:spacing w:after="0"/>
              <w:rPr>
                <w:sz w:val="20"/>
                <w:szCs w:val="20"/>
                <w:color w:val="auto"/>
              </w:rPr>
            </w:pPr>
          </w:p>
        </w:tc>
        <w:tc>
          <w:tcPr>
            <w:tcW w:w="2340" w:type="dxa"/>
            <w:vAlign w:val="bottom"/>
            <w:gridSpan w:val="2"/>
            <w:shd w:val="clear" w:color="auto" w:fill="FEFEFE"/>
          </w:tcPr>
          <w:p>
            <w:pPr>
              <w:jc w:val="right"/>
              <w:ind w:right="570"/>
              <w:spacing w:after="0"/>
              <w:rPr>
                <w:sz w:val="20"/>
                <w:szCs w:val="20"/>
                <w:color w:val="auto"/>
              </w:rPr>
            </w:pPr>
            <w:r>
              <w:rPr>
                <w:rFonts w:ascii="Arial" w:cs="Arial" w:eastAsia="Arial" w:hAnsi="Arial"/>
                <w:sz w:val="18"/>
                <w:szCs w:val="18"/>
                <w:color w:val="auto"/>
              </w:rPr>
              <w:t>1.5312</w:t>
            </w:r>
          </w:p>
        </w:tc>
        <w:tc>
          <w:tcPr>
            <w:tcW w:w="94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shd w:val="clear" w:color="auto" w:fill="FEFEFE"/>
          </w:tcPr>
          <w:p>
            <w:pPr>
              <w:spacing w:after="0"/>
              <w:rPr>
                <w:sz w:val="8"/>
                <w:szCs w:val="8"/>
                <w:color w:val="auto"/>
              </w:rPr>
            </w:pPr>
          </w:p>
        </w:tc>
        <w:tc>
          <w:tcPr>
            <w:tcW w:w="280" w:type="dxa"/>
            <w:vAlign w:val="bottom"/>
            <w:shd w:val="clear" w:color="auto" w:fill="FEFEFE"/>
          </w:tcPr>
          <w:p>
            <w:pPr>
              <w:spacing w:after="0"/>
              <w:rPr>
                <w:sz w:val="8"/>
                <w:szCs w:val="8"/>
                <w:color w:val="auto"/>
              </w:rPr>
            </w:pPr>
          </w:p>
        </w:tc>
        <w:tc>
          <w:tcPr>
            <w:tcW w:w="520" w:type="dxa"/>
            <w:vAlign w:val="bottom"/>
            <w:shd w:val="clear" w:color="auto" w:fill="FEFEFE"/>
          </w:tcPr>
          <w:p>
            <w:pPr>
              <w:spacing w:after="0"/>
              <w:rPr>
                <w:sz w:val="8"/>
                <w:szCs w:val="8"/>
                <w:color w:val="auto"/>
              </w:rPr>
            </w:pPr>
          </w:p>
        </w:tc>
        <w:tc>
          <w:tcPr>
            <w:tcW w:w="520" w:type="dxa"/>
            <w:vAlign w:val="bottom"/>
            <w:shd w:val="clear" w:color="auto" w:fill="FEFEFE"/>
          </w:tcPr>
          <w:p>
            <w:pPr>
              <w:spacing w:after="0"/>
              <w:rPr>
                <w:sz w:val="8"/>
                <w:szCs w:val="8"/>
                <w:color w:val="auto"/>
              </w:rPr>
            </w:pPr>
          </w:p>
        </w:tc>
        <w:tc>
          <w:tcPr>
            <w:tcW w:w="280" w:type="dxa"/>
            <w:vAlign w:val="bottom"/>
            <w:shd w:val="clear" w:color="auto" w:fill="FEFEFE"/>
          </w:tcPr>
          <w:p>
            <w:pPr>
              <w:spacing w:after="0"/>
              <w:rPr>
                <w:sz w:val="8"/>
                <w:szCs w:val="8"/>
                <w:color w:val="auto"/>
              </w:rPr>
            </w:pPr>
          </w:p>
        </w:tc>
        <w:tc>
          <w:tcPr>
            <w:tcW w:w="20" w:type="dxa"/>
            <w:vAlign w:val="bottom"/>
            <w:shd w:val="clear" w:color="auto" w:fill="FEFEFE"/>
          </w:tcPr>
          <w:p>
            <w:pPr>
              <w:spacing w:after="0"/>
              <w:rPr>
                <w:sz w:val="8"/>
                <w:szCs w:val="8"/>
                <w:color w:val="auto"/>
              </w:rPr>
            </w:pPr>
          </w:p>
        </w:tc>
        <w:tc>
          <w:tcPr>
            <w:tcW w:w="1020" w:type="dxa"/>
            <w:vAlign w:val="bottom"/>
            <w:shd w:val="clear" w:color="auto" w:fill="FEFEFE"/>
          </w:tcPr>
          <w:p>
            <w:pPr>
              <w:spacing w:after="0"/>
              <w:rPr>
                <w:sz w:val="8"/>
                <w:szCs w:val="8"/>
                <w:color w:val="auto"/>
              </w:rPr>
            </w:pPr>
          </w:p>
        </w:tc>
        <w:tc>
          <w:tcPr>
            <w:tcW w:w="980" w:type="dxa"/>
            <w:vAlign w:val="bottom"/>
            <w:shd w:val="clear" w:color="auto" w:fill="FEFEFE"/>
          </w:tcPr>
          <w:p>
            <w:pPr>
              <w:spacing w:after="0"/>
              <w:rPr>
                <w:sz w:val="8"/>
                <w:szCs w:val="8"/>
                <w:color w:val="auto"/>
              </w:rPr>
            </w:pPr>
          </w:p>
        </w:tc>
        <w:tc>
          <w:tcPr>
            <w:tcW w:w="800" w:type="dxa"/>
            <w:vAlign w:val="bottom"/>
            <w:shd w:val="clear" w:color="auto" w:fill="FEFEFE"/>
          </w:tcPr>
          <w:p>
            <w:pPr>
              <w:spacing w:after="0"/>
              <w:rPr>
                <w:sz w:val="8"/>
                <w:szCs w:val="8"/>
                <w:color w:val="auto"/>
              </w:rPr>
            </w:pPr>
          </w:p>
        </w:tc>
        <w:tc>
          <w:tcPr>
            <w:tcW w:w="220" w:type="dxa"/>
            <w:vAlign w:val="bottom"/>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980" w:type="dxa"/>
            <w:vAlign w:val="bottom"/>
            <w:shd w:val="clear" w:color="auto" w:fill="FEFEFE"/>
          </w:tcPr>
          <w:p>
            <w:pPr>
              <w:spacing w:after="0"/>
              <w:rPr>
                <w:sz w:val="8"/>
                <w:szCs w:val="8"/>
                <w:color w:val="auto"/>
              </w:rPr>
            </w:pPr>
          </w:p>
        </w:tc>
        <w:tc>
          <w:tcPr>
            <w:tcW w:w="94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13</w:t>
            </w:r>
          </w:p>
        </w:tc>
        <w:tc>
          <w:tcPr>
            <w:tcW w:w="9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amendments thereto) with respect to the shares of Ordinary Shares, par value of NIS 0.01, of Arcturus Therapeutics Ltd., an Israeli corporation. This Joint Filing Agreement shall be filed as an Exhibit to such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16, 2017</w:t>
      </w:r>
    </w:p>
    <w:p>
      <w:pPr>
        <w:spacing w:after="0" w:line="200" w:lineRule="exact"/>
        <w:rPr>
          <w:sz w:val="20"/>
          <w:szCs w:val="20"/>
          <w:color w:val="auto"/>
        </w:rPr>
      </w:pPr>
    </w:p>
    <w:p>
      <w:pPr>
        <w:spacing w:after="0" w:line="26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BROSH CAPITAL PARTNERS, L.P.</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120"/>
              <w:spacing w:after="0"/>
              <w:rPr>
                <w:sz w:val="20"/>
                <w:szCs w:val="20"/>
                <w:color w:val="auto"/>
              </w:rPr>
            </w:pPr>
            <w:r>
              <w:rPr>
                <w:rFonts w:ascii="Arial" w:cs="Arial" w:eastAsia="Arial" w:hAnsi="Arial"/>
                <w:sz w:val="18"/>
                <w:szCs w:val="18"/>
                <w:color w:val="auto"/>
              </w:rPr>
              <w:t>Exodus Management Israel Ltd.</w:t>
            </w:r>
          </w:p>
        </w:tc>
      </w:tr>
      <w:tr>
        <w:trPr>
          <w:trHeight w:val="230"/>
        </w:trPr>
        <w:tc>
          <w:tcPr>
            <w:tcW w:w="460" w:type="dxa"/>
            <w:vAlign w:val="bottom"/>
          </w:tcPr>
          <w:p>
            <w:pPr>
              <w:spacing w:after="0"/>
              <w:rPr>
                <w:sz w:val="20"/>
                <w:szCs w:val="20"/>
                <w:color w:val="auto"/>
              </w:rPr>
            </w:pPr>
          </w:p>
        </w:tc>
        <w:tc>
          <w:tcPr>
            <w:tcW w:w="5020" w:type="dxa"/>
            <w:vAlign w:val="bottom"/>
            <w:gridSpan w:val="2"/>
          </w:tcPr>
          <w:p>
            <w:pPr>
              <w:ind w:left="40"/>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EXODUS MANAGEMENT ISRAEL LTD.</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Amir Efrati</w:t>
            </w:r>
          </w:p>
        </w:tc>
      </w:tr>
      <w:tr>
        <w:trPr>
          <w:trHeight w:val="195"/>
        </w:trPr>
        <w:tc>
          <w:tcPr>
            <w:tcW w:w="460" w:type="dxa"/>
            <w:vAlign w:val="bottom"/>
          </w:tcPr>
          <w:p>
            <w:pPr>
              <w:spacing w:after="0"/>
              <w:rPr>
                <w:sz w:val="16"/>
                <w:szCs w:val="16"/>
                <w:color w:val="auto"/>
              </w:rPr>
            </w:pPr>
          </w:p>
        </w:tc>
        <w:tc>
          <w:tcPr>
            <w:tcW w:w="860" w:type="dxa"/>
            <w:vAlign w:val="bottom"/>
          </w:tcPr>
          <w:p>
            <w:pPr>
              <w:ind w:left="1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ind w:left="280"/>
              <w:spacing w:after="0" w:line="195" w:lineRule="exact"/>
              <w:rPr>
                <w:sz w:val="20"/>
                <w:szCs w:val="20"/>
                <w:color w:val="auto"/>
              </w:rPr>
            </w:pPr>
            <w:r>
              <w:rPr>
                <w:rFonts w:ascii="Arial" w:cs="Arial" w:eastAsia="Arial" w:hAnsi="Arial"/>
                <w:sz w:val="18"/>
                <w:szCs w:val="18"/>
                <w:color w:val="auto"/>
              </w:rPr>
              <w:t>Amir Efrati</w:t>
            </w:r>
          </w:p>
        </w:tc>
      </w:tr>
      <w:tr>
        <w:trPr>
          <w:trHeight w:val="230"/>
        </w:trPr>
        <w:tc>
          <w:tcPr>
            <w:tcW w:w="460" w:type="dxa"/>
            <w:vAlign w:val="bottom"/>
          </w:tcPr>
          <w:p>
            <w:pPr>
              <w:spacing w:after="0"/>
              <w:rPr>
                <w:sz w:val="20"/>
                <w:szCs w:val="20"/>
                <w:color w:val="auto"/>
              </w:rPr>
            </w:pPr>
          </w:p>
        </w:tc>
        <w:tc>
          <w:tcPr>
            <w:tcW w:w="860" w:type="dxa"/>
            <w:vAlign w:val="bottom"/>
          </w:tcPr>
          <w:p>
            <w:pPr>
              <w:ind w:left="120"/>
              <w:spacing w:after="0"/>
              <w:rPr>
                <w:sz w:val="20"/>
                <w:szCs w:val="20"/>
                <w:color w:val="auto"/>
              </w:rPr>
            </w:pPr>
            <w:r>
              <w:rPr>
                <w:rFonts w:ascii="Arial" w:cs="Arial" w:eastAsia="Arial" w:hAnsi="Arial"/>
                <w:sz w:val="18"/>
                <w:szCs w:val="18"/>
                <w:color w:val="auto"/>
              </w:rPr>
              <w:t>Title:</w:t>
            </w:r>
          </w:p>
        </w:tc>
        <w:tc>
          <w:tcPr>
            <w:tcW w:w="4160" w:type="dxa"/>
            <w:vAlign w:val="bottom"/>
          </w:tcPr>
          <w:p>
            <w:pPr>
              <w:ind w:left="28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1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Amir Efrati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Amir Efrati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Individually, and as attorney-in-fact for Aharon Biram and Ester Deutsch</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decimal"/>
      <w:start w:val="14"/>
    </w:lvl>
  </w:abstractNum>
  <w:abstractNum w:abstractNumId="3">
    <w:nsid w:val="41B71EFB"/>
    <w:multiLevelType w:val="hybridMultilevel"/>
    <w:lvl w:ilvl="0">
      <w:lvlJc w:val="left"/>
      <w:lvlText w:val="(%1)"/>
      <w:numFmt w:val="lowerLetter"/>
      <w:start w:val="1"/>
    </w:lvl>
    <w:lvl w:ilvl="1">
      <w:lvlJc w:val="left"/>
      <w:lvlText w:val="(%2)"/>
      <w:numFmt w:val="lowerRoman"/>
      <w:start w:val="1"/>
    </w:lvl>
  </w:abstractNum>
  <w:abstractNum w:abstractNumId="4">
    <w:nsid w:val="79E2A9E3"/>
    <w:multiLevelType w:val="hybridMultilevel"/>
    <w:lvl w:ilvl="0">
      <w:lvlJc w:val="left"/>
      <w:lvlText w:val="(%1)"/>
      <w:numFmt w:val="lowerLetter"/>
      <w:start w:val="2"/>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7">
    <w:nsid w:val="5BD062C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8">
    <w:nsid w:val="12200854"/>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2019-12-07T19:24:52Z</dcterms:created>
  <dcterms:modified xsi:type="dcterms:W3CDTF">2019-12-07T19:24:52Z</dcterms:modified>
</cp:coreProperties>
</file>