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December 7, 2020</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14"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4380" w:type="dxa"/>
            <w:vAlign w:val="bottom"/>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rPr>
              <w:t>46-1981974</w:t>
            </w:r>
          </w:p>
        </w:tc>
      </w:tr>
      <w:tr>
        <w:trPr>
          <w:trHeight w:val="216"/>
        </w:trPr>
        <w:tc>
          <w:tcPr>
            <w:tcW w:w="438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4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38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40" w:type="dxa"/>
            <w:vAlign w:val="bottom"/>
          </w:tcPr>
          <w:p>
            <w:pPr>
              <w:jc w:val="center"/>
              <w:ind w:left="21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10628 Science Center Drive, Suite 250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San Diego, California 92121</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(858) 900-2660</w:t>
      </w:r>
    </w:p>
    <w:p>
      <w:pPr>
        <w:jc w:val="center"/>
        <w:spacing w:after="0" w:line="231" w:lineRule="auto"/>
        <w:rPr>
          <w:sz w:val="20"/>
          <w:szCs w:val="20"/>
          <w:color w:val="auto"/>
        </w:rPr>
      </w:pPr>
      <w:r>
        <w:rPr>
          <w:rFonts w:ascii="Times New Roman" w:cs="Times New Roman" w:eastAsia="Times New Roman" w:hAnsi="Times New Roman"/>
          <w:sz w:val="22"/>
          <w:szCs w:val="22"/>
          <w:color w:val="auto"/>
        </w:rPr>
        <w:t>(Address, including zip code, and telephone number, including</w:t>
      </w:r>
    </w:p>
    <w:p>
      <w:pPr>
        <w:jc w:val="center"/>
        <w:spacing w:after="0" w:line="230" w:lineRule="auto"/>
        <w:rPr>
          <w:sz w:val="20"/>
          <w:szCs w:val="20"/>
          <w:color w:val="auto"/>
        </w:rPr>
      </w:pPr>
      <w:r>
        <w:rPr>
          <w:rFonts w:ascii="Times New Roman" w:cs="Times New Roman" w:eastAsia="Times New Roman" w:hAnsi="Times New Roman"/>
          <w:sz w:val="22"/>
          <w:szCs w:val="22"/>
          <w:color w:val="auto"/>
        </w:rPr>
        <w:t>area code of registrant’s principal executive offices)</w:t>
      </w:r>
    </w:p>
    <w:p>
      <w:pPr>
        <w:spacing w:after="0" w:line="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Joseph E. Payne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Arcturus Therapeutics Holdings Inc.</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10628 Science Center Drive, Suite 250</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San Diego, California 92121</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(858) 900-2660</w:t>
      </w:r>
    </w:p>
    <w:p>
      <w:pPr>
        <w:jc w:val="center"/>
        <w:spacing w:after="0" w:line="231" w:lineRule="auto"/>
        <w:rPr>
          <w:sz w:val="20"/>
          <w:szCs w:val="20"/>
          <w:color w:val="auto"/>
        </w:rPr>
      </w:pPr>
      <w:r>
        <w:rPr>
          <w:rFonts w:ascii="Times New Roman" w:cs="Times New Roman" w:eastAsia="Times New Roman" w:hAnsi="Times New Roman"/>
          <w:sz w:val="22"/>
          <w:szCs w:val="22"/>
          <w:color w:val="auto"/>
        </w:rPr>
        <w:t>(Name, address, including zip code, and telephone number,</w:t>
      </w:r>
    </w:p>
    <w:p>
      <w:pPr>
        <w:jc w:val="center"/>
        <w:spacing w:after="0" w:line="230" w:lineRule="auto"/>
        <w:rPr>
          <w:sz w:val="20"/>
          <w:szCs w:val="20"/>
          <w:color w:val="auto"/>
        </w:rPr>
      </w:pPr>
      <w:r>
        <w:rPr>
          <w:rFonts w:ascii="Times New Roman" w:cs="Times New Roman" w:eastAsia="Times New Roman" w:hAnsi="Times New Roman"/>
          <w:sz w:val="22"/>
          <w:szCs w:val="22"/>
          <w:color w:val="auto"/>
        </w:rPr>
        <w:t>including area code of agent for service)</w:t>
      </w:r>
    </w:p>
    <w:p>
      <w:pPr>
        <w:spacing w:after="0" w:line="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With a copy to:</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Jeffrey A. Baumel, Esq.</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Ilan Katz, Esq.</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Dentons US LLP</w:t>
      </w:r>
    </w:p>
    <w:p>
      <w:pPr>
        <w:ind w:left="4280"/>
        <w:spacing w:after="0" w:line="230" w:lineRule="auto"/>
        <w:rPr>
          <w:sz w:val="20"/>
          <w:szCs w:val="20"/>
          <w:color w:val="auto"/>
        </w:rPr>
      </w:pPr>
      <w:r>
        <w:rPr>
          <w:rFonts w:ascii="Times New Roman" w:cs="Times New Roman" w:eastAsia="Times New Roman" w:hAnsi="Times New Roman"/>
          <w:sz w:val="22"/>
          <w:szCs w:val="22"/>
          <w:b w:val="1"/>
          <w:bCs w:val="1"/>
          <w:color w:val="auto"/>
        </w:rPr>
        <w:t>1221 Avenue of the Americas</w:t>
      </w:r>
    </w:p>
    <w:p>
      <w:pPr>
        <w:ind w:left="4400"/>
        <w:spacing w:after="0" w:line="231" w:lineRule="auto"/>
        <w:rPr>
          <w:sz w:val="20"/>
          <w:szCs w:val="20"/>
          <w:color w:val="auto"/>
        </w:rPr>
      </w:pPr>
      <w:r>
        <w:rPr>
          <w:rFonts w:ascii="Times New Roman" w:cs="Times New Roman" w:eastAsia="Times New Roman" w:hAnsi="Times New Roman"/>
          <w:sz w:val="22"/>
          <w:szCs w:val="22"/>
          <w:b w:val="1"/>
          <w:bCs w:val="1"/>
          <w:color w:val="auto"/>
        </w:rPr>
        <w:t>New York, NY 10020-1089</w:t>
      </w:r>
    </w:p>
    <w:p>
      <w:pPr>
        <w:ind w:left="4420"/>
        <w:spacing w:after="0"/>
        <w:rPr>
          <w:sz w:val="20"/>
          <w:szCs w:val="20"/>
          <w:color w:val="auto"/>
        </w:rPr>
      </w:pPr>
      <w:r>
        <w:rPr>
          <w:rFonts w:ascii="Times New Roman" w:cs="Times New Roman" w:eastAsia="Times New Roman" w:hAnsi="Times New Roman"/>
          <w:sz w:val="22"/>
          <w:szCs w:val="22"/>
          <w:b w:val="1"/>
          <w:bCs w:val="1"/>
          <w:color w:val="auto"/>
        </w:rPr>
        <w:t>Telephone: (212) 768-6700</w:t>
      </w:r>
    </w:p>
    <w:p>
      <w:pPr>
        <w:spacing w:after="0" w:line="214" w:lineRule="exact"/>
        <w:rPr>
          <w:sz w:val="24"/>
          <w:szCs w:val="24"/>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 xml:space="preserve">Approximate date of commencement of proposed sale to the public: </w:t>
      </w:r>
      <w:r>
        <w:rPr>
          <w:rFonts w:ascii="Times New Roman" w:cs="Times New Roman" w:eastAsia="Times New Roman" w:hAnsi="Times New Roman"/>
          <w:sz w:val="18"/>
          <w:szCs w:val="18"/>
          <w:b w:val="1"/>
          <w:bCs w:val="1"/>
          <w:color w:val="auto"/>
        </w:rPr>
        <w:t>From time to time after the effective date of this Registration Statement, as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registrant shall determine.</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ind w:right="3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5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4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3" w:lineRule="exact"/>
        <w:rPr>
          <w:sz w:val="24"/>
          <w:szCs w:val="24"/>
          <w:color w:val="auto"/>
        </w:rPr>
      </w:pPr>
    </w:p>
    <w:p>
      <w:pPr>
        <w:spacing w:after="0" w:line="207" w:lineRule="exact"/>
        <w:tabs>
          <w:tab w:leader="none" w:pos="2480" w:val="left"/>
          <w:tab w:leader="none" w:pos="7860" w:val="left"/>
          <w:tab w:leader="none" w:pos="107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59" w:right="339" w:bottom="0" w:gutter="0" w:footer="0" w:header="0"/>
        </w:sectPr>
      </w:pPr>
    </w:p>
    <w:bookmarkStart w:id="1" w:name="page2"/>
    <w:bookmarkEnd w:id="1"/>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0" w:lineRule="exact"/>
        <w:rPr>
          <w:sz w:val="20"/>
          <w:szCs w:val="20"/>
          <w:color w:val="auto"/>
        </w:rPr>
      </w:pPr>
    </w:p>
    <w:p>
      <w:pPr>
        <w:sectPr>
          <w:pgSz w:w="11900" w:h="16838" w:orient="portrait"/>
          <w:cols w:equalWidth="0" w:num="4">
            <w:col w:w="1780" w:space="720"/>
            <w:col w:w="4660" w:space="720"/>
            <w:col w:w="2200" w:space="720"/>
            <w:col w:w="420"/>
          </w:cols>
          <w:pgMar w:left="320" w:top="91" w:right="359" w:bottom="1440" w:gutter="0" w:footer="0" w:header="0"/>
        </w:sectPr>
      </w:pPr>
    </w:p>
    <w:p>
      <w:pPr>
        <w:spacing w:after="0" w:line="18" w:lineRule="exact"/>
        <w:rPr>
          <w:sz w:val="20"/>
          <w:szCs w:val="20"/>
          <w:color w:val="auto"/>
        </w:rPr>
      </w:pPr>
    </w:p>
    <w:p>
      <w:pPr>
        <w:ind w:right="140" w:firstLine="648"/>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_______________________________________</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ectPr>
          <w:pgSz w:w="11900" w:h="16838" w:orient="portrait"/>
          <w:cols w:equalWidth="0" w:num="1">
            <w:col w:w="11220"/>
          </w:cols>
          <w:pgMar w:left="320" w:top="9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b w:val="1"/>
          <w:bCs w:val="1"/>
          <w:color w:val="auto"/>
        </w:rPr>
        <w:t>Title of Each Class of</w:t>
      </w:r>
    </w:p>
    <w:p>
      <w:pPr>
        <w:spacing w:after="0" w:line="3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b w:val="1"/>
          <w:bCs w:val="1"/>
          <w:color w:val="auto"/>
        </w:rPr>
        <w:t>Securities to be Registered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13335</wp:posOffset>
            </wp:positionV>
            <wp:extent cx="7132320"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spacing w:after="0" w:line="274" w:lineRule="auto"/>
        <w:rPr>
          <w:sz w:val="20"/>
          <w:szCs w:val="20"/>
          <w:color w:val="auto"/>
        </w:rPr>
      </w:pPr>
      <w:r>
        <w:rPr>
          <w:rFonts w:ascii="Times New Roman" w:cs="Times New Roman" w:eastAsia="Times New Roman" w:hAnsi="Times New Roman"/>
          <w:sz w:val="17"/>
          <w:szCs w:val="17"/>
          <w:b w:val="1"/>
          <w:bCs w:val="1"/>
          <w:color w:val="auto"/>
        </w:rPr>
        <w:t>Proposed Maximum Offering Price (2)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7"/>
          <w:szCs w:val="17"/>
          <w:b w:val="1"/>
          <w:bCs w:val="1"/>
          <w:color w:val="auto"/>
        </w:rPr>
        <w:t>Proposed Maximum Aggregate Offering Price(2)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Registration Fee(3)</w:t>
      </w:r>
    </w:p>
    <w:p>
      <w:pPr>
        <w:spacing w:after="0" w:line="9" w:lineRule="exact"/>
        <w:rPr>
          <w:sz w:val="20"/>
          <w:szCs w:val="20"/>
          <w:color w:val="auto"/>
        </w:rPr>
      </w:pPr>
    </w:p>
    <w:p>
      <w:pPr>
        <w:sectPr>
          <w:pgSz w:w="11900" w:h="16838" w:orient="portrait"/>
          <w:cols w:equalWidth="0" w:num="5">
            <w:col w:w="3720" w:space="720"/>
            <w:col w:w="1020" w:space="620"/>
            <w:col w:w="1360" w:space="480"/>
            <w:col w:w="1300" w:space="420"/>
            <w:col w:w="1580"/>
          </w:cols>
          <w:pgMar w:left="320" w:top="9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Debt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460" w:hanging="452"/>
        <w:spacing w:after="0" w:line="251"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registered hereunder include such indeterminate (a) number of shares of common stock, (b) number of shares of preferred stock, (c) number of depository shares, (d) warrants to purchase common stock, preferred stock or debt securities of the Registrant, (e) debt securities, (f) subscription rights to purchase common stock, preferred stock or debt securities of the Registrant, and (g) units, as may be sold from time to time by the Registrant. Any securities registered hereunder may be sold separately or in combination with other securities registered hereunder. The proposed maximum offering price of the securities will be determined, from time to time, by the Registrant in connection with the issuance by the Registrant of the securities registered hereunder. This registration statement covers offers, sales and other distributions of the securities listed in this table, from time to time, at prices to be determined, as well as securities distributable in connection with or upon conversion, exercise or exchange of other securities so offered, sold or distributed. This registration statement also covers shares of common stock, shares of preferred stock, depositary shares and warrants that may be offered or sold under delayed delivery contracts pursuant to which the counterparty may be required to purchase such securities, as well as such contracts themselves. Such contracts would be issued with the shares of common stock, shares of preferred stock, depositary shares or warrants. Pursuant to Rule 416(a) under the Securities Act of 1933, as amended (the Securities Act), this Registration Statement also covers any additional securities that may be offered or issued in connection with any stock split, stock dividend or similar transaction.</w:t>
      </w:r>
    </w:p>
    <w:p>
      <w:pPr>
        <w:spacing w:after="0" w:line="192" w:lineRule="exact"/>
        <w:rPr>
          <w:rFonts w:ascii="Times New Roman" w:cs="Times New Roman" w:eastAsia="Times New Roman" w:hAnsi="Times New Roman"/>
          <w:sz w:val="18"/>
          <w:szCs w:val="18"/>
          <w:color w:val="auto"/>
        </w:rPr>
      </w:pPr>
    </w:p>
    <w:p>
      <w:pPr>
        <w:ind w:left="460" w:right="40" w:hanging="452"/>
        <w:spacing w:after="0" w:line="261"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security will be determined from time to time by the registrant in connection with the issuance by the registrant of the securities registered hereunder. Separate consideration may not be received for shares of common stock or preferred stock that are issued upon conversion or exchange of shares of preferred stock or depositary shares registered hereunder or for shares of preferred stock distributed in accordance with, or upon termination of, a deposit arrangement for depositary shares.</w:t>
      </w:r>
    </w:p>
    <w:p>
      <w:pPr>
        <w:spacing w:after="0" w:line="179" w:lineRule="exact"/>
        <w:rPr>
          <w:rFonts w:ascii="Times New Roman" w:cs="Times New Roman" w:eastAsia="Times New Roman" w:hAnsi="Times New Roman"/>
          <w:sz w:val="18"/>
          <w:szCs w:val="18"/>
          <w:color w:val="auto"/>
        </w:rPr>
      </w:pPr>
    </w:p>
    <w:p>
      <w:pPr>
        <w:ind w:left="460" w:right="18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456(b) and 457(r) under the Securities Act, the Registrant is deferring payment of the filing fees relating to the securities that are registered and available for sale under this Registration Statement.</w:t>
      </w:r>
    </w:p>
    <w:p>
      <w:pPr>
        <w:spacing w:after="0" w:line="161" w:lineRule="exact"/>
        <w:rPr>
          <w:rFonts w:ascii="Times New Roman" w:cs="Times New Roman" w:eastAsia="Times New Roman" w:hAnsi="Times New Roman"/>
          <w:sz w:val="18"/>
          <w:szCs w:val="18"/>
          <w:color w:val="auto"/>
        </w:rPr>
      </w:pPr>
    </w:p>
    <w:p>
      <w:pPr>
        <w:ind w:left="460" w:right="18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some or all of the securities listed above, in any combination, including common stock, preferred stock, debt securities, warrants and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156845</wp:posOffset>
            </wp:positionV>
            <wp:extent cx="2571750" cy="865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relates to common stock, preferred stock, debt securities, warrants for debt or equity securities and units consisting of the foregoing that we may sell from time to time in one or more transactions. We will provide the specific terms and conditions of these transactions and the securities we may sell in supplements to this prospectus prepared in connection with each transaction. The applicable prospectus supplement will contain information, where applicable, as to other listings, if any, on The Nasdaq Global Market, or the NASDAQ, or any securities exchange of the securities covered by the prospectus supplement. Any such prospectus supplement may also add, update or change information in this prospectus. We may also authorize one or more free writing prospectuses to be provided to you in connection with these offerings. You should carefully read this prospectus, any applicable prospectus supplement and any related free writing prospectuses, as well as the documents incorporated by reference or deemed to be incorporated by reference into this prospectus, carefully before you invest. This prospectus may not be used to offer or sell securities unless accompanied by a prospectus supplement.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under the symbol “ARCT.”</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referenced under the heading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on page 6 of this prospectus and contained in our filings made with the Securities and Exchange Commission and the applicable prospectus supplement.</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securities may be sold directly by us to investors, through agents designated from time to time or to or through underwriters or dealers. For additional information on the methods of sale, you should refer to the section entitled “Plan of Distribution” in this prospectus. If any underwriters are involved in the sale of these securities with respect to which this prospectus is being delivered, the names of such underwriters and any applicable commissions or discounts and over-allotment options will be set forth in a prospectus supplement. The price to the public of such securities and the net proceeds that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183"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92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INCORPORATION OF CERTAIN DOCUMENTS BY REFERENCE</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CAPITAL STOCK WE MAY OFFER</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DEBT SECURITIES WE MAY OFFER</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WARRANTS WE MAY OFFER</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UNITS WE MAY OFFER</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8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or the SEC, as a “well-known seasoned issuer” as defined in Rule 405 under the Securities Act of 1933, as amended, or the Securities Act, utilizing a “shelf” registration process. Under this shelf registration process, we may, from time to time, offer and sell common stock, preferred stock, debt securities, warrants for debt and equity securities and units consisting of the foregoing in one or more transactions.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reporting company and file annual, quarterly and current reports, proxy and information statements and other information with the SEC. This prospectus is part of a registration statement that we have filed with the SEC relating to the securities to be offered under this prospectus. This prospectus does not contain all of the information set forth in the registration statement and the exhibits to the registration statement. For further information with respect to us and the securities to be offered under this prospectus, we refer you to the registration statement and the exhibits and schedules filed as a part of the registration statement.</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http://www.sec.gov.</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176" w:lineRule="exact"/>
        <w:rPr>
          <w:sz w:val="20"/>
          <w:szCs w:val="20"/>
          <w:color w:val="auto"/>
        </w:rPr>
      </w:pPr>
    </w:p>
    <w:p>
      <w:pPr>
        <w:ind w:left="660" w:right="22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2019, as filed with the SEC on March 16, 2020, including the information specifically incorporated by reference into the Annual Report on Form 10-K from our definitive proxy statement on Schedule 14A, filed with the SEC on April 29, 2020;</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periods ended March 31, 2020, as filed with the SEC on May 8, 2020, June 30, 2020, as filed with the SEC on August 10, 2020, and September 30, 2020, as filed with the SEC on November 9, 2020.</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as filed with the SEC on March 4, 2020, March 27, 2020, April 17, 2020, April 21, 2020, May 21, 2020, June 9, 2020, July 24, 2020, July 29, 2020, August 18, 2020, October 2, 2020, October 15, 2020, November 13, 2020, November 25, 2020 and December 7, 2020 (in each case, except for information contained therein which is furnished rather than filed);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set forth in the Form 8-K12B filed on June 18, 2019.</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filed by us with the SEC pursuant to Sections 13(a), 13(c), 14 or 15(d) of the Exchange Act prior to the termination of any offering of securities made by this prospectus. Nothing in this prospectus shall be deemed to incorporate information furnished but not filed with the SEC (including without limitation, information furnished under Item 2.02 or Item 7.01 of Form 8-K, and any exhibits relating to such information).</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Telephone: (858) 900-2660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might cause these differences include the following:</w:t>
      </w:r>
    </w:p>
    <w:p>
      <w:pPr>
        <w:spacing w:after="0" w:line="225" w:lineRule="exact"/>
        <w:rPr>
          <w:sz w:val="20"/>
          <w:szCs w:val="20"/>
          <w:color w:val="auto"/>
        </w:rPr>
      </w:pPr>
    </w:p>
    <w:p>
      <w:pPr>
        <w:ind w:left="660" w:right="5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 approved product candidate;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deploy funding for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relevant development, regulatory and commercialization expertise;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activities to be undertaken by our strategic alliance partners, collaborators and other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settle or be victorious at costly litigation with shareholders, former executives or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our expectations regarding future therapeutic and commercial potential with respect to,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potential future collaborators;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and seasoned scientific and management professionals to lead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capital requirements and need for additional financing.</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 w:name="page8"/>
    <w:bookmarkEnd w:id="7"/>
    <w:p>
      <w:pPr>
        <w:ind w:right="20"/>
        <w:spacing w:after="0" w:line="253" w:lineRule="auto"/>
        <w:rPr>
          <w:sz w:val="20"/>
          <w:szCs w:val="20"/>
          <w:color w:val="auto"/>
        </w:rPr>
      </w:pPr>
      <w:r>
        <w:rPr>
          <w:rFonts w:ascii="Times New Roman" w:cs="Times New Roman" w:eastAsia="Times New Roman" w:hAnsi="Times New Roman"/>
          <w:sz w:val="18"/>
          <w:szCs w:val="18"/>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prospectus and any related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 If one or more of these risks or uncertainties occur, or if our underlying assumptions prove to be incorrect, actual events or results may vary significantly from those expressed or implied by the forward-looking statements. No forward-looking statement is a guarantee of future performance.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 of Arcturus Therapeutics Holdings Inc.</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are a clinical-stage messenger RNA medicines company focused on the development of infectious disease vaccines and significant opportunities within liver and respiratory rare diseases utilizing our Self-Transcribing and Replicating RNA (“STARR”) technology. In addition to our internal messenger RNA (“mRNA”) platform, our proprietary lipid mediated delivery system, LUNAR, has the potential to enable multiple nucleic acid medicines.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80" w:lineRule="exact"/>
        <w:rPr>
          <w:sz w:val="20"/>
          <w:szCs w:val="20"/>
          <w:color w:val="auto"/>
        </w:rPr>
      </w:pPr>
    </w:p>
    <w:p>
      <w:pPr>
        <w:ind w:left="660" w:right="1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deep expertise in the discovery and development of RNA medicines, including key experience in the production of RNA drug substance and nanoparticle-formulated drug product.</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pipeline of eleven drug candidates in late-stage discovery and early-stage development, five of which are wholly-owned and six of which involve partnered programs.</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and continue to develop LUNAR, a novel lipid-mediated delivery technology platform, which draws from a growing library of over 200 lipids that were designed at Arcturus and many of which are claimed in issued patents. Other lipids in this growing library are undergoing extensive research to test for desirable properties, and we continue to seek patent protection for newly designed lipids. Our lipid library is intended to enable safer and more efficient delivery than lipids commonly used in the industry.</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the STARR technology platform which combines self-replicating RNA with LUNAR into a single solution for partners.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wholly-owned, LUNAR and nucleic acid technologies are covered by a patent portfolio of 200 patents and patent applications, issued in the United States, China, Europe, Japan and other countries. This patent portfolio covers our proprietary mRNA and STARR chemistry, design, modifications and manufacturing process as well as our LUNAR chemistry, design and drug product manufacturing.</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believe that we can use our proprietary technologies to develop RNA medicines in multiple therapeutic approaches: (1) mRNA, DNA, and replicon protein replacement for therapeutics and antigen expression for vaccines; (2) siRNA, microRNA, and antisense oligonucleotides - knockdown of genes overexpressed in disease; and (3) CRISPR, TALEN, zinc finger proteins, megaTALs and meganucleases - gene editing of errant genes.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 as described more fully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Redomiciliation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May 2019, shareholders of Arcturus Israel approved the Redomiciliation. In connection therewith, in February 2019, Arcturus Israel entered into a share exchange agreement (the “Exchange Agreement”) with Arcturus Therapeutics Holdings Inc., a newly established Delaware corporation. In June 2019, pursuant to the terms of the Exchange Agreement, all issued ordinary shares and options to purchase ordinary shares of Arcturus Israel were exchanged on a one-for-one basis for newly issued shares of common stock and options to purchase common stock, respectively, of the Company, resulting in Arcturus Israel becoming a subsidiary of the Company.</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June 2019, Arcturus Israel’s ordinary shares were delisted from trading on Nasdaq and the Company’s shares commenced trading on Nasdaq under the symbol “ARCT.” Arcturus Israel is now a wholly-owned subsidiary of the Company, which is the successor to Arcturus Israel. Proceedings to liquidate Arcturus Israel are now pending in Israeli court.</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2019, filed with the SEC on March 16, 2020, in Part II, Item 1A, Risk Factors of our Quarterly Reports on Form 10-Q for the quarters ended March 31, 2020, as filed with the SEC on May 8, 2020, June 30, 2020, as filed with the SEC on August 10, 2020, and September 30, 2020, as filed with the SEC on November 9, 2020, and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we anticipate that the net proceeds from the sale of the securities offered from time to time hereby will be used for general corporate purposes, including, without limitation, research and development and clinical development costs to support the advancement of our in-development drug candidates, activities in connection with the launch of our in-development drug candidates, including hiring and building inventory supply, making acquisitions of assets, businesses, companies or securities, capital expenditures and for working capital. When a particular series of securities is offered, the related prospectus supplement will set forth our intended use of the net proceeds we receive from the sale of the securities. Pending the application of the net proceeds, we may invest the proceeds in short-term, interest-bearing instruments or other investment-grade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$0.001 per share, and 10,000,000 shares of preferred stock, par value $0.001 per share.</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November 2, 2020, there were 24,493,084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under the symbol “ARCT” on the NASDAQ.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not declared any cash dividends on our common stock since inception and we do not anticipate paying any cash dividends on our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authorized to issue a total of 10,000,000 shares of preferred stock. We have no shares of preferred stock outstanding, and we have no present plan to issue any shares of preferred stock.</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shares of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offered, the liquidation preference per share and the offering price of the shares of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thereof applicable to the shares of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preferred stock are cumulative or not and, if cumulative, the date from which dividends on the shares of preferred stock shall accumulate;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shares of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 sinking fund, if any, for the shares of preferred stock;</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 of the shares of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shares of preferred stock on any securities exchange;</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shares of preferred stock will be convertible into common shares, including the conversion price (or manner of calculation thereof);</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federal income tax considerations applicable to the shares of preferred stock;</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shares of preferred stock as to dividend rights and rights upon liquidation, dissolution or winding up of our affairs;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shares of preferred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rights of such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any series or class of preferred stock will be set forth in the applicable prospectus supplement.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Possible Anti-Takeover Effects of Delaware Law and our Charter Documents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Size of Board and Vacancies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Liability</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 WE MAY OFFER</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and, if so, the terms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modification of the terms of the security or the rights of the security 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or the ability of our subsidiaries to: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in respect of our capital stock or the capital stock of our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capital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our subsidiaries’ ability to pay dividends, make distributions or transfer assets;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4" w:name="page15"/>
    <w:bookmarkEnd w:id="14"/>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stockholders or affiliates;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our subsidiaries;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and the time for payment has not been extended;</w:t>
      </w:r>
    </w:p>
    <w:p>
      <w:pPr>
        <w:spacing w:after="0" w:line="225"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holders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indentures or to appoint a receiver or trustee, or to seek other remedies only if:</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17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“-Consolidation, Merger or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such indenture;</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 and to make all appropriate changes for such purpose;</w:t>
      </w:r>
    </w:p>
    <w:p>
      <w:pPr>
        <w:spacing w:after="0" w:line="16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75" w:lineRule="exact"/>
        <w:rPr>
          <w:rFonts w:ascii="Times New Roman" w:cs="Times New Roman" w:eastAsia="Times New Roman" w:hAnsi="Times New Roman"/>
          <w:sz w:val="18"/>
          <w:szCs w:val="18"/>
          <w:color w:val="auto"/>
        </w:rPr>
      </w:pPr>
    </w:p>
    <w:p>
      <w:pPr>
        <w:ind w:left="660" w:right="22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7" w:name="page18"/>
    <w:bookmarkEnd w:id="17"/>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any of our obligations to pay additional amounts;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amount of principal of an original issue discount security or any other note payable upon acceleration of the maturity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currency in which any note or any premium or interest is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right to enforce any payment on or with respect to any note;</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changing the right to convert or exchange, including decreasing the conversion rate or increasing the conversion price of, such note, if applicable;</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subordinated indenture, modifying the subordination provisions in a manner adverse to the holders of the subordinated debt securities;</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secured, changing the terms and conditions pursuant to which the debt securities are secured in a manner adverse to the holders of the secured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requirements contained in the applicable indenture for quorum or voting;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any of our obligations to maintain an office or agency in the places and for the purposes required by the indentures;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any of the above provisions set forth in this paragraph.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 w:name="page19"/>
    <w:bookmarkEnd w:id="18"/>
    <w:p>
      <w:pPr>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 Debt Securities</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 WE MAY OFFER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no warrants to purchase shares of our common stock outstanding. We may issue warrants to purchase shares of our common stock to investors as part of a financing transaction, or in connection with services rendered by placement agents and outside consultants.</w:t>
      </w:r>
    </w:p>
    <w:p>
      <w:pPr>
        <w:spacing w:after="0" w:line="15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 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for which the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number of warrants issued with each share of preferred stock or share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preferred stock or common stock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warrants which may be exercised at any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applicable to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debt warrants will be issued;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terms of the debt securities purchasable upon exercise of the debt warrants, and the procedures and conditions relating to the exercise of the debt warrants;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related debt securities with which the debt warrants are issued, and the number of the debt warrants issued with each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debt warrants and the related debt securities will be separately transferable;</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purchasable upon exercise of each debt warrant, and the price at which the principal amount of the debt securities may be purchased upon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the debt warrants that may be exercised at any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or adjustments in the exercise price of the debt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applicable to the exercise of the debt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warrants and terms, procedures and limitations relating to the exercise of the debt warrants.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right="40"/>
        <w:spacing w:after="0" w:line="256" w:lineRule="auto"/>
        <w:rPr>
          <w:sz w:val="20"/>
          <w:szCs w:val="20"/>
          <w:color w:val="auto"/>
        </w:rPr>
      </w:pPr>
      <w:r>
        <w:rPr>
          <w:rFonts w:ascii="Times New Roman" w:cs="Times New Roman" w:eastAsia="Times New Roman" w:hAnsi="Times New Roman"/>
          <w:sz w:val="18"/>
          <w:szCs w:val="18"/>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 WE MAY OFFER</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shares of common stock, shares of preferred stock, debt securities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w:t>
      </w:r>
    </w:p>
    <w:p>
      <w:pPr>
        <w:spacing w:after="0" w:line="225" w:lineRule="exact"/>
        <w:rPr>
          <w:sz w:val="20"/>
          <w:szCs w:val="20"/>
          <w:color w:val="auto"/>
        </w:rPr>
      </w:pPr>
    </w:p>
    <w:p>
      <w:pPr>
        <w:ind w:left="660" w:right="1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Capital Stock We May Offer,” “Description of Debt Securities We May Offer” and “Description of Warrants We May Offer” will apply to each unit and to any common stock, preferred stock, debt security or warrant included in each unit,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numerous distinct series as we determine.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3"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the offered securities from time to time.</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broker-dealers (acting as agent or principal);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through a specific bidding or auction process or otherwise;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these methods of sale.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will describe the terms of the offering of the securities, including:</w:t>
      </w:r>
    </w:p>
    <w:p>
      <w:pPr>
        <w:spacing w:after="0" w:line="162" w:lineRule="exact"/>
        <w:rPr>
          <w:sz w:val="20"/>
          <w:szCs w:val="20"/>
          <w:color w:val="auto"/>
        </w:rPr>
      </w:pPr>
    </w:p>
    <w:p>
      <w:pPr>
        <w:ind w:left="660" w:right="1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any, and if required, any dealers or agents and the amount of shares underwritten or purchased by each of them;</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or other consideration to be paid in connection with the sale of the securities being offered and the proceeds we will receive from the sale;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distribute the securities from time to time in one or more transactions at:</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we will execute an underwriting agreement with the underwriter at the time of sale. Any underwriters used in the sale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Subject to certain conditions, the underwriters will be obligated to purchase all of the securities offered by the prospectus supplement. We may change from time to time the public offering price and any discounts or concessions allowed or reallowed or paid to dealers.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We may also designate agents to solicit offers to purchase the securities from time to time. We will name in a prospectus supplement any agent involved in the offer or sale of our securities. Unless the prospectus supplement states otherwise, our agent will act on a best-efforts basis for the period of its appointment.</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896" w:gutter="0" w:footer="0" w:header="0"/>
        </w:sectPr>
      </w:pPr>
    </w:p>
    <w:bookmarkStart w:id="24" w:name="page25"/>
    <w:bookmarkEnd w:id="24"/>
    <w:p>
      <w:pPr>
        <w:ind w:right="80"/>
        <w:spacing w:after="0" w:line="261" w:lineRule="auto"/>
        <w:rPr>
          <w:sz w:val="20"/>
          <w:szCs w:val="20"/>
          <w:color w:val="auto"/>
        </w:rPr>
      </w:pPr>
      <w:r>
        <w:rPr>
          <w:rFonts w:ascii="Times New Roman" w:cs="Times New Roman" w:eastAsia="Times New Roman" w:hAnsi="Times New Roman"/>
          <w:sz w:val="18"/>
          <w:szCs w:val="18"/>
          <w:color w:val="auto"/>
        </w:rPr>
        <w:t>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Shares of our common stock sold pursuant to the registration statement of which this prospectus is a part will be authorized for listing and trading on the NASDAQ. The applicable prospectus supplement will contain information, where applicable, as to any other listing, if any, on the NASDAQ or any securities market or other securities exchange of the securities covered by the prospectus supplement.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Underwriters may engage in stabilizing and syndicate covering transactions in accordance with Rule 104 under the Exchange Act. Rule 104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Underwriters may also cover an over-allotment or short position by exercising their over-allotment option, if any. Stabilizing and syndicate covering transactions may cause the price of the offered securities to be higher than it would otherwise be in the absence of these transactions. These transactions, if commenced, may be discontinued at any time.</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may engage in passive market making transactions in the securities on the NASDAQ in accordance with Rule 103 of Regulation M,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 We will describe such relationships in the prospectus supplement naming the underwriter and the nature of any such relationship.</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validity of the securities being offered hereby will be passed on by Dentons US LLP. Any underwriters, dealers or agents will also be advised about the validity of the securities and other legal matters by their own counsel, which will be named in the prospectus supplement.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Arcturus Therapeutics Holdings Inc. and its Subsidiaries appearing in Arcturus Therapeutics Holdings Inc.’s Annual Report (Form 10-K) for the year ended December 31, 2019, and the effectiveness of Arcturus Therapeutics Holdings Inc. and its Subsidiaries’ internal control over financial reporting as of December 31, 2019 have been audited by Ernst &amp; Young LLP, independent registered public accounting firm, as set forth in their reports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2471420</wp:posOffset>
            </wp:positionH>
            <wp:positionV relativeFrom="page">
              <wp:posOffset>226060</wp:posOffset>
            </wp:positionV>
            <wp:extent cx="2571750" cy="8655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571750" cy="86550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7, 2020</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payable by us in connection with the sale of the common stock being registered hereunder. All of the amounts shown shall be paid by us and are estimates except for the SEC registration fee, which was previously paid.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Related Expenses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and Trustee Fees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The amount of securities and number of offerings are indeterminable and the expenses cannot be estimated at this</w:t>
            </w: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500" w:type="dxa"/>
            <w:vAlign w:val="bottom"/>
            <w:gridSpan w:val="2"/>
            <w:vMerge w:val="continue"/>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time.</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 w:firstLine="7"/>
        <w:spacing w:after="0" w:line="282" w:lineRule="auto"/>
        <w:tabs>
          <w:tab w:leader="none" w:pos="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456(b) and 457(r) under the Securities Act of 1933, as amended, or the Securities Act, the registrant is deferring payment of the filing fees relating to the securities that are registered and available for sale under this registration statement.</w:t>
      </w:r>
    </w:p>
    <w:p>
      <w:pPr>
        <w:spacing w:after="0" w:line="161" w:lineRule="exact"/>
        <w:rPr>
          <w:rFonts w:ascii="Times New Roman" w:cs="Times New Roman" w:eastAsia="Times New Roman" w:hAnsi="Times New Roman"/>
          <w:sz w:val="18"/>
          <w:szCs w:val="18"/>
          <w:color w:val="auto"/>
        </w:rPr>
      </w:pPr>
    </w:p>
    <w:p>
      <w:pPr>
        <w:jc w:val="both"/>
        <w:ind w:left="40" w:right="120" w:firstLine="4"/>
        <w:spacing w:after="0" w:line="261" w:lineRule="auto"/>
        <w:tabs>
          <w:tab w:leader="none" w:pos="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relates to an unspecified aggregate initial offering price or number of the securities of each class identified in the fee table on the cover page of this Registration Statement. Because these aggregate amounts are not known, the estimates provided above relate to the expenses of filing this Registration Statement. This expense estimate will appear with respect to each particular offering of securities in the 424(b) filing relating to such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are incorporated under the laws of the state of Delaware. Section 145(a) of the Delaware General Corporation Law, or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his or her conduct was unlawful.</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was serving at the request of the corporation as a director, officer, employee or agent of another corporation, joint venture, trust or other enterprise,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indemnity for such expenses which the court shall deem proper.</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Further subsections of DGCL Section 145 provide that:</w:t>
      </w:r>
    </w:p>
    <w:p>
      <w:pPr>
        <w:spacing w:after="0" w:line="225" w:lineRule="exact"/>
        <w:rPr>
          <w:sz w:val="20"/>
          <w:szCs w:val="20"/>
          <w:color w:val="auto"/>
        </w:rPr>
      </w:pPr>
    </w:p>
    <w:p>
      <w:pPr>
        <w:ind w:right="180" w:firstLine="8"/>
        <w:spacing w:after="0" w:line="266"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present or former director or officer of a corporation has been successful on the merits or otherwise in the defense of any action, suit or proceeding referred to in subsections (a) and (b) of Section 145 or in the defense of any claim, issue or matter therein, such person shall be indemnified against expenses, including attorneys’ fees, actually and reasonably incurred by such person in connection therewith;</w:t>
      </w:r>
    </w:p>
    <w:p>
      <w:pPr>
        <w:spacing w:after="0" w:line="175"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for pursuant to Section 145 shall not be deemed exclusive of any other rights to which those seeking indemnification or advancement of expenses may be entitled under any bylaw, agreement, vote of stockholders or disinterested directors or otherwise; and</w:t>
      </w:r>
    </w:p>
    <w:p>
      <w:pPr>
        <w:spacing w:after="0" w:line="175" w:lineRule="exact"/>
        <w:rPr>
          <w:rFonts w:ascii="Times New Roman" w:cs="Times New Roman" w:eastAsia="Times New Roman" w:hAnsi="Times New Roman"/>
          <w:sz w:val="18"/>
          <w:szCs w:val="18"/>
          <w:color w:val="auto"/>
        </w:rPr>
      </w:pPr>
    </w:p>
    <w:p>
      <w:pPr>
        <w:ind w:right="80" w:firstLine="8"/>
        <w:spacing w:after="0" w:line="261"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Section 145 of the DGCL makes provision for the indemnification of officers and directors in terms sufficiently broad to indemnify our officers and directors under certain circumstances from liabilities (including reimbursement for expenses incurred) arising under the Securities Act of 1933. Our bylaws provide, in effect, that, to the fullest extent and under the circumstances permitted by Section 145 of the DGCL, we will indemnify any person (and the estate of any person) who was or is a party or is threatened to be made a party to any threatened, pending or completed action, suit or proceeding, whether civil, criminal, administrative or investigative, by reason of the fact that he or she is or was a director or officer of our company or is or was serving at our request as a director or officer of another corporation or enterprise. We may, in our discretion, similarly indemnify its employees and agents.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indemnification agreements with our officers and directors.</w:t>
      </w:r>
    </w:p>
    <w:p>
      <w:pPr>
        <w:spacing w:after="0" w:line="22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Our certificate of incorporation relieves our directors from monetary damages to us or our stockholders for breach of such director’s fiduciary duty as a director to the fullest extent permitted by the DGCL. Under Section 102(b)(7) of the DGCL, a corporation may relieve its directors from personal liability to such corporation or its stockholders for monetary damages for any breach of their fiduciary duty as directors except (i) for a breach of the duty of loyalty,</w:t>
      </w:r>
    </w:p>
    <w:p>
      <w:pPr>
        <w:spacing w:after="0" w:line="2" w:lineRule="exact"/>
        <w:rPr>
          <w:sz w:val="20"/>
          <w:szCs w:val="20"/>
          <w:color w:val="auto"/>
        </w:rPr>
      </w:pPr>
    </w:p>
    <w:p>
      <w:pPr>
        <w:ind w:right="40" w:firstLine="8"/>
        <w:spacing w:after="0" w:line="255"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(iii) for willful or negligent violations of certain provisions in the DGCL imposing certain requirements with respect to stock repurchases, redemptions and dividends, or (iv) for any transactions from which the director derived an improper personal benefit.</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currently maintain an insurance policy which, within the limits and subject to the terms and conditions thereof, covers certain expenses and liabilities that may be incurred by directors and officers in connection with proceedings that may be brought against them as a result of an act or omission committed or suffered while acting as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attached to this registration statement and incorporated herein by this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9" w:name="page30"/>
    <w:bookmarkEnd w:id="29"/>
    <w:p>
      <w:pPr>
        <w:ind w:firstLine="980"/>
        <w:spacing w:after="0" w:line="256" w:lineRule="auto"/>
        <w:tabs>
          <w:tab w:leader="none" w:pos="12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right="180" w:firstLine="980"/>
        <w:spacing w:after="0" w:line="282" w:lineRule="auto"/>
        <w:tabs>
          <w:tab w:leader="none" w:pos="12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2" w:lineRule="exact"/>
        <w:rPr>
          <w:sz w:val="20"/>
          <w:szCs w:val="20"/>
          <w:color w:val="auto"/>
        </w:rPr>
      </w:pPr>
    </w:p>
    <w:p>
      <w:pPr>
        <w:ind w:right="60" w:firstLine="656"/>
        <w:spacing w:after="0" w:line="266" w:lineRule="auto"/>
        <w:tabs>
          <w:tab w:leader="none" w:pos="9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right="620" w:firstLine="656"/>
        <w:spacing w:after="0" w:line="282" w:lineRule="auto"/>
        <w:tabs>
          <w:tab w:leader="none" w:pos="9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right="20" w:firstLine="980"/>
        <w:spacing w:after="0" w:line="282" w:lineRule="auto"/>
        <w:tabs>
          <w:tab w:leader="none" w:pos="118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right="100" w:firstLine="980"/>
        <w:spacing w:after="0" w:line="253" w:lineRule="auto"/>
        <w:tabs>
          <w:tab w:leader="none" w:pos="123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right="20" w:firstLine="656"/>
        <w:spacing w:after="0" w:line="261" w:lineRule="auto"/>
        <w:tabs>
          <w:tab w:leader="none" w:pos="9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9"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right="300" w:firstLine="980"/>
        <w:spacing w:after="0" w:line="282" w:lineRule="auto"/>
        <w:tabs>
          <w:tab w:leader="none" w:pos="123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0" w:name="page31"/>
    <w:bookmarkEnd w:id="30"/>
    <w:p>
      <w:pPr>
        <w:ind w:right="120" w:firstLine="980"/>
        <w:spacing w:after="0" w:line="282" w:lineRule="auto"/>
        <w:tabs>
          <w:tab w:leader="none" w:pos="128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right="20" w:firstLine="332"/>
        <w:spacing w:after="0" w:line="258" w:lineRule="auto"/>
        <w:tabs>
          <w:tab w:leader="none" w:pos="5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firstLine="332"/>
        <w:spacing w:after="0" w:line="254" w:lineRule="auto"/>
        <w:tabs>
          <w:tab w:leader="none" w:pos="5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registrants pursuant to the foregoing provisions described in Item 15,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any registrant in the successful defense of any action, suit or proceeding) is asserted by such director, officer or controlling person in connection with the securities being registered, each appropriate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right="60" w:firstLine="332"/>
        <w:spacing w:after="0" w:line="266" w:lineRule="auto"/>
        <w:tabs>
          <w:tab w:leader="none" w:pos="5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100" w:type="dxa"/>
            <w:vAlign w:val="bottom"/>
            <w:gridSpan w:val="5"/>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101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Exhibit</w:t>
            </w:r>
          </w:p>
        </w:tc>
        <w:tc>
          <w:tcPr>
            <w:tcW w:w="0" w:type="dxa"/>
            <w:vAlign w:val="bottom"/>
          </w:tcPr>
          <w:p>
            <w:pPr>
              <w:spacing w:after="0"/>
              <w:rPr>
                <w:sz w:val="1"/>
                <w:szCs w:val="1"/>
                <w:color w:val="auto"/>
              </w:rPr>
            </w:pPr>
          </w:p>
        </w:tc>
      </w:tr>
      <w:tr>
        <w:trPr>
          <w:trHeight w:val="12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w:t>
            </w:r>
          </w:p>
        </w:tc>
        <w:tc>
          <w:tcPr>
            <w:tcW w:w="101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Borders>
              <w:bottom w:val="single" w:sz="8" w:color="auto"/>
            </w:tcBorders>
            <w:vMerge w:val="continue"/>
          </w:tcPr>
          <w:p>
            <w:pPr>
              <w:spacing w:after="0"/>
              <w:rPr>
                <w:sz w:val="9"/>
                <w:szCs w:val="9"/>
                <w:color w:val="auto"/>
              </w:rPr>
            </w:pPr>
          </w:p>
        </w:tc>
        <w:tc>
          <w:tcPr>
            <w:tcW w:w="59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1010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0100" w:type="dxa"/>
            <w:vAlign w:val="bottom"/>
            <w:gridSpan w:val="5"/>
          </w:tcPr>
          <w:p>
            <w:pPr>
              <w:spacing w:after="0" w:line="194"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Certificate of Incorporation of Arcturus Therapeutics Holdings Inc. (filed as Exhibit 3.1 to the Company’s Registration Statement on Form</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9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S-3 (File No. 333-238139), filed with the SEC on May 8, 2020 and incorporated by reference herein)</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99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Bylaws of Arcturus Therapeutics Holdings Inc. (filed as Exhibit 3.2 to the Company’s Registration Statement on Form S-3 (File No. 333-</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5"/>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238139)</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filed with the SEC on May 8, 2020 and incorporated by reference herein)</w:t>
              </w:r>
            </w:hyperlink>
          </w:p>
        </w:tc>
        <w:tc>
          <w:tcPr>
            <w:tcW w:w="0" w:type="dxa"/>
            <w:vAlign w:val="bottom"/>
          </w:tcPr>
          <w:p>
            <w:pPr>
              <w:spacing w:after="0"/>
              <w:rPr>
                <w:sz w:val="1"/>
                <w:szCs w:val="1"/>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960" w:type="dxa"/>
            <w:vAlign w:val="bottom"/>
            <w:tcBorders>
              <w:top w:val="single" w:sz="8" w:color="0000EE"/>
            </w:tcBorders>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Form of Indenture</w:t>
              </w:r>
            </w:hyperlink>
          </w:p>
        </w:tc>
        <w:tc>
          <w:tcPr>
            <w:tcW w:w="4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Warrant Certificate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100" w:type="dxa"/>
            <w:vAlign w:val="bottom"/>
            <w:gridSpan w:val="5"/>
          </w:tcPr>
          <w:p>
            <w:pPr>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Opinion of Dentons US LLP</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5"/>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Consent of Independent Registered Public Accounting Firm (E&amp;Y)</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100" w:type="dxa"/>
            <w:vAlign w:val="bottom"/>
            <w:gridSpan w:val="5"/>
          </w:tcPr>
          <w:p>
            <w:pPr>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Consent of Dentons US LLP (contained in Exhibit 5.1.)</w:t>
              </w:r>
            </w:hyperlink>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Power of Attorney.</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25.l†</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T-l Statement of Eligibility and Qualification of the Trustee under the Indenture with respect to the debt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40" w:hanging="132"/>
        <w:spacing w:after="0"/>
        <w:tabs>
          <w:tab w:leader="none" w:pos="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hereto or pursuant to a Current Report on Form 8-K to be incorporated herein by reference.</w:t>
      </w:r>
    </w:p>
    <w:p>
      <w:pPr>
        <w:spacing w:after="0" w:line="2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be filed by amendment or pursuant to Trust Indenture Act Section 305(b)(2), if applicable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December 7, 2020.</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ARCTURUS THERAPEUTICS LTD.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Joseph E. Payne and 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Padmanabh Chivukula, and each of them acting individually, as his or her true and lawful attorneys- in-fact and agent, with full power of each to act alone, with full powers of substitution and resubstitution, for him or her and in his or her name, place and stead, in any and all capacities, to sign any and all amendments to this registration statement (including post-effective amendments and any registration statement for the same offering that is to be effective under Rule 462(b) of the Securities Act), and to file the same with all exhibits thereto, and other documents in connection therewith, with the Securities and Exchange Commission, granting unto said attorneys-in-fact and agents, and full power and authority to do and perform each and every act and thing requisite and necessary to be done in connection therewith, as fully for all intents and purposes as he or she might or could do in person, hereby ratifying and confirming that all said attorneys-in-fact and agents, or any of them or their substitute or resubstitute, may lawfully do or cause to be done by virtue hereof.</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5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E. Payne</w:t>
            </w:r>
          </w:p>
        </w:tc>
        <w:tc>
          <w:tcPr>
            <w:tcW w:w="5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Joseph E. Payne</w:t>
            </w:r>
          </w:p>
        </w:tc>
        <w:tc>
          <w:tcPr>
            <w:tcW w:w="5600" w:type="dxa"/>
            <w:vAlign w:val="bottom"/>
          </w:tcPr>
          <w:p>
            <w:pPr>
              <w:jc w:val="center"/>
              <w:ind w:left="39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2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Padmanabh Chivukula</w:t>
            </w:r>
          </w:p>
        </w:tc>
        <w:tc>
          <w:tcPr>
            <w:tcW w:w="5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Chief Scientific Officer,</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Dr. Padmanabh Chivukula</w:t>
            </w:r>
          </w:p>
        </w:tc>
        <w:tc>
          <w:tcPr>
            <w:tcW w:w="5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Chief Operating Officer and Secretary</w:t>
            </w:r>
          </w:p>
        </w:tc>
        <w:tc>
          <w:tcPr>
            <w:tcW w:w="202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Peter Farrell</w:t>
            </w:r>
          </w:p>
        </w:tc>
        <w:tc>
          <w:tcPr>
            <w:tcW w:w="5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Dr. Peter Farrell</w:t>
            </w:r>
          </w:p>
        </w:tc>
        <w:tc>
          <w:tcPr>
            <w:tcW w:w="56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Sassine</w:t>
            </w:r>
          </w:p>
        </w:tc>
        <w:tc>
          <w:tcPr>
            <w:tcW w:w="5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Sassine</w:t>
            </w:r>
          </w:p>
        </w:tc>
        <w:tc>
          <w:tcPr>
            <w:tcW w:w="5600" w:type="dxa"/>
            <w:vAlign w:val="bottom"/>
          </w:tcPr>
          <w:p>
            <w:pPr>
              <w:jc w:val="center"/>
              <w:ind w:left="390"/>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c>
          <w:tcPr>
            <w:tcW w:w="202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Magda Marquet</w:t>
            </w:r>
          </w:p>
        </w:tc>
        <w:tc>
          <w:tcPr>
            <w:tcW w:w="5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Dr. Magda Marquet</w:t>
            </w:r>
          </w:p>
        </w:tc>
        <w:tc>
          <w:tcPr>
            <w:tcW w:w="56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Barlow</w:t>
            </w:r>
          </w:p>
        </w:tc>
        <w:tc>
          <w:tcPr>
            <w:tcW w:w="5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Barlow</w:t>
            </w:r>
          </w:p>
        </w:tc>
        <w:tc>
          <w:tcPr>
            <w:tcW w:w="56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Karah Parschauer</w:t>
            </w:r>
          </w:p>
        </w:tc>
        <w:tc>
          <w:tcPr>
            <w:tcW w:w="5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Karah Parschauer</w:t>
            </w:r>
          </w:p>
        </w:tc>
        <w:tc>
          <w:tcPr>
            <w:tcW w:w="56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Dr. Edward W. Holmes</w:t>
            </w:r>
          </w:p>
        </w:tc>
        <w:tc>
          <w:tcPr>
            <w:tcW w:w="5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Dr. Edward W. Holmes</w:t>
            </w:r>
          </w:p>
        </w:tc>
        <w:tc>
          <w:tcPr>
            <w:tcW w:w="56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Keith C. Kummerfeld</w:t>
            </w:r>
          </w:p>
        </w:tc>
        <w:tc>
          <w:tcPr>
            <w:tcW w:w="5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Vice President of Finance and Corporate Controller</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Keith C. Kummerfeld</w:t>
            </w:r>
          </w:p>
        </w:tc>
        <w:tc>
          <w:tcPr>
            <w:tcW w:w="5600" w:type="dxa"/>
            <w:vAlign w:val="bottom"/>
          </w:tcPr>
          <w:p>
            <w:pPr>
              <w:jc w:val="center"/>
              <w:ind w:left="41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202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Dr. Edward W. Holmes</w:t>
            </w:r>
          </w:p>
        </w:tc>
        <w:tc>
          <w:tcPr>
            <w:tcW w:w="56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December 7, 2020</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Dr. Edward W. Holmes</w:t>
            </w:r>
          </w:p>
        </w:tc>
        <w:tc>
          <w:tcPr>
            <w:tcW w:w="5600" w:type="dxa"/>
            <w:vAlign w:val="bottom"/>
          </w:tcPr>
          <w:p>
            <w:pPr>
              <w:spacing w:after="0"/>
              <w:rPr>
                <w:sz w:val="19"/>
                <w:szCs w:val="19"/>
                <w:color w:val="auto"/>
              </w:rPr>
            </w:pPr>
          </w:p>
        </w:tc>
        <w:tc>
          <w:tcPr>
            <w:tcW w:w="2020" w:type="dxa"/>
            <w:vAlign w:val="bottom"/>
          </w:tcPr>
          <w:p>
            <w:pPr>
              <w:spacing w:after="0"/>
              <w:rPr>
                <w:sz w:val="19"/>
                <w:szCs w:val="19"/>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ARCTURUS THERAPEUTICS HOLDINGS INC.</w:t>
      </w:r>
    </w:p>
    <w:p>
      <w:pPr>
        <w:spacing w:after="0" w:line="23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Dated as of , 20</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379730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71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CROSS-REFERENCE TABLE(1)</w:t>
            </w:r>
          </w:p>
        </w:tc>
      </w:tr>
      <w:tr>
        <w:trPr>
          <w:trHeight w:val="410"/>
        </w:trPr>
        <w:tc>
          <w:tcPr>
            <w:tcW w:w="41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SECTION OF</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216"/>
        </w:trPr>
        <w:tc>
          <w:tcPr>
            <w:tcW w:w="412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TRUST INDENTURE</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SECTION(S) OF</w:t>
            </w:r>
          </w:p>
        </w:tc>
      </w:tr>
      <w:tr>
        <w:trPr>
          <w:trHeight w:val="238"/>
        </w:trPr>
        <w:tc>
          <w:tcPr>
            <w:tcW w:w="4120" w:type="dxa"/>
            <w:vAlign w:val="bottom"/>
            <w:tcBorders>
              <w:bottom w:val="single" w:sz="8" w:color="auto"/>
            </w:tcBorders>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ACT OF 1939, AS AMENDED</w:t>
            </w:r>
          </w:p>
        </w:tc>
        <w:tc>
          <w:tcPr>
            <w:tcW w:w="13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INDENTURE</w:t>
            </w:r>
          </w:p>
        </w:tc>
      </w:tr>
      <w:tr>
        <w:trPr>
          <w:trHeight w:val="210"/>
        </w:trPr>
        <w:tc>
          <w:tcPr>
            <w:tcW w:w="41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310(a)</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1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310(b)</w:t>
            </w:r>
          </w:p>
        </w:tc>
        <w:tc>
          <w:tcPr>
            <w:tcW w:w="71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1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311(a)</w:t>
            </w:r>
          </w:p>
        </w:tc>
        <w:tc>
          <w:tcPr>
            <w:tcW w:w="7120" w:type="dxa"/>
            <w:vAlign w:val="bottom"/>
            <w:gridSpan w:val="3"/>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41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311(b)</w:t>
            </w:r>
          </w:p>
        </w:tc>
        <w:tc>
          <w:tcPr>
            <w:tcW w:w="71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41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312(a)</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 5.2(a)</w:t>
            </w:r>
          </w:p>
        </w:tc>
      </w:tr>
      <w:tr>
        <w:trPr>
          <w:trHeight w:val="216"/>
        </w:trPr>
        <w:tc>
          <w:tcPr>
            <w:tcW w:w="41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312(b)</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5.2(b)</w:t>
            </w:r>
          </w:p>
        </w:tc>
      </w:tr>
      <w:tr>
        <w:trPr>
          <w:trHeight w:val="216"/>
        </w:trPr>
        <w:tc>
          <w:tcPr>
            <w:tcW w:w="41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312(c)</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5.2(c)</w:t>
            </w:r>
          </w:p>
        </w:tc>
      </w:tr>
      <w:tr>
        <w:trPr>
          <w:trHeight w:val="216"/>
        </w:trPr>
        <w:tc>
          <w:tcPr>
            <w:tcW w:w="41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313(a)</w:t>
            </w:r>
          </w:p>
        </w:tc>
        <w:tc>
          <w:tcPr>
            <w:tcW w:w="71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12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313(b)</w:t>
            </w:r>
          </w:p>
        </w:tc>
        <w:tc>
          <w:tcPr>
            <w:tcW w:w="7120" w:type="dxa"/>
            <w:vAlign w:val="bottom"/>
            <w:gridSpan w:val="3"/>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1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313(c)</w:t>
            </w:r>
          </w:p>
        </w:tc>
        <w:tc>
          <w:tcPr>
            <w:tcW w:w="71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12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313(d)</w:t>
            </w:r>
          </w:p>
        </w:tc>
        <w:tc>
          <w:tcPr>
            <w:tcW w:w="7120" w:type="dxa"/>
            <w:vAlign w:val="bottom"/>
            <w:gridSpan w:val="3"/>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1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314(a)</w:t>
            </w:r>
          </w:p>
        </w:tc>
        <w:tc>
          <w:tcPr>
            <w:tcW w:w="71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5.3, 14.12</w:t>
            </w:r>
          </w:p>
        </w:tc>
      </w:tr>
      <w:tr>
        <w:trPr>
          <w:trHeight w:val="216"/>
        </w:trPr>
        <w:tc>
          <w:tcPr>
            <w:tcW w:w="41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314(c)</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14.7(a)</w:t>
            </w:r>
          </w:p>
        </w:tc>
      </w:tr>
      <w:tr>
        <w:trPr>
          <w:trHeight w:val="216"/>
        </w:trPr>
        <w:tc>
          <w:tcPr>
            <w:tcW w:w="41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314(e)</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14.7(b)</w:t>
            </w:r>
          </w:p>
        </w:tc>
      </w:tr>
      <w:tr>
        <w:trPr>
          <w:trHeight w:val="216"/>
        </w:trPr>
        <w:tc>
          <w:tcPr>
            <w:tcW w:w="41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315(a)</w:t>
            </w:r>
          </w:p>
        </w:tc>
        <w:tc>
          <w:tcPr>
            <w:tcW w:w="7120" w:type="dxa"/>
            <w:vAlign w:val="bottom"/>
            <w:gridSpan w:val="3"/>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1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315(b)</w:t>
            </w:r>
          </w:p>
        </w:tc>
        <w:tc>
          <w:tcPr>
            <w:tcW w:w="71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41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315(c)</w:t>
            </w:r>
          </w:p>
        </w:tc>
        <w:tc>
          <w:tcPr>
            <w:tcW w:w="7120" w:type="dxa"/>
            <w:vAlign w:val="bottom"/>
            <w:gridSpan w:val="3"/>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1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315(d)</w:t>
            </w:r>
          </w:p>
        </w:tc>
        <w:tc>
          <w:tcPr>
            <w:tcW w:w="71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1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315(e)</w:t>
            </w:r>
          </w:p>
        </w:tc>
        <w:tc>
          <w:tcPr>
            <w:tcW w:w="7120" w:type="dxa"/>
            <w:vAlign w:val="bottom"/>
            <w:gridSpan w:val="3"/>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1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316(a)</w:t>
            </w:r>
          </w:p>
        </w:tc>
        <w:tc>
          <w:tcPr>
            <w:tcW w:w="7120" w:type="dxa"/>
            <w:vAlign w:val="bottom"/>
            <w:gridSpan w:val="3"/>
          </w:tcPr>
          <w:p>
            <w:pPr>
              <w:jc w:val="center"/>
              <w:ind w:left="1490"/>
              <w:spacing w:after="0"/>
              <w:rPr>
                <w:sz w:val="20"/>
                <w:szCs w:val="20"/>
                <w:color w:val="auto"/>
              </w:rPr>
            </w:pPr>
            <w:r>
              <w:rPr>
                <w:rFonts w:ascii="Times New Roman" w:cs="Times New Roman" w:eastAsia="Times New Roman" w:hAnsi="Times New Roman"/>
                <w:sz w:val="18"/>
                <w:szCs w:val="18"/>
                <w:color w:val="auto"/>
                <w:w w:val="99"/>
              </w:rPr>
              <w:t>6.6, 8.4</w:t>
            </w:r>
          </w:p>
        </w:tc>
      </w:tr>
      <w:tr>
        <w:trPr>
          <w:trHeight w:val="216"/>
        </w:trPr>
        <w:tc>
          <w:tcPr>
            <w:tcW w:w="412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316(b)</w:t>
            </w:r>
          </w:p>
        </w:tc>
        <w:tc>
          <w:tcPr>
            <w:tcW w:w="7120" w:type="dxa"/>
            <w:vAlign w:val="bottom"/>
            <w:gridSpan w:val="3"/>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1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316(c)</w:t>
            </w:r>
          </w:p>
        </w:tc>
        <w:tc>
          <w:tcPr>
            <w:tcW w:w="71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1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317(a)</w:t>
            </w:r>
          </w:p>
        </w:tc>
        <w:tc>
          <w:tcPr>
            <w:tcW w:w="7120" w:type="dxa"/>
            <w:vAlign w:val="bottom"/>
            <w:gridSpan w:val="3"/>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1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317(b)</w:t>
            </w:r>
          </w:p>
        </w:tc>
        <w:tc>
          <w:tcPr>
            <w:tcW w:w="71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12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318(a)</w:t>
            </w:r>
          </w:p>
        </w:tc>
        <w:tc>
          <w:tcPr>
            <w:tcW w:w="7120" w:type="dxa"/>
            <w:vAlign w:val="bottom"/>
            <w:gridSpan w:val="3"/>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14.9</w:t>
            </w:r>
          </w:p>
        </w:tc>
      </w:tr>
    </w:tbl>
    <w:p>
      <w:pPr>
        <w:spacing w:after="0" w:line="198" w:lineRule="exact"/>
        <w:rPr>
          <w:sz w:val="20"/>
          <w:szCs w:val="20"/>
          <w:color w:val="auto"/>
        </w:rPr>
      </w:pPr>
    </w:p>
    <w:p>
      <w:pPr>
        <w:ind w:left="800" w:hanging="671"/>
        <w:spacing w:after="0" w:line="282" w:lineRule="auto"/>
        <w:tabs>
          <w:tab w:leader="none" w:pos="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850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46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Definitions of Terms.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ISSUE, DESCRIPTION, TERMS, EXECUTION, REGISTRATION AND EXCHANGE OF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2.2</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2.4</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2.6</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Temporary Securities.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2.8</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Cancellation.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2.9</w:t>
            </w: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Benefits of Indenture.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Authenticating Agent.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Global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2.12</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Cusip and Isin Numbers.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REDEMPTION OF SECURITIES AND SINKING FUND PROVISIONS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Redemption.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 of Redemption.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3.3</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Payment upon Redemption.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Sinking Fund.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3.5</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Paying Agent and Security Registrar.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4.4</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Compliance with Consolidation Provisions.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SECURITYHOLDERS’ LISTS AND REPORTS BY THE COMPANY AND THE TRUSTEE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5.3</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Reports by the Company.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Reports by the Trustee.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REMEDIES OF THE TRUSTEE AND SECURITYHOLDERS ON EVENT OF DEFAULT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8500" w:type="dxa"/>
            <w:vAlign w:val="bottom"/>
            <w:shd w:val="clear" w:color="auto" w:fill="FEFEFE"/>
          </w:tcPr>
          <w:p>
            <w:pPr>
              <w:spacing w:after="0"/>
              <w:rPr>
                <w:sz w:val="18"/>
                <w:szCs w:val="18"/>
                <w:color w:val="auto"/>
              </w:rPr>
            </w:pPr>
          </w:p>
        </w:tc>
        <w:tc>
          <w:tcPr>
            <w:tcW w:w="144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Events of Default.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6.2</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6.3</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Application of Moneys Collected.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6.4</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Limitation on Suits.</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6.5</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6.6</w:t>
            </w:r>
          </w:p>
        </w:tc>
        <w:tc>
          <w:tcPr>
            <w:tcW w:w="850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144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6.7</w:t>
            </w:r>
          </w:p>
        </w:tc>
        <w:tc>
          <w:tcPr>
            <w:tcW w:w="8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Undertaking to Pay Costs.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1300" w:type="dxa"/>
            <w:vAlign w:val="bottom"/>
            <w:shd w:val="clear" w:color="auto" w:fill="FEFEFE"/>
          </w:tcPr>
          <w:p>
            <w:pPr>
              <w:spacing w:after="0"/>
              <w:rPr>
                <w:sz w:val="18"/>
                <w:szCs w:val="18"/>
                <w:color w:val="auto"/>
              </w:rPr>
            </w:pPr>
          </w:p>
        </w:tc>
        <w:tc>
          <w:tcPr>
            <w:tcW w:w="9280" w:type="dxa"/>
            <w:vAlign w:val="bottom"/>
            <w:shd w:val="clear" w:color="auto" w:fill="FEFEFE"/>
          </w:tcPr>
          <w:p>
            <w:pPr>
              <w:spacing w:after="0"/>
              <w:rPr>
                <w:sz w:val="18"/>
                <w:szCs w:val="18"/>
                <w:color w:val="auto"/>
              </w:rPr>
            </w:pPr>
          </w:p>
        </w:tc>
        <w:tc>
          <w:tcPr>
            <w:tcW w:w="660" w:type="dxa"/>
            <w:vAlign w:val="bottom"/>
            <w:shd w:val="clear" w:color="auto" w:fill="FEFEF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CONCERNING THE TRUSTEE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9280" w:type="dxa"/>
            <w:vAlign w:val="bottom"/>
            <w:shd w:val="clear" w:color="auto" w:fill="FEFEFE"/>
          </w:tcPr>
          <w:p>
            <w:pPr>
              <w:spacing w:after="0"/>
              <w:rPr>
                <w:sz w:val="18"/>
                <w:szCs w:val="18"/>
                <w:color w:val="auto"/>
              </w:rPr>
            </w:pPr>
          </w:p>
        </w:tc>
        <w:tc>
          <w:tcPr>
            <w:tcW w:w="66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7.2</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7.3</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7.4</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May Hold Securities and Otherwise Deal with the Company.</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7.5</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Moneys Held in Trust.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7.6</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7.7</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7.8</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7.9</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7.14</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Notice of Default.</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7.15</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Limitation of Liability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FEFEFE"/>
          </w:tcPr>
          <w:p>
            <w:pPr>
              <w:spacing w:after="0"/>
              <w:rPr>
                <w:sz w:val="18"/>
                <w:szCs w:val="18"/>
                <w:color w:val="auto"/>
              </w:rPr>
            </w:pPr>
          </w:p>
        </w:tc>
        <w:tc>
          <w:tcPr>
            <w:tcW w:w="66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CONCERNING THE SECURITYHOLDERS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9280" w:type="dxa"/>
            <w:vAlign w:val="bottom"/>
            <w:shd w:val="clear" w:color="auto" w:fill="FEFEFE"/>
          </w:tcPr>
          <w:p>
            <w:pPr>
              <w:spacing w:after="0"/>
              <w:rPr>
                <w:sz w:val="18"/>
                <w:szCs w:val="18"/>
                <w:color w:val="auto"/>
              </w:rPr>
            </w:pPr>
          </w:p>
        </w:tc>
        <w:tc>
          <w:tcPr>
            <w:tcW w:w="66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8.2</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8.3</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Who may be Deemed Owners.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8.4</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8.5</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FEFEFE"/>
          </w:tcPr>
          <w:p>
            <w:pPr>
              <w:spacing w:after="0"/>
              <w:rPr>
                <w:sz w:val="18"/>
                <w:szCs w:val="18"/>
                <w:color w:val="auto"/>
              </w:rPr>
            </w:pPr>
          </w:p>
        </w:tc>
        <w:tc>
          <w:tcPr>
            <w:tcW w:w="66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SUPPLEMENTAL INDENTURES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9280" w:type="dxa"/>
            <w:vAlign w:val="bottom"/>
            <w:shd w:val="clear" w:color="auto" w:fill="FEFEFE"/>
          </w:tcPr>
          <w:p>
            <w:pPr>
              <w:spacing w:after="0"/>
              <w:rPr>
                <w:sz w:val="18"/>
                <w:szCs w:val="18"/>
                <w:color w:val="auto"/>
              </w:rPr>
            </w:pPr>
          </w:p>
        </w:tc>
        <w:tc>
          <w:tcPr>
            <w:tcW w:w="66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9.1</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9.2</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Supplemental Indentures with the Consent of Securityholders.</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9.3</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9.4</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9.5</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FEFEFE"/>
          </w:tcPr>
          <w:p>
            <w:pPr>
              <w:spacing w:after="0"/>
              <w:rPr>
                <w:sz w:val="18"/>
                <w:szCs w:val="18"/>
                <w:color w:val="auto"/>
              </w:rPr>
            </w:pPr>
          </w:p>
        </w:tc>
        <w:tc>
          <w:tcPr>
            <w:tcW w:w="66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SUCCESSOR ENTITY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9280" w:type="dxa"/>
            <w:vAlign w:val="bottom"/>
            <w:shd w:val="clear" w:color="auto" w:fill="FEFEFE"/>
          </w:tcPr>
          <w:p>
            <w:pPr>
              <w:spacing w:after="0"/>
              <w:rPr>
                <w:sz w:val="18"/>
                <w:szCs w:val="18"/>
                <w:color w:val="auto"/>
              </w:rPr>
            </w:pPr>
          </w:p>
        </w:tc>
        <w:tc>
          <w:tcPr>
            <w:tcW w:w="66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Evidence of Consolidation, etc. To Trustee.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SATISFACTION AND DISCHARGE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18"/>
                <w:szCs w:val="18"/>
                <w:color w:val="auto"/>
              </w:rPr>
            </w:pPr>
          </w:p>
        </w:tc>
        <w:tc>
          <w:tcPr>
            <w:tcW w:w="9280" w:type="dxa"/>
            <w:vAlign w:val="bottom"/>
            <w:shd w:val="clear" w:color="auto" w:fill="FEFEFE"/>
          </w:tcPr>
          <w:p>
            <w:pPr>
              <w:spacing w:after="0"/>
              <w:rPr>
                <w:sz w:val="18"/>
                <w:szCs w:val="18"/>
                <w:color w:val="auto"/>
              </w:rPr>
            </w:pPr>
          </w:p>
        </w:tc>
        <w:tc>
          <w:tcPr>
            <w:tcW w:w="660" w:type="dxa"/>
            <w:vAlign w:val="bottom"/>
            <w:shd w:val="clear" w:color="auto" w:fill="FEFEF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11.1</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11.2</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color w:val="auto"/>
              </w:rPr>
              <w:t>ARTICLE XII LEGAL DEFEASANCE AND COVENANT DEFEASANCE</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12.1</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r>
              <w:rPr>
                <w:rFonts w:ascii="Times New Roman" w:cs="Times New Roman" w:eastAsia="Times New Roman" w:hAnsi="Times New Roman"/>
                <w:sz w:val="18"/>
                <w:szCs w:val="18"/>
                <w:i w:val="1"/>
                <w:iCs w:val="1"/>
                <w:color w:val="auto"/>
              </w:rPr>
              <w:t>.</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12.2</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Legal Defeasance and Discharge</w:t>
            </w:r>
            <w:r>
              <w:rPr>
                <w:rFonts w:ascii="Times New Roman" w:cs="Times New Roman" w:eastAsia="Times New Roman" w:hAnsi="Times New Roman"/>
                <w:sz w:val="18"/>
                <w:szCs w:val="18"/>
                <w:i w:val="1"/>
                <w:i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12.3</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Covenant Defeasance</w:t>
            </w:r>
            <w:r>
              <w:rPr>
                <w:rFonts w:ascii="Times New Roman" w:cs="Times New Roman" w:eastAsia="Times New Roman" w:hAnsi="Times New Roman"/>
                <w:sz w:val="18"/>
                <w:szCs w:val="18"/>
                <w:i w:val="1"/>
                <w:iCs w:val="1"/>
                <w:color w:val="auto"/>
              </w:rPr>
              <w:t>.</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12.4</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Conditions to Legal or Covenant Defeasance</w:t>
            </w:r>
            <w:r>
              <w:rPr>
                <w:rFonts w:ascii="Times New Roman" w:cs="Times New Roman" w:eastAsia="Times New Roman" w:hAnsi="Times New Roman"/>
                <w:sz w:val="18"/>
                <w:szCs w:val="18"/>
                <w:i w:val="1"/>
                <w:i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12.5</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Deposited Money and Government Securities to be Held in Trust; other Miscellaneous Provisions</w:t>
            </w:r>
            <w:r>
              <w:rPr>
                <w:rFonts w:ascii="Times New Roman" w:cs="Times New Roman" w:eastAsia="Times New Roman" w:hAnsi="Times New Roman"/>
                <w:sz w:val="18"/>
                <w:szCs w:val="18"/>
                <w:i w:val="1"/>
                <w:iCs w:val="1"/>
                <w:color w:val="auto"/>
              </w:rPr>
              <w:t>.</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12.6</w:t>
            </w:r>
          </w:p>
        </w:tc>
        <w:tc>
          <w:tcPr>
            <w:tcW w:w="9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Repayment to Company</w:t>
            </w:r>
            <w:r>
              <w:rPr>
                <w:rFonts w:ascii="Times New Roman" w:cs="Times New Roman" w:eastAsia="Times New Roman" w:hAnsi="Times New Roman"/>
                <w:sz w:val="18"/>
                <w:szCs w:val="18"/>
                <w:i w:val="1"/>
                <w:i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12.7</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Reinstatement.</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color w:val="auto"/>
              </w:rPr>
              <w:t>ARTICLE XIII IMMUNITY OF INCORPORATORS, STOCKHOLDERS, OFFICERS AND DIRECTORS</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9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13.1</w:t>
            </w:r>
          </w:p>
        </w:tc>
        <w:tc>
          <w:tcPr>
            <w:tcW w:w="9280" w:type="dxa"/>
            <w:vAlign w:val="bottom"/>
            <w:shd w:val="clear" w:color="auto" w:fill="FEFEFE"/>
          </w:tcPr>
          <w:p>
            <w:pPr>
              <w:ind w:left="400"/>
              <w:spacing w:after="0"/>
              <w:rPr>
                <w:sz w:val="20"/>
                <w:szCs w:val="20"/>
                <w:color w:val="auto"/>
              </w:rPr>
            </w:pPr>
            <w:r>
              <w:rPr>
                <w:rFonts w:ascii="Times New Roman" w:cs="Times New Roman" w:eastAsia="Times New Roman" w:hAnsi="Times New Roman"/>
                <w:sz w:val="18"/>
                <w:szCs w:val="18"/>
                <w:color w:val="auto"/>
              </w:rPr>
              <w:t>No Recourse.</w:t>
            </w:r>
          </w:p>
        </w:tc>
        <w:tc>
          <w:tcPr>
            <w:tcW w:w="6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7780" w:type="dxa"/>
            <w:vAlign w:val="bottom"/>
            <w:gridSpan w:val="2"/>
            <w:shd w:val="clear" w:color="auto" w:fill="FEFEFE"/>
          </w:tcPr>
          <w:p>
            <w:pPr>
              <w:spacing w:after="0"/>
              <w:rPr>
                <w:sz w:val="20"/>
                <w:szCs w:val="20"/>
                <w:color w:val="auto"/>
              </w:rPr>
            </w:pPr>
            <w:r>
              <w:rPr>
                <w:rFonts w:ascii="Times New Roman" w:cs="Times New Roman" w:eastAsia="Times New Roman" w:hAnsi="Times New Roman"/>
                <w:sz w:val="18"/>
                <w:szCs w:val="18"/>
                <w:color w:val="auto"/>
              </w:rPr>
              <w:t>ARTICLE XIV MISCELLANEOUS PROVISIONS</w:t>
            </w:r>
          </w:p>
        </w:tc>
        <w:tc>
          <w:tcPr>
            <w:tcW w:w="34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14.1</w:t>
            </w:r>
          </w:p>
        </w:tc>
        <w:tc>
          <w:tcPr>
            <w:tcW w:w="6440" w:type="dxa"/>
            <w:vAlign w:val="bottom"/>
            <w:shd w:val="clear" w:color="auto" w:fill="FEFEFE"/>
          </w:tcPr>
          <w:p>
            <w:pPr>
              <w:ind w:left="36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34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14.2</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Actions by Successor.</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14.3</w:t>
            </w:r>
          </w:p>
        </w:tc>
        <w:tc>
          <w:tcPr>
            <w:tcW w:w="6440" w:type="dxa"/>
            <w:vAlign w:val="bottom"/>
            <w:shd w:val="clear" w:color="auto" w:fill="FEFEFE"/>
          </w:tcPr>
          <w:p>
            <w:pPr>
              <w:ind w:left="36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34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14.4</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Notices.</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14.5</w:t>
            </w:r>
          </w:p>
        </w:tc>
        <w:tc>
          <w:tcPr>
            <w:tcW w:w="6440" w:type="dxa"/>
            <w:vAlign w:val="bottom"/>
            <w:shd w:val="clear" w:color="auto" w:fill="FEFEFE"/>
          </w:tcPr>
          <w:p>
            <w:pPr>
              <w:ind w:left="360"/>
              <w:spacing w:after="0"/>
              <w:rPr>
                <w:sz w:val="20"/>
                <w:szCs w:val="20"/>
                <w:color w:val="auto"/>
              </w:rPr>
            </w:pPr>
            <w:r>
              <w:rPr>
                <w:rFonts w:ascii="Times New Roman" w:cs="Times New Roman" w:eastAsia="Times New Roman" w:hAnsi="Times New Roman"/>
                <w:sz w:val="18"/>
                <w:szCs w:val="18"/>
                <w:color w:val="auto"/>
              </w:rPr>
              <w:t>Governing Law/Waiver of Jury Trial.</w:t>
            </w:r>
          </w:p>
        </w:tc>
        <w:tc>
          <w:tcPr>
            <w:tcW w:w="34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14.6</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14.7</w:t>
            </w:r>
          </w:p>
        </w:tc>
        <w:tc>
          <w:tcPr>
            <w:tcW w:w="6440" w:type="dxa"/>
            <w:vAlign w:val="bottom"/>
            <w:shd w:val="clear" w:color="auto" w:fill="FEFEFE"/>
          </w:tcPr>
          <w:p>
            <w:pPr>
              <w:ind w:left="36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34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14.8</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14.9</w:t>
            </w:r>
          </w:p>
        </w:tc>
        <w:tc>
          <w:tcPr>
            <w:tcW w:w="6440" w:type="dxa"/>
            <w:vAlign w:val="bottom"/>
            <w:shd w:val="clear" w:color="auto" w:fill="FEFEFE"/>
          </w:tcPr>
          <w:p>
            <w:pPr>
              <w:ind w:left="36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34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14.10</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Counterparts.</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14.11</w:t>
            </w:r>
          </w:p>
        </w:tc>
        <w:tc>
          <w:tcPr>
            <w:tcW w:w="6440" w:type="dxa"/>
            <w:vAlign w:val="bottom"/>
            <w:shd w:val="clear" w:color="auto" w:fill="FEFEFE"/>
          </w:tcPr>
          <w:p>
            <w:pPr>
              <w:ind w:left="360"/>
              <w:spacing w:after="0"/>
              <w:rPr>
                <w:sz w:val="20"/>
                <w:szCs w:val="20"/>
                <w:color w:val="auto"/>
              </w:rPr>
            </w:pPr>
            <w:r>
              <w:rPr>
                <w:rFonts w:ascii="Times New Roman" w:cs="Times New Roman" w:eastAsia="Times New Roman" w:hAnsi="Times New Roman"/>
                <w:sz w:val="18"/>
                <w:szCs w:val="18"/>
                <w:color w:val="auto"/>
              </w:rPr>
              <w:t>Severability.</w:t>
            </w:r>
          </w:p>
        </w:tc>
        <w:tc>
          <w:tcPr>
            <w:tcW w:w="34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14.12</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Compliance Certificates.</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14.13</w:t>
            </w:r>
          </w:p>
        </w:tc>
        <w:tc>
          <w:tcPr>
            <w:tcW w:w="6440" w:type="dxa"/>
            <w:vAlign w:val="bottom"/>
            <w:shd w:val="clear" w:color="auto" w:fill="FEFEFE"/>
          </w:tcPr>
          <w:p>
            <w:pPr>
              <w:ind w:left="360"/>
              <w:spacing w:after="0"/>
              <w:rPr>
                <w:sz w:val="20"/>
                <w:szCs w:val="20"/>
                <w:color w:val="auto"/>
              </w:rPr>
            </w:pPr>
            <w:r>
              <w:rPr>
                <w:rFonts w:ascii="Times New Roman" w:cs="Times New Roman" w:eastAsia="Times New Roman" w:hAnsi="Times New Roman"/>
                <w:sz w:val="18"/>
                <w:szCs w:val="18"/>
                <w:color w:val="auto"/>
              </w:rPr>
              <w:t>Usa Patriot Act</w:t>
            </w:r>
          </w:p>
        </w:tc>
        <w:tc>
          <w:tcPr>
            <w:tcW w:w="34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14.14</w:t>
            </w: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Consent to Jurisdiction and Service</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Section 14.15</w:t>
            </w:r>
          </w:p>
        </w:tc>
        <w:tc>
          <w:tcPr>
            <w:tcW w:w="6440" w:type="dxa"/>
            <w:vAlign w:val="bottom"/>
            <w:shd w:val="clear" w:color="auto" w:fill="FEFEFE"/>
          </w:tcPr>
          <w:p>
            <w:pPr>
              <w:ind w:left="360"/>
              <w:spacing w:after="0"/>
              <w:rPr>
                <w:sz w:val="20"/>
                <w:szCs w:val="20"/>
                <w:color w:val="auto"/>
              </w:rPr>
            </w:pPr>
            <w:r>
              <w:rPr>
                <w:rFonts w:ascii="Times New Roman" w:cs="Times New Roman" w:eastAsia="Times New Roman" w:hAnsi="Times New Roman"/>
                <w:sz w:val="18"/>
                <w:szCs w:val="18"/>
                <w:color w:val="auto"/>
              </w:rPr>
              <w:t>Force Majeure</w:t>
            </w:r>
          </w:p>
        </w:tc>
        <w:tc>
          <w:tcPr>
            <w:tcW w:w="3460" w:type="dxa"/>
            <w:vAlign w:val="bottom"/>
            <w:shd w:val="clear" w:color="auto" w:fill="FEFEFE"/>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INDENTURE, dated as of , 20 , among ARCTURUS THERAPEUTICS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 a national banking association organized under the laws of the United States,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execution and delivery of this Indenture to provide for the issuance of debt securities (hereinafter referred to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in an unlimited aggregate principal amount to be issued from time to time in one or more series as in this Indenture provided, as registered Securities without coupons, to be authenticated by the Trustee;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to provide the terms and conditions upon which the Securities are to be authenticated, issued and delivered, the Company has duly authorized the execution of this Indenture;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all things necessary to make this Indenture a valid agreement of the Company, in accordance with its terms, have been done.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8"/>
          <w:szCs w:val="18"/>
          <w:b w:val="1"/>
          <w:bCs w:val="1"/>
          <w:color w:val="auto"/>
        </w:rPr>
        <w:t>DEFINITIONS OF TERMS.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Board Resolution or indenture supplemental hereto otherwise expressly provided or unless the context otherwise requires) for all purposes of this Indenture and of any Board Resolution or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(except as herein or any Board Resolution or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Authenticating Agent</w:t>
      </w:r>
      <w:r>
        <w:rPr>
          <w:rFonts w:ascii="Times New Roman" w:cs="Times New Roman" w:eastAsia="Times New Roman" w:hAnsi="Times New Roman"/>
          <w:sz w:val="18"/>
          <w:szCs w:val="18"/>
          <w:color w:val="auto"/>
        </w:rPr>
        <w:t>” means an authenticating agent with respect to all or any of the series of Securities appointed by the Trustee pursuant to Section 2.10.</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Officer</w:t>
      </w:r>
      <w:r>
        <w:rPr>
          <w:rFonts w:ascii="Times New Roman" w:cs="Times New Roman" w:eastAsia="Times New Roman" w:hAnsi="Times New Roman"/>
          <w:sz w:val="18"/>
          <w:szCs w:val="18"/>
          <w:color w:val="auto"/>
        </w:rPr>
        <w:t>,” when used with respect to the Company, means the Chairman of the Board of Directors, the Co-Chief Executive Officers, the President, the Chief Operating Officer, the Chief Financial Officer, the Treasurer, any Assistant Treasurer, the Controller, the Secretary or any Executive Vice President or Senior Vice President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of such Board.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one or more resolutions certified by the Secretary or an Assistant Secretary of the Company to have been duly adopted by the Board of Directors, or such committee of the Board of Directors or officers of the Company to which authority to act on behalf of the Board of Directors has been delegated, and to be in full force and effect on the date of such certification, and to be delivered to the Trustee.</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Arcturus Therapeutics Holdings Inc., a corporation duly organized and existing under the laws of the State of Delaware, and, subject to the provisions of Article X, shall also include its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Request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in the name of the Company by one or more Authorized Officers of the Company, and delivered to the Trustee.</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principal office of the Trustee at which, at any particular time, this Indenture shall be administered, which office at the date hereof is located at ; Attention: . With respect to presentation for transfer or exchange, conversions or principal payment, such address shall be ; Attention: , or such other address as the Trustee may designate from time to time by written notice to the Securityholders and the Company, or the principal corporate trust office of any successor Trustee (or such other address as such successor Trustee may designate from time to time by written notice to the Securityholders and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shall have the meaning set forth in Section 12.3.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act or condition that with notice or lapse of time, or both, would constitute an Event of Default.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2.1 or 2.11.</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6.1, continued for the period of time, if any, therein designated.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Security</w:t>
      </w:r>
      <w:r>
        <w:rPr>
          <w:rFonts w:ascii="Times New Roman" w:cs="Times New Roman" w:eastAsia="Times New Roman" w:hAnsi="Times New Roman"/>
          <w:sz w:val="18"/>
          <w:szCs w:val="18"/>
          <w:color w:val="auto"/>
        </w:rPr>
        <w:t>”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Obligations</w:t>
      </w:r>
      <w:r>
        <w:rPr>
          <w:rFonts w:ascii="Times New Roman" w:cs="Times New Roman" w:eastAsia="Times New Roman" w:hAnsi="Times New Roman"/>
          <w:sz w:val="18"/>
          <w:szCs w:val="18"/>
          <w:color w:val="auto"/>
        </w:rPr>
        <w:t>” means securities that are (a) direct obligations of the U.S. for the payment of which its full faith and credit is pledged or (b) obligations of a Person controlled or supervised by and acting as an agency or instrumentality of the U.S., the payment of which is unconditionally guaranteed as a full faith and credit obligation by the U.S. that, in either case, are not callable or redeemable at the option of the issuer thereof, and shall also include a depositary receipt issued by a bank (as defined in Section 3(a)(2) of the Securities Act)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Board Resolutions or one or more indentures supplemental hereto entered into in accordance with the terms hereof.</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Defeasance</w:t>
      </w:r>
      <w:r>
        <w:rPr>
          <w:rFonts w:ascii="Times New Roman" w:cs="Times New Roman" w:eastAsia="Times New Roman" w:hAnsi="Times New Roman"/>
          <w:sz w:val="18"/>
          <w:szCs w:val="18"/>
          <w:color w:val="auto"/>
        </w:rPr>
        <w:t>” shall have the meaning set forth in Section 12.2.</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by an Authorized Officer of the Company that is delivered to the Trustee in accordance with the terms hereof. Each such certificate shall include the statements provided for in Section 14.7, if and to the extent required by the provisions thereof. An Officer’s Certificate given pursuant to Section 14.12 shall be signed by the principal executive, financial or accounting officer of the Company but need not contain the statements provided for in Section 14.7.</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14.7, if and to the extent required by the provisions thereof.</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Securities of any series, means, subject to the provisions of Section 8.4, as of any particular time, all Securities of that series theretofore authenticated and delivered by the Trustee under this Indenture, except (a) Securities theretofore canceled by the Trustee, or delivered to the Trustee or any Paying Agent for cancellation or that have previously been canceled; (b) Securities or portions thereof for the payment or redemption of which cash or Governmental Obligations in the necessary amount shall have been irrevocably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2.7, unless the Trustee and the Company receive proof satisfactory to them that the replaced Security is held by a protected purchaser.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set forth in Section 4.2(a).</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or government or other entity, and includes any syndicate or group that would be deemed to be a “person” under Section 13(d)(3) of the Exchange Act.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2.7 in lieu of a lost, destroyed or stolen Security shall be deemed to evidence the same debt as the lost, destroyed or stolen 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when used with respect to any Security to be redeemed, means the date fixed for such redemption by or pursuant to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shall have the meaning set forth in the recitals to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shall be registered on the Security Register in accordance with the terms of this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shall have the meaning set forth in Section 4.2(a).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shall have the meaning set forth in Section 4.2(a).</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 and, subject to the provisions of Article VII,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Officer</w:t>
      </w:r>
      <w:r>
        <w:rPr>
          <w:rFonts w:ascii="Times New Roman" w:cs="Times New Roman" w:eastAsia="Times New Roman" w:hAnsi="Times New Roman"/>
          <w:sz w:val="18"/>
          <w:szCs w:val="18"/>
          <w:color w:val="auto"/>
        </w:rPr>
        <w:t>” means any officer of the Trustee with direct responsibility for the administration of this Indenture and also means, with respect to a particular corporate trust matter hereunder, any other officer of the Trustee to whom such matter is referred because of his or her knowledge of and familiarity with the particular subject.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means the New York Uniform Commercial Code as in effect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shall have the meaning set forth in Section 14.13.</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71"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1.2</w:t>
      </w:r>
      <w:r>
        <w:rPr>
          <w:sz w:val="20"/>
          <w:szCs w:val="20"/>
          <w:color w:val="auto"/>
        </w:rPr>
        <w:tab/>
      </w:r>
      <w:r>
        <w:rPr>
          <w:rFonts w:ascii="Times New Roman" w:cs="Times New Roman" w:eastAsia="Times New Roman" w:hAnsi="Times New Roman"/>
          <w:sz w:val="17"/>
          <w:szCs w:val="17"/>
          <w:b w:val="1"/>
          <w:bCs w:val="1"/>
          <w:color w:val="auto"/>
        </w:rPr>
        <w:t>INCORPORATION BY REFERENCE OF TRUST INDENTURE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Whenever this Indenture refers to a provision of the Trust Indenture Act, the provision is incorporated by reference in and made a part of this Indenture.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Trust Indenture Act terms used in this Indenture that are defined by the Trust Indenture Act, defined by Trust Indenture Act reference to another statute or defined by Commission rule have the meanings assigned to them by such definitions.</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464"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AND EXCHANGE OF SECURITIES</w:t>
      </w:r>
    </w:p>
    <w:p>
      <w:pPr>
        <w:spacing w:after="0" w:line="22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2.1</w:t>
      </w:r>
      <w:r>
        <w:rPr>
          <w:sz w:val="20"/>
          <w:szCs w:val="20"/>
          <w:color w:val="auto"/>
        </w:rPr>
        <w:tab/>
      </w:r>
      <w:r>
        <w:rPr>
          <w:rFonts w:ascii="Times New Roman" w:cs="Times New Roman" w:eastAsia="Times New Roman" w:hAnsi="Times New Roman"/>
          <w:sz w:val="17"/>
          <w:szCs w:val="17"/>
          <w:b w:val="1"/>
          <w:bCs w:val="1"/>
          <w:color w:val="auto"/>
        </w:rPr>
        <w:t>DESIGNATION AND TERMS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80" w:lineRule="exact"/>
        <w:rPr>
          <w:sz w:val="20"/>
          <w:szCs w:val="20"/>
          <w:color w:val="auto"/>
        </w:rPr>
      </w:pPr>
    </w:p>
    <w:p>
      <w:pPr>
        <w:ind w:left="920" w:hanging="264"/>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Securities being offered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 any original issue discount that may apply to the Securities of that series upon their issuance, the principal amount due at maturity, and the place(s) of payment;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 and whether the rate(s) are fixed or variable;</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two thousand U.S. dollars ($2,000) or any integral multiple of one thousand U.S. dollars ($1,000) in excess thereof, the minimum denominations and multiples in excess thereof in which the Securities of the series shall be issuable;</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are issuable as a Global Security and, in such case, the terms and the identity of the Depositary for such series;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0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or exchangeable for shares of common stock or other securities of the Company or any other Person or other securities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0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which shall be payable upon declaration of acceleration of the maturity thereof pursuant to Section 6.1;</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both"/>
        <w:ind w:firstLine="656"/>
        <w:spacing w:after="0" w:line="255" w:lineRule="auto"/>
        <w:tabs>
          <w:tab w:leader="none" w:pos="10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different Events of Default or restrictive covenants (which may but shall not be required to include, among other restrictions, restrictions on the Company’s ability or the ability of the Company’s Subsidiaries to: incur additional indebtedness; issue additional securities; create liens; pay dividends or make distributions in respect of their capital stock; redeem capital stock; in the case of such Subsidiaries, pay dividends, make distributions or transfer assets; make investments or other restricted payments; sell or otherwise dispose of assets; enter into sale leaseback transactions; engage in transactions with stockholders and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188"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coin or currency in which the Securities of the series are denominated (including, but not limited to, foreign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99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 and the terms and conditions, if any, relating to the Company’s ability to redeem such Securities if the Company is required to pay such additional amounts;</w:t>
      </w:r>
    </w:p>
    <w:p>
      <w:pPr>
        <w:spacing w:after="0" w:line="17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Securities of the series;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0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relating to any auction or remarketing of the Securities of the series and any security for the obligations of the Company with respect to such Securities;</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secured or unsecured, and if the Securities are secured, the terms of the secured Securities;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guarantors and the terms of the guarantees;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with respect to the series (which terms shall not be inconsistent with the terms of this Indenture, as amended by any Board Resolution or supplemental indenture, but which may modify or delete any provisions of this Indenture insofar as it applies to such series), including any terms which may be required by or advisable under the laws of the U.S. or regulations thereunder or advisable (as determined by the Company) in connection with the marketing of Securities of that series.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A series may be reopened for issuances of additional Securities of such series or to establish additional terms of such Securities.</w:t>
      </w:r>
    </w:p>
    <w:p>
      <w:pPr>
        <w:spacing w:after="0" w:line="176"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7"/>
          <w:szCs w:val="17"/>
          <w:b w:val="1"/>
          <w:bCs w:val="1"/>
          <w:color w:val="auto"/>
        </w:rPr>
        <w:t>FORM OF SECURITIES AND TRUSTEE’S CERTIFICATE.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3"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2.3</w:t>
      </w:r>
      <w:r>
        <w:rPr>
          <w:sz w:val="20"/>
          <w:szCs w:val="20"/>
          <w:color w:val="auto"/>
        </w:rPr>
        <w:tab/>
      </w:r>
      <w:r>
        <w:rPr>
          <w:rFonts w:ascii="Times New Roman" w:cs="Times New Roman" w:eastAsia="Times New Roman" w:hAnsi="Times New Roman"/>
          <w:sz w:val="17"/>
          <w:szCs w:val="17"/>
          <w:b w:val="1"/>
          <w:bCs w:val="1"/>
          <w:color w:val="auto"/>
        </w:rPr>
        <w:t>DENOMINATIONS; PROVISIONS FOR PAYMENT.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minimum denomination of two thousand U.S. dollars ($2,000) or any integral multiple of one thousand U.S. dollars ($1,000) in excess thereof, subject to Section 2.1(11). The Securities of a particular series shall bear interest payable on the dates and at the rate specified with respect to that series. The principal of and the interest on the Securities of any series, as well as any premium thereon, shall be payable in the coin or currency of the U.S. that at the time is legal tender for public and private debt, at the office or agency of the Company maintained for that purpose in the United States, which shall initially be an office or agency of the Trustee. Each Security shall be dated the date of its authentication. Interest on the Securities shall be computed on the basis of a 360-day year composed of twelve 30-day months. Presentment and surrender of the Securities is required for final payment thereon.</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w:t>
      </w:r>
      <w:r>
        <w:rPr>
          <w:rFonts w:ascii="Times New Roman" w:cs="Times New Roman" w:eastAsia="Times New Roman" w:hAnsi="Times New Roman"/>
          <w:sz w:val="18"/>
          <w:szCs w:val="18"/>
          <w:b w:val="1"/>
          <w:bCs w:val="1"/>
          <w:color w:val="auto"/>
        </w:rPr>
        <w:t>Defaulted Interest</w:t>
      </w:r>
      <w:r>
        <w:rPr>
          <w:rFonts w:ascii="Times New Roman" w:cs="Times New Roman" w:eastAsia="Times New Roman" w:hAnsi="Times New Roman"/>
          <w:sz w:val="18"/>
          <w:szCs w:val="18"/>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jc w:val="both"/>
        <w:ind w:firstLine="656"/>
        <w:spacing w:after="0" w:line="252" w:lineRule="auto"/>
        <w:tabs>
          <w:tab w:leader="none" w:pos="9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(or, in the case of Securities held in book-entry form, by electronic transmission),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97" w:lineRule="exact"/>
        <w:rPr>
          <w:rFonts w:ascii="Times New Roman" w:cs="Times New Roman" w:eastAsia="Times New Roman" w:hAnsi="Times New Roman"/>
          <w:sz w:val="18"/>
          <w:szCs w:val="18"/>
          <w:color w:val="auto"/>
        </w:rPr>
      </w:pPr>
    </w:p>
    <w:p>
      <w:pPr>
        <w:jc w:val="both"/>
        <w:ind w:firstLine="656"/>
        <w:spacing w:after="0" w:line="266" w:lineRule="auto"/>
        <w:tabs>
          <w:tab w:leader="none" w:pos="9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2.1 hereof, the term “</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as used in this Section with respect to a series of Securities and any Interest Payment Date for such series shall mean either the fifteenth day of the month immediately preceding the month in which an Interest Payment Date established for such series pursuant to Section 2.1 hereof shall occur, if such Interest Payment Date is the first day of a month, or the last day of the month immediately preceding the month in which an Interest Payment Date established for such series pursuant to Section 2.1 hereof shall occur, if such Interest Payment Date is the fifteenth day of a month, whether or not such date is a Business Day.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and Sections 2.5 and 2.11,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72"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2.4</w:t>
      </w:r>
      <w:r>
        <w:rPr>
          <w:sz w:val="20"/>
          <w:szCs w:val="20"/>
          <w:color w:val="auto"/>
        </w:rPr>
        <w:tab/>
      </w:r>
      <w:r>
        <w:rPr>
          <w:rFonts w:ascii="Times New Roman" w:cs="Times New Roman" w:eastAsia="Times New Roman" w:hAnsi="Times New Roman"/>
          <w:sz w:val="17"/>
          <w:szCs w:val="17"/>
          <w:b w:val="1"/>
          <w:bCs w:val="1"/>
          <w:color w:val="auto"/>
        </w:rPr>
        <w:t>EXECUTION AND AUTHENTICATION.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Securities shall be signed on behalf of the Company by an Authorized Officer and, to the extent necessary, under its corporate seal. Signatures may be in the form of a manual or facsimile signature.</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Authorized Officer thereof, notwithstanding the fact that at the time the Securities shall be authenticated and delivered or disposed of such Person shall have ceased to be such an officer of the Company. To the extent a Company seal is necessary, the Company seal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 by the Trustee.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Authorized Officer, and the Trustee in accordance with such Company Order shall authenticate and deliver such Securities.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receive, and (subject to Section 7.1) shall be fully protected in conclusively relying upon, an Opinion of Counsel stating that the form and terms thereof have been established in conformity with the provisions of this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5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2.5</w:t>
      </w:r>
      <w:r>
        <w:rPr>
          <w:sz w:val="20"/>
          <w:szCs w:val="20"/>
          <w:color w:val="auto"/>
        </w:rPr>
        <w:tab/>
      </w:r>
      <w:r>
        <w:rPr>
          <w:rFonts w:ascii="Times New Roman" w:cs="Times New Roman" w:eastAsia="Times New Roman" w:hAnsi="Times New Roman"/>
          <w:sz w:val="17"/>
          <w:szCs w:val="17"/>
          <w:b w:val="1"/>
          <w:bCs w:val="1"/>
          <w:color w:val="auto"/>
        </w:rPr>
        <w:t>REGISTRATION OF TRANSFER AND EXCHANGE.</w:t>
      </w:r>
    </w:p>
    <w:p>
      <w:pPr>
        <w:spacing w:after="0" w:line="229" w:lineRule="exact"/>
        <w:rPr>
          <w:sz w:val="20"/>
          <w:szCs w:val="20"/>
          <w:color w:val="auto"/>
        </w:rPr>
      </w:pPr>
    </w:p>
    <w:p>
      <w:pPr>
        <w:jc w:val="both"/>
        <w:ind w:firstLine="656"/>
        <w:spacing w:after="0" w:line="258" w:lineRule="auto"/>
        <w:tabs>
          <w:tab w:leader="none" w:pos="8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of the Security Registrar,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for transfer of any Security at the office of the Security Registrar, the Company shall execute, the Trustee shall authenticate and the Security Registrar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jc w:val="both"/>
        <w:ind w:firstLine="656"/>
        <w:spacing w:after="0" w:line="258" w:lineRule="auto"/>
        <w:tabs>
          <w:tab w:leader="none" w:pos="9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pursuant to Section 2.1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repurchase or redemption of any series, but the Company and the Trustee may require payment of a sum sufficient to cover any tax or other governmental charge in relation thereto, other than exchanges pursuant to Section 2.6, Section 3.3(b) and Section 9.4 not involving any transfer.</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 thereof called for redemption, other than the unredeemed portion of any such Securities being redeemed in part.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Successive registrations and registrations of transfers and exchanges as aforesaid may be made from time to time as desired, and each such registration shall be noted on the register for the Securities.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Registrar shall provide to the Trustee such information as the Trustee may reasonably require in connection with the delivery by such Security Registrar of Securities upon transfer or exchange of Securities.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2.5 are, with respect to any Global Security, subject to Section 2.11 hereof.</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agent shall have any responsibility or liability for any actions taken or not taken by the Depositary.</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7"/>
          <w:szCs w:val="17"/>
          <w:b w:val="1"/>
          <w:bCs w:val="1"/>
          <w:color w:val="auto"/>
        </w:rPr>
        <w:t>TEMPORARY SECURITIES.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of the Security Registrar, and the Trustee shall authenticate and the Security Registrar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8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2.7</w:t>
      </w:r>
      <w:r>
        <w:rPr>
          <w:sz w:val="20"/>
          <w:szCs w:val="20"/>
          <w:color w:val="auto"/>
        </w:rPr>
        <w:tab/>
      </w:r>
      <w:r>
        <w:rPr>
          <w:rFonts w:ascii="Times New Roman" w:cs="Times New Roman" w:eastAsia="Times New Roman" w:hAnsi="Times New Roman"/>
          <w:sz w:val="17"/>
          <w:szCs w:val="17"/>
          <w:b w:val="1"/>
          <w:bCs w:val="1"/>
          <w:color w:val="auto"/>
        </w:rPr>
        <w:t>MUTILATED, DESTROYED, LOST OR STOLEN SECURITIES.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a Company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requirements of Section 8-405 of the Uniform Commercial Code shall be met and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delivery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3"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2.8</w:t>
      </w:r>
      <w:r>
        <w:rPr>
          <w:sz w:val="20"/>
          <w:szCs w:val="20"/>
          <w:color w:val="auto"/>
        </w:rPr>
        <w:tab/>
      </w:r>
      <w:r>
        <w:rPr>
          <w:rFonts w:ascii="Times New Roman" w:cs="Times New Roman" w:eastAsia="Times New Roman" w:hAnsi="Times New Roman"/>
          <w:sz w:val="17"/>
          <w:szCs w:val="17"/>
          <w:b w:val="1"/>
          <w:bCs w:val="1"/>
          <w:color w:val="auto"/>
        </w:rPr>
        <w:t>CANCELLATION.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the delivery of a Company Order at the time of such surrender, the Trustee shall cancel Securities held by the Trustee in accordance with its standard procedures and applicable law and provide confirmation to the Company of such cancellation if requested by the Company. In the absence of such request, the Trustee may dispose of canceled Securities in accordance with its standard procedures and deliver evidence of cancellation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2.9</w:t>
      </w:r>
      <w:r>
        <w:rPr>
          <w:sz w:val="20"/>
          <w:szCs w:val="20"/>
          <w:color w:val="auto"/>
        </w:rPr>
        <w:tab/>
      </w:r>
      <w:r>
        <w:rPr>
          <w:rFonts w:ascii="Times New Roman" w:cs="Times New Roman" w:eastAsia="Times New Roman" w:hAnsi="Times New Roman"/>
          <w:sz w:val="18"/>
          <w:szCs w:val="18"/>
          <w:b w:val="1"/>
          <w:bCs w:val="1"/>
          <w:color w:val="auto"/>
        </w:rPr>
        <w:t>BENEFITS OF INDENTURE.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72"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2.10</w:t>
      </w:r>
      <w:r>
        <w:rPr>
          <w:sz w:val="20"/>
          <w:szCs w:val="20"/>
          <w:color w:val="auto"/>
        </w:rPr>
        <w:tab/>
      </w:r>
      <w:r>
        <w:rPr>
          <w:rFonts w:ascii="Times New Roman" w:cs="Times New Roman" w:eastAsia="Times New Roman" w:hAnsi="Times New Roman"/>
          <w:sz w:val="17"/>
          <w:szCs w:val="17"/>
          <w:b w:val="1"/>
          <w:bCs w:val="1"/>
          <w:color w:val="auto"/>
        </w:rPr>
        <w:t>AUTHENTICATING AGENT.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a Company Request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79"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2.11</w:t>
      </w:r>
      <w:r>
        <w:rPr>
          <w:sz w:val="20"/>
          <w:szCs w:val="20"/>
          <w:color w:val="auto"/>
        </w:rPr>
        <w:tab/>
      </w: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jc w:val="both"/>
        <w:ind w:firstLine="656"/>
        <w:spacing w:after="0" w:line="256" w:lineRule="auto"/>
        <w:tabs>
          <w:tab w:leader="none" w:pos="9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2.1 that the Securities of a particular series are to be issued as a Global Security, then the Company shall execute and the Trustee shall, in accordance with Section 2.4,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this Indenture, this Security may be transferred, in whole but not in part, only to another nominee of the Depositary or to a successor Depositary or to a nominee of such successor Depositary.”</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2.5, the Global Security of a series may be transferred, in whole but not in part and in the manner provided in Section 2.5, only to another nominee of the Depositary for such series, or to a successor Depositary for such series selected or approved by the Company or to a nominee of such successor Depositary. Nothing in this Section 2.11(b) shall prohibit or render ineffective any transfer of a beneficial interest in a Global Security effected in accordance with the other provisions of this Indenture.</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8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this Section 2.11 shall no longer be applicable to the Securities of such series and the Company will execute, and subject to Section 2.4,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Persons in whose names such Securities are so registered.</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2.12</w:t>
      </w:r>
      <w:r>
        <w:rPr>
          <w:sz w:val="20"/>
          <w:szCs w:val="20"/>
          <w:color w:val="auto"/>
        </w:rPr>
        <w:tab/>
      </w:r>
      <w:r>
        <w:rPr>
          <w:rFonts w:ascii="Times New Roman" w:cs="Times New Roman" w:eastAsia="Times New Roman" w:hAnsi="Times New Roman"/>
          <w:sz w:val="17"/>
          <w:szCs w:val="17"/>
          <w:b w:val="1"/>
          <w:bCs w:val="1"/>
          <w:color w:val="auto"/>
        </w:rPr>
        <w:t>CUSIP AND ISIN NUMBERS.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 issuing the Securities, shall use CUSIP and ISIN numbers for such Securities (if then generally in use). The Trustee shall use CUSIP and ISIN numbers in notices of redemption as a convenience to holders; provided, however, that neither the Company nor the Trustee shall have any responsibility for any defect in the CUSIP or ISIN number that appears on any Security, check, advice of payment or redemption notice, and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shall promptly notify the Trustee in writing in the event of any change in the CUSIP or ISIN numbers.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3.1</w:t>
      </w:r>
      <w:r>
        <w:rPr>
          <w:sz w:val="20"/>
          <w:szCs w:val="20"/>
          <w:color w:val="auto"/>
        </w:rPr>
        <w:tab/>
      </w: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2.1 hereof. The provisions of this Article III may be modified, amended or replaced, in part or in their entirety, with Securities of any series, by an Officer’s Certificate pursuant to a Board Resolution or one or more indentures supplemental hereto, in each case in accordance with Section 2.1 hereof.</w:t>
      </w:r>
    </w:p>
    <w:p>
      <w:pPr>
        <w:spacing w:after="0" w:line="176"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3.2</w:t>
      </w:r>
      <w:r>
        <w:rPr>
          <w:sz w:val="20"/>
          <w:szCs w:val="20"/>
          <w:color w:val="auto"/>
        </w:rPr>
        <w:tab/>
      </w:r>
      <w:r>
        <w:rPr>
          <w:rFonts w:ascii="Times New Roman" w:cs="Times New Roman" w:eastAsia="Times New Roman" w:hAnsi="Times New Roman"/>
          <w:sz w:val="18"/>
          <w:szCs w:val="18"/>
          <w:b w:val="1"/>
          <w:bCs w:val="1"/>
          <w:color w:val="auto"/>
        </w:rPr>
        <w:t>NOTICE OF REDEMPTION.</w:t>
      </w:r>
    </w:p>
    <w:p>
      <w:pPr>
        <w:spacing w:after="0" w:line="229" w:lineRule="exact"/>
        <w:rPr>
          <w:sz w:val="20"/>
          <w:szCs w:val="20"/>
          <w:color w:val="auto"/>
        </w:rPr>
      </w:pPr>
    </w:p>
    <w:p>
      <w:pPr>
        <w:jc w:val="both"/>
        <w:ind w:firstLine="656"/>
        <w:spacing w:after="0" w:line="253" w:lineRule="auto"/>
        <w:tabs>
          <w:tab w:leader="none" w:pos="91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2.1 hereof, the Company shall, or shall cause the Trustee to, give notice of such redemption to holders of the Securities of such series to be redeemed by mailing, first class postage prepaid (or, in the case of Securities held in book-entry form, by electronic transmission), a notice of such redemption not less than 30 days and not more than 60 days (except in accordance with Articles XI and XII)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Paying Agent or as otherwise established in a Board Resolution or an indenture supplemental hereto,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jc w:val="both"/>
        <w:ind w:firstLine="656"/>
        <w:spacing w:after="0" w:line="253" w:lineRule="auto"/>
        <w:tabs>
          <w:tab w:leader="none" w:pos="9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(i) if the Securities are in the form of Global Securities, in accordance with the procedures of the Depositary, or (ii) if the Securities are not in the form of Global Securities, by lot, a portion or portions (equal to one thousand U.S. dollars ($1,000) or any integral multiple thereof) of the principal amount of such Securities of a denomination larger than $2,000, the Securities to be redeemed and shall thereafter promptly notify the Company in writing of the numbers of the Securities to be redeemed, in whole or in part. The Company may, if and whenever it shall so elect, by delivery of instructions signed on its behalf by an Authorized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3.3</w:t>
      </w:r>
      <w:r>
        <w:rPr>
          <w:sz w:val="20"/>
          <w:szCs w:val="20"/>
          <w:color w:val="auto"/>
        </w:rPr>
        <w:tab/>
      </w:r>
      <w:r>
        <w:rPr>
          <w:rFonts w:ascii="Times New Roman" w:cs="Times New Roman" w:eastAsia="Times New Roman" w:hAnsi="Times New Roman"/>
          <w:sz w:val="17"/>
          <w:szCs w:val="17"/>
          <w:b w:val="1"/>
          <w:bCs w:val="1"/>
          <w:color w:val="auto"/>
        </w:rPr>
        <w:t>PAYMENT UPON REDEMPTION.</w:t>
      </w:r>
    </w:p>
    <w:p>
      <w:pPr>
        <w:spacing w:after="0" w:line="229" w:lineRule="exact"/>
        <w:rPr>
          <w:sz w:val="20"/>
          <w:szCs w:val="20"/>
          <w:color w:val="auto"/>
        </w:rPr>
      </w:pPr>
    </w:p>
    <w:p>
      <w:pPr>
        <w:jc w:val="both"/>
        <w:ind w:firstLine="656"/>
        <w:spacing w:after="0" w:line="254" w:lineRule="auto"/>
        <w:tabs>
          <w:tab w:leader="none" w:pos="9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2.3).</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72"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3.4</w:t>
      </w:r>
      <w:r>
        <w:rPr>
          <w:sz w:val="20"/>
          <w:szCs w:val="20"/>
          <w:color w:val="auto"/>
        </w:rPr>
        <w:tab/>
      </w:r>
      <w:r>
        <w:rPr>
          <w:rFonts w:ascii="Times New Roman" w:cs="Times New Roman" w:eastAsia="Times New Roman" w:hAnsi="Times New Roman"/>
          <w:sz w:val="18"/>
          <w:szCs w:val="18"/>
          <w:b w:val="1"/>
          <w:bCs w:val="1"/>
          <w:color w:val="auto"/>
        </w:rPr>
        <w:t>SINKING FUND.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Securities of a series provide for a sinking fund as contemplated by Section 2.1, the provisions of this Section 3.4 and Sections 3.5 and 3.6 shall be applicable to any sinking fund for the retirement of Securities of a series, except as otherwise specified as contemplated by Section 2.1 for Securities of such series.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w:t>
      </w:r>
      <w:r>
        <w:rPr>
          <w:rFonts w:ascii="Times New Roman" w:cs="Times New Roman" w:eastAsia="Times New Roman" w:hAnsi="Times New Roman"/>
          <w:sz w:val="18"/>
          <w:szCs w:val="18"/>
          <w:b w:val="1"/>
          <w:bCs w:val="1"/>
          <w:color w:val="auto"/>
        </w:rPr>
        <w:t>mandatory sinking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 payment</w:t>
      </w:r>
      <w:r>
        <w:rPr>
          <w:rFonts w:ascii="Times New Roman" w:cs="Times New Roman" w:eastAsia="Times New Roman" w:hAnsi="Times New Roman"/>
          <w:sz w:val="18"/>
          <w:szCs w:val="18"/>
          <w:color w:val="auto"/>
        </w:rPr>
        <w:t>,” and any payment in excess of such minimum amount provided for by the terms of Securities of any series is herein referred to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 reduction as provided in Section 3.5. Each sinking fund payment shall be applied to the redemption of Securities of any series as provided for by the terms of Securities of such series.</w:t>
      </w:r>
    </w:p>
    <w:p>
      <w:pPr>
        <w:spacing w:after="0" w:line="179"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3.5</w:t>
      </w:r>
      <w:r>
        <w:rPr>
          <w:sz w:val="20"/>
          <w:szCs w:val="20"/>
          <w:color w:val="auto"/>
        </w:rPr>
        <w:tab/>
      </w:r>
      <w:r>
        <w:rPr>
          <w:rFonts w:ascii="Times New Roman" w:cs="Times New Roman" w:eastAsia="Times New Roman" w:hAnsi="Times New Roman"/>
          <w:sz w:val="17"/>
          <w:szCs w:val="17"/>
          <w:b w:val="1"/>
          <w:bCs w:val="1"/>
          <w:color w:val="auto"/>
        </w:rPr>
        <w:t>SATISFACTION OF SINKING FUND PAYMENTS WITH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3.6</w:t>
      </w:r>
      <w:r>
        <w:rPr>
          <w:sz w:val="20"/>
          <w:szCs w:val="20"/>
          <w:color w:val="auto"/>
        </w:rPr>
        <w:tab/>
      </w:r>
      <w:r>
        <w:rPr>
          <w:rFonts w:ascii="Times New Roman" w:cs="Times New Roman" w:eastAsia="Times New Roman" w:hAnsi="Times New Roman"/>
          <w:sz w:val="18"/>
          <w:szCs w:val="18"/>
          <w:b w:val="1"/>
          <w:bCs w:val="1"/>
          <w:color w:val="auto"/>
        </w:rPr>
        <w:t>REDEMPTION OF SECURITIES FOR SINKING FUND.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3.2. Such notice having been duly given, the redemption of such Securities shall be made upon the terms and in the manner stated in Section 3.3.</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4.1</w:t>
      </w:r>
      <w:r>
        <w:rPr>
          <w:sz w:val="20"/>
          <w:szCs w:val="20"/>
          <w:color w:val="auto"/>
        </w:rPr>
        <w:tab/>
      </w:r>
      <w:r>
        <w:rPr>
          <w:rFonts w:ascii="Times New Roman" w:cs="Times New Roman" w:eastAsia="Times New Roman" w:hAnsi="Times New Roman"/>
          <w:sz w:val="17"/>
          <w:szCs w:val="17"/>
          <w:b w:val="1"/>
          <w:bCs w:val="1"/>
          <w:color w:val="auto"/>
        </w:rPr>
        <w:t>PAYMENT OF PRINCIPAL, PREMIUM AND INTEREST.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(such a wire transfer to be made only to a Securityholder of an aggregate principal amount of Securities of the applicable series in excess of U.S. $2,000,000 and only if such Securityholder shall have furnished wire instructions in writing to the Security Registrar and the Trustee no later than 15 days prior to the relevant payment date).</w:t>
      </w:r>
    </w:p>
    <w:p>
      <w:pPr>
        <w:spacing w:after="0" w:line="190"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4.2</w:t>
      </w:r>
      <w:r>
        <w:rPr>
          <w:sz w:val="20"/>
          <w:szCs w:val="20"/>
          <w:color w:val="auto"/>
        </w:rPr>
        <w:tab/>
      </w:r>
      <w:r>
        <w:rPr>
          <w:rFonts w:ascii="Times New Roman" w:cs="Times New Roman" w:eastAsia="Times New Roman" w:hAnsi="Times New Roman"/>
          <w:sz w:val="17"/>
          <w:szCs w:val="17"/>
          <w:b w:val="1"/>
          <w:bCs w:val="1"/>
          <w:color w:val="auto"/>
        </w:rPr>
        <w:t>PAYING AGENT AND SECURITY REGISTRAR.</w:t>
      </w:r>
    </w:p>
    <w:p>
      <w:pPr>
        <w:spacing w:after="0" w:line="229" w:lineRule="exact"/>
        <w:rPr>
          <w:sz w:val="20"/>
          <w:szCs w:val="20"/>
          <w:color w:val="auto"/>
        </w:rPr>
      </w:pPr>
    </w:p>
    <w:p>
      <w:pPr>
        <w:jc w:val="both"/>
        <w:ind w:firstLine="656"/>
        <w:spacing w:after="0" w:line="255" w:lineRule="auto"/>
        <w:tabs>
          <w:tab w:leader="none" w:pos="8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series of the Securities remain Outstanding, the Company shall maintain an office or agency where Securities may be presented for registration of transfer or for exchange (“</w:t>
      </w:r>
      <w:r>
        <w:rPr>
          <w:rFonts w:ascii="Times New Roman" w:cs="Times New Roman" w:eastAsia="Times New Roman" w:hAnsi="Times New Roman"/>
          <w:sz w:val="18"/>
          <w:szCs w:val="18"/>
          <w:b w:val="1"/>
          <w:bCs w:val="1"/>
          <w:color w:val="auto"/>
        </w:rPr>
        <w:t>Security Registrar</w:t>
      </w:r>
      <w:r>
        <w:rPr>
          <w:rFonts w:ascii="Times New Roman" w:cs="Times New Roman" w:eastAsia="Times New Roman" w:hAnsi="Times New Roman"/>
          <w:sz w:val="18"/>
          <w:szCs w:val="18"/>
          <w:color w:val="auto"/>
        </w:rPr>
        <w:t>”), an office or agency where Securities may be presented for payment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an office or agency where notices to or upon the Company in respect of the Securities and this Indenture may be served. The Security Registrar shall keep a register for the recordation of, and shall record, the names and addresses of holders of the Securities, the Securities held by each holder and the transfer and exchange of Securities (the “</w:t>
      </w:r>
      <w:r>
        <w:rPr>
          <w:rFonts w:ascii="Times New Roman" w:cs="Times New Roman" w:eastAsia="Times New Roman" w:hAnsi="Times New Roman"/>
          <w:sz w:val="18"/>
          <w:szCs w:val="18"/>
          <w:b w:val="1"/>
          <w:bCs w:val="1"/>
          <w:color w:val="auto"/>
        </w:rPr>
        <w:t>Security Register</w:t>
      </w:r>
      <w:r>
        <w:rPr>
          <w:rFonts w:ascii="Times New Roman" w:cs="Times New Roman" w:eastAsia="Times New Roman" w:hAnsi="Times New Roman"/>
          <w:sz w:val="18"/>
          <w:szCs w:val="18"/>
          <w:color w:val="auto"/>
        </w:rPr>
        <w:t>”). The entries in the Security Register shall be conclusive, and the parties may treat each Person whose name is recorded in the Security Register pursuant to the terms hereof as a holder hereunder for all purposes of this Indenture. The Company may have one or more co-Security Registrars and one or more additional Paying Agents.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hereby initially designates the Trustee as Paying Agent and Security Registrar, and the Corporate Trust Office shall be considered as one such office or agency of the Company for each of the aforesaid purposes, such designation to continue with respect to such office or agency until the Company shall, by written notice signed by an Authorized Officer and delivered to the Trustee, designate some other office or agency for such purposes or any of them.</w:t>
      </w:r>
    </w:p>
    <w:p>
      <w:pPr>
        <w:spacing w:after="0" w:line="180" w:lineRule="exact"/>
        <w:rPr>
          <w:sz w:val="20"/>
          <w:szCs w:val="20"/>
          <w:color w:val="auto"/>
        </w:rPr>
      </w:pPr>
    </w:p>
    <w:p>
      <w:pPr>
        <w:jc w:val="both"/>
        <w:ind w:firstLine="656"/>
        <w:spacing w:after="0" w:line="258" w:lineRule="auto"/>
        <w:tabs>
          <w:tab w:leader="none" w:pos="91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enter into an appropriate agency agreement with any Security Registrar, Paying Agent, or co-registrar not a party to this Indenture, which shall incorporate the terms of the Trust Indenture Act. The agreement shall implement the provisions of this Indenture that relate to such agent. The Company shall notify the Trustee in writing of the name and address of any such agent. If the Company fails to maintain a Security Registrar or Paying Agent, the Trustee shall act as such and shall be entitled to appropriate compensation therefor. The Company and any of its Subsidiaries may act as Paying Agent, Security Registrar or co-registrar.</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both"/>
        <w:ind w:firstLine="656"/>
        <w:spacing w:after="0" w:line="258" w:lineRule="auto"/>
        <w:tabs>
          <w:tab w:leader="none" w:pos="9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79"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4.3</w:t>
      </w:r>
      <w:r>
        <w:rPr>
          <w:sz w:val="20"/>
          <w:szCs w:val="20"/>
          <w:color w:val="auto"/>
        </w:rPr>
        <w:tab/>
      </w:r>
      <w:r>
        <w:rPr>
          <w:rFonts w:ascii="Times New Roman" w:cs="Times New Roman" w:eastAsia="Times New Roman" w:hAnsi="Times New Roman"/>
          <w:sz w:val="17"/>
          <w:szCs w:val="17"/>
          <w:b w:val="1"/>
          <w:bCs w:val="1"/>
          <w:color w:val="auto"/>
        </w:rPr>
        <w:t>APPOINTMENT TO FILL VACANCY IN OFFICE OF TRUSTEE.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5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4.4</w:t>
      </w:r>
      <w:r>
        <w:rPr>
          <w:sz w:val="20"/>
          <w:szCs w:val="20"/>
          <w:color w:val="auto"/>
        </w:rPr>
        <w:tab/>
      </w:r>
      <w:r>
        <w:rPr>
          <w:rFonts w:ascii="Times New Roman" w:cs="Times New Roman" w:eastAsia="Times New Roman" w:hAnsi="Times New Roman"/>
          <w:sz w:val="17"/>
          <w:szCs w:val="17"/>
          <w:b w:val="1"/>
          <w:bCs w:val="1"/>
          <w:color w:val="auto"/>
        </w:rPr>
        <w:t>COMPLIANCE WITH CONSOLIDATION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X hereof are complied with.</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 AND THE TRUSTEE</w:t>
      </w:r>
    </w:p>
    <w:p>
      <w:pPr>
        <w:spacing w:after="0" w:line="22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5.1</w:t>
      </w:r>
      <w:r>
        <w:rPr>
          <w:sz w:val="20"/>
          <w:szCs w:val="20"/>
          <w:color w:val="auto"/>
        </w:rPr>
        <w:tab/>
      </w:r>
      <w:r>
        <w:rPr>
          <w:rFonts w:ascii="Times New Roman" w:cs="Times New Roman" w:eastAsia="Times New Roman" w:hAnsi="Times New Roman"/>
          <w:sz w:val="17"/>
          <w:szCs w:val="17"/>
          <w:b w:val="1"/>
          <w:bCs w:val="1"/>
          <w:color w:val="auto"/>
        </w:rPr>
        <w:t>COMPANY TO FURNISH TRUSTEE NAMES AND ADDRESSES OF SECURITYHOLDERS.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on each regular record date (as defined in Section 2.3)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3"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5.2</w:t>
      </w:r>
      <w:r>
        <w:rPr>
          <w:sz w:val="20"/>
          <w:szCs w:val="20"/>
          <w:color w:val="auto"/>
        </w:rPr>
        <w:tab/>
      </w:r>
      <w:r>
        <w:rPr>
          <w:rFonts w:ascii="Times New Roman" w:cs="Times New Roman" w:eastAsia="Times New Roman" w:hAnsi="Times New Roman"/>
          <w:sz w:val="17"/>
          <w:szCs w:val="17"/>
          <w:b w:val="1"/>
          <w:bCs w:val="1"/>
          <w:color w:val="auto"/>
        </w:rPr>
        <w:t>PRESERVATION OF INFORMATION; COMMUNICATIONS WITH SECURITYHOLDERS.</w:t>
      </w:r>
    </w:p>
    <w:p>
      <w:pPr>
        <w:spacing w:after="0" w:line="229" w:lineRule="exact"/>
        <w:rPr>
          <w:sz w:val="20"/>
          <w:szCs w:val="20"/>
          <w:color w:val="auto"/>
        </w:rPr>
      </w:pPr>
    </w:p>
    <w:p>
      <w:pPr>
        <w:jc w:val="both"/>
        <w:ind w:firstLine="656"/>
        <w:spacing w:after="0" w:line="258" w:lineRule="auto"/>
        <w:tabs>
          <w:tab w:leader="none" w:pos="8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the Securityholders of each series of Securities and shall otherwise comply with Section 312(a) of the Trust Indenture Act. If the Trustee is not the Security Registrar, the Company shall furnish to the Trustee at least ten (10) days before each interest payment date with respect to any series of Securities and at such other times as the Trustee may request in writing a list, in such form and as of such date as the Trustee may reasonably require, of the names and addresses of the Securityholders of such series of Securities, which list may be conclusively relied upon by the Trustee.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of any series may communicate pursuant to Section 312(b) of the Trust Indenture Act with other Securityholders of that series or any other series with respect to their rights under this Indenture or the Securities of that series or any other series.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Trustee, the Security Registrar and any other Person shall have the protection of Section 312(c) of the Trust Indenture Act.</w:t>
      </w:r>
    </w:p>
    <w:p>
      <w:pPr>
        <w:spacing w:after="0" w:line="221"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5.3</w:t>
      </w:r>
      <w:r>
        <w:rPr>
          <w:sz w:val="20"/>
          <w:szCs w:val="20"/>
          <w:color w:val="auto"/>
        </w:rPr>
        <w:tab/>
      </w:r>
      <w:r>
        <w:rPr>
          <w:rFonts w:ascii="Times New Roman" w:cs="Times New Roman" w:eastAsia="Times New Roman" w:hAnsi="Times New Roman"/>
          <w:sz w:val="17"/>
          <w:szCs w:val="17"/>
          <w:b w:val="1"/>
          <w:bCs w:val="1"/>
          <w:color w:val="auto"/>
        </w:rPr>
        <w:t>REPORTS BY THE COMPANY.</w:t>
      </w:r>
    </w:p>
    <w:p>
      <w:pPr>
        <w:spacing w:after="0" w:line="229" w:lineRule="exact"/>
        <w:rPr>
          <w:sz w:val="20"/>
          <w:szCs w:val="20"/>
          <w:color w:val="auto"/>
        </w:rPr>
      </w:pPr>
    </w:p>
    <w:p>
      <w:pPr>
        <w:jc w:val="both"/>
        <w:ind w:firstLine="656"/>
        <w:spacing w:after="0" w:line="254" w:lineRule="auto"/>
        <w:tabs>
          <w:tab w:leader="none" w:pos="8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Security is Outstanding, the Company shall furnish a copy to the Trustee, within 15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files with the Commission pursuant to Section 13 or Section 15(d) of the Exchange Act; provided, however, the Company shall not be required to deliver to the Trustee any materials for which the Company has sought and received confidential treatment by the Commission; and provided further, so long as such filings by the Company are available on the Commission’s Electronic Data Gathering, Analysis and Retrieval System (EDGAR), such filings shall be deemed to have been furnished to the Trustee for purposes of this Section 5.3 without any further action required by the Company. The Trustee shall have no obligation whatsoever to determine whether or not such filings have been made.</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shall be for informational purposes only and the Trustee’s receipt of such shall not constitute constructive notice of any information contained therein or determinable from information contained therein, including the Company’s compliance with any of the covenants contained in this Indenture (as to which the Trustee is entitled to conclusively rely upon an Officer’s Certificate).</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5.4</w:t>
      </w:r>
      <w:r>
        <w:rPr>
          <w:sz w:val="20"/>
          <w:szCs w:val="20"/>
          <w:color w:val="auto"/>
        </w:rPr>
        <w:tab/>
      </w:r>
      <w:r>
        <w:rPr>
          <w:rFonts w:ascii="Times New Roman" w:cs="Times New Roman" w:eastAsia="Times New Roman" w:hAnsi="Times New Roman"/>
          <w:sz w:val="17"/>
          <w:szCs w:val="17"/>
          <w:b w:val="1"/>
          <w:bCs w:val="1"/>
          <w:color w:val="auto"/>
        </w:rPr>
        <w:t>REPORTS BY THE TRUSTEE.</w:t>
      </w:r>
    </w:p>
    <w:p>
      <w:pPr>
        <w:spacing w:after="0" w:line="229" w:lineRule="exact"/>
        <w:rPr>
          <w:sz w:val="20"/>
          <w:szCs w:val="20"/>
          <w:color w:val="auto"/>
        </w:rPr>
      </w:pPr>
    </w:p>
    <w:p>
      <w:pPr>
        <w:jc w:val="both"/>
        <w:ind w:firstLine="656"/>
        <w:spacing w:after="0" w:line="261" w:lineRule="auto"/>
        <w:tabs>
          <w:tab w:leader="none" w:pos="90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transmit to the Securityholders such reports concerning the Trustee and its actions under this Indenture as may be required pursuant to the Trust Indenture Act at the time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EVENT OF DEFAULT</w:t>
      </w:r>
    </w:p>
    <w:p>
      <w:pPr>
        <w:spacing w:after="0" w:line="22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6.1</w:t>
      </w:r>
      <w:r>
        <w:rPr>
          <w:sz w:val="20"/>
          <w:szCs w:val="20"/>
          <w:color w:val="auto"/>
        </w:rPr>
        <w:tab/>
      </w:r>
      <w:r>
        <w:rPr>
          <w:rFonts w:ascii="Times New Roman" w:cs="Times New Roman" w:eastAsia="Times New Roman" w:hAnsi="Times New Roman"/>
          <w:sz w:val="17"/>
          <w:szCs w:val="17"/>
          <w:b w:val="1"/>
          <w:bCs w:val="1"/>
          <w:color w:val="auto"/>
        </w:rPr>
        <w:t>EVENTS OF DEFAULT.</w:t>
      </w:r>
    </w:p>
    <w:p>
      <w:pPr>
        <w:spacing w:after="0" w:line="229" w:lineRule="exact"/>
        <w:rPr>
          <w:sz w:val="20"/>
          <w:szCs w:val="20"/>
          <w:color w:val="auto"/>
        </w:rPr>
      </w:pPr>
    </w:p>
    <w:p>
      <w:pPr>
        <w:ind w:firstLine="656"/>
        <w:spacing w:after="0" w:line="282" w:lineRule="auto"/>
        <w:tabs>
          <w:tab w:leader="none" w:pos="91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unless otherwise specified in a Board Resolution or in an indenture supplemental hereto,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one or more of the following events that has occurred and is continuing:</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30 days; provided, however, that a valid extension of an interest payment period by the Company in accordance with the terms of any Board Resolution or indenture supplemental hereto shall not constitute a default in the payment of interest for this purpose;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Board Resolution or indenture supplemental hereto shall not constitute a default in the payment of principal or premium, if any;</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9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performance or breach of its covenants or agreements with respect to that series contained in this Indenture or otherwise established with respect to that series of Securities pursuant to Section 2.1 hereof (other than a covenant or agreement that has been expressly included in this Indenture solely for the benefit of one or more series of Securities other than such series) for a period of 90 consecutive days after the date on which written notice of such failure, requiring the same to be remedied and stating that such notice is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Default</w:t>
      </w:r>
      <w:r>
        <w:rPr>
          <w:rFonts w:ascii="Times New Roman" w:cs="Times New Roman" w:eastAsia="Times New Roman" w:hAnsi="Times New Roman"/>
          <w:sz w:val="18"/>
          <w:szCs w:val="18"/>
          <w:color w:val="auto"/>
        </w:rPr>
        <w:t>” hereunder, shall have been given to the Company by the Trustee, by registered or certified mail, or to the Company and the Trustee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at least 25% in principal amount of the Securities of that series at the time Outstanding;</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0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60 consecutive days; or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specified events, as may be provided for in a Board Resolution or in a supplemental indenture.</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jc w:val="both"/>
        <w:ind w:firstLine="656"/>
        <w:spacing w:after="0" w:line="254"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and the Trustee at the request of the holders of not less than 25% in aggregate principal amount of the Securities of that series then outstanding hereunder shall,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7.6, and (ii) any and all Events of Default under this Indenture with respect to such series, other than the nonpayment of principal of (and premium, if any, on) and accrued and unpaid interest on Securities of that series that shall not have become due by their terms, shall have been remedied or waived as provided in Section 6.6.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jc w:val="both"/>
        <w:ind w:firstLine="656"/>
        <w:spacing w:after="0" w:line="258" w:lineRule="auto"/>
        <w:tabs>
          <w:tab w:leader="none" w:pos="9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9"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6.2</w:t>
      </w:r>
      <w:r>
        <w:rPr>
          <w:sz w:val="20"/>
          <w:szCs w:val="20"/>
          <w:color w:val="auto"/>
        </w:rPr>
        <w:tab/>
      </w:r>
      <w:r>
        <w:rPr>
          <w:rFonts w:ascii="Times New Roman" w:cs="Times New Roman" w:eastAsia="Times New Roman" w:hAnsi="Times New Roman"/>
          <w:sz w:val="17"/>
          <w:szCs w:val="17"/>
          <w:b w:val="1"/>
          <w:bCs w:val="1"/>
          <w:color w:val="auto"/>
        </w:rPr>
        <w:t>COLLECTION OF INDEBTEDNESS AND SUITS FOR ENFORCEMENT BY TRUSTEE.</w:t>
      </w:r>
    </w:p>
    <w:p>
      <w:pPr>
        <w:spacing w:after="0" w:line="229" w:lineRule="exact"/>
        <w:rPr>
          <w:sz w:val="20"/>
          <w:szCs w:val="20"/>
          <w:color w:val="auto"/>
        </w:rPr>
      </w:pPr>
    </w:p>
    <w:p>
      <w:pPr>
        <w:jc w:val="both"/>
        <w:ind w:firstLine="656"/>
        <w:spacing w:after="0" w:line="254" w:lineRule="auto"/>
        <w:tabs>
          <w:tab w:leader="none" w:pos="9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 in case it shall default in the payment of any installment of interest on any of the Securities of a series, and such default shall have continued for a period of 30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or in any payment required by any sinking or analogous fund established with respect to that series as and when the same shall have become due and payable,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7.6.</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7.6.</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ind w:firstLine="656"/>
        <w:spacing w:after="0" w:line="261" w:lineRule="auto"/>
        <w:tabs>
          <w:tab w:leader="none" w:pos="9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7.6, be for the ratable benefit of the holders of the Securities of such series.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72"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6.3</w:t>
      </w:r>
      <w:r>
        <w:rPr>
          <w:sz w:val="20"/>
          <w:szCs w:val="20"/>
          <w:color w:val="auto"/>
        </w:rPr>
        <w:tab/>
      </w:r>
      <w:r>
        <w:rPr>
          <w:rFonts w:ascii="Times New Roman" w:cs="Times New Roman" w:eastAsia="Times New Roman" w:hAnsi="Times New Roman"/>
          <w:sz w:val="17"/>
          <w:szCs w:val="17"/>
          <w:b w:val="1"/>
          <w:bCs w:val="1"/>
          <w:color w:val="auto"/>
        </w:rPr>
        <w:t>APPLICATION OF MONEYS COLLECTED.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VI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reasonable costs and expenses of collection and of all amounts payable to the Trustee under Section 7.6;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SECOND: To the payment to holders of Securities of the amounts then due and unpaid upon Securities of such series for principal (and premium, if any), amounts payable upon redemption or repurchase of the Securities,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pursuant to this Section 6.3. At least 15 days before such record date, the Company shall mail to each holder and the Trustee a notice that states the record date, the payment date and the amount to be paid.</w:t>
      </w:r>
    </w:p>
    <w:p>
      <w:pPr>
        <w:spacing w:after="0" w:line="15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6.4</w:t>
      </w:r>
      <w:r>
        <w:rPr>
          <w:sz w:val="20"/>
          <w:szCs w:val="20"/>
          <w:color w:val="auto"/>
        </w:rPr>
        <w:tab/>
      </w:r>
      <w:r>
        <w:rPr>
          <w:rFonts w:ascii="Times New Roman" w:cs="Times New Roman" w:eastAsia="Times New Roman" w:hAnsi="Times New Roman"/>
          <w:sz w:val="17"/>
          <w:szCs w:val="17"/>
          <w:b w:val="1"/>
          <w:bCs w:val="1"/>
          <w:color w:val="auto"/>
        </w:rPr>
        <w:t>LIMITATION ON SUITS.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against the costs, losses, expenses and liabilities to be incurred therein or thereby; (iv) the Trustee for 60 days after its receipt of such notice, request and offer of indemnity, shall have failed to institute any such action, suit or proceeding and (v) during such 60 day period, the holders of a majority in principal amount of the Securities of that series do not give the Trustee a direction inconsistent with the request.</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(it being understood that the Trustee does not have an affirmative duty to ascertain whether or not such actions or forbearances are unduly prejudicial to such holders). For the protection and enforcement of the provisions of this Section, each and every Securityholder and the Trustee shall be entitled to such relief as can be given either at law or in equity.</w:t>
      </w:r>
    </w:p>
    <w:p>
      <w:pPr>
        <w:spacing w:after="0" w:line="18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6.5</w:t>
      </w:r>
      <w:r>
        <w:rPr>
          <w:sz w:val="20"/>
          <w:szCs w:val="20"/>
          <w:color w:val="auto"/>
        </w:rPr>
        <w:tab/>
      </w:r>
      <w:r>
        <w:rPr>
          <w:rFonts w:ascii="Times New Roman" w:cs="Times New Roman" w:eastAsia="Times New Roman" w:hAnsi="Times New Roman"/>
          <w:sz w:val="17"/>
          <w:szCs w:val="17"/>
          <w:b w:val="1"/>
          <w:bCs w:val="1"/>
          <w:color w:val="auto"/>
        </w:rPr>
        <w:t>RIGHTS AND REMEDIES CUMULATIVE; DELAY OR OMISSION NOT WAIVER.</w:t>
      </w:r>
    </w:p>
    <w:p>
      <w:pPr>
        <w:spacing w:after="0" w:line="229" w:lineRule="exact"/>
        <w:rPr>
          <w:sz w:val="20"/>
          <w:szCs w:val="20"/>
          <w:color w:val="auto"/>
        </w:rPr>
      </w:pPr>
    </w:p>
    <w:p>
      <w:pPr>
        <w:jc w:val="both"/>
        <w:ind w:firstLine="656"/>
        <w:spacing w:after="0" w:line="261" w:lineRule="auto"/>
        <w:tabs>
          <w:tab w:leader="none" w:pos="89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2.7, all powers and remedies given by this Article VI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6.4, every power and remedy given by this Article VI or by law to the Trustee or the Securityholders may be exercised from time to time, and as often as shall be deemed expedient, by the Trustee or by the Securityholders.</w:t>
      </w:r>
    </w:p>
    <w:p>
      <w:pPr>
        <w:spacing w:after="0" w:line="176"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6.6</w:t>
      </w:r>
      <w:r>
        <w:rPr>
          <w:sz w:val="20"/>
          <w:szCs w:val="20"/>
          <w:color w:val="auto"/>
        </w:rPr>
        <w:tab/>
      </w:r>
      <w:r>
        <w:rPr>
          <w:rFonts w:ascii="Times New Roman" w:cs="Times New Roman" w:eastAsia="Times New Roman" w:hAnsi="Times New Roman"/>
          <w:sz w:val="18"/>
          <w:szCs w:val="18"/>
          <w:b w:val="1"/>
          <w:bCs w:val="1"/>
          <w:color w:val="auto"/>
        </w:rPr>
        <w:t>CONTROL BY SECURITYHOLDERS.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7.1, the Trustee shall have the right to decline to follow any such direction if the Trustee in good faith shall, by a Trust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8.4, may on behalf of the holders of all of the Securities of such series waive any past default in the performance of any of the covenants contained herein or established pursuant to Section 2.1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6.1(c)), which requires the consent of each holder affected by such waiver.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2"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6.7</w:t>
      </w:r>
      <w:r>
        <w:rPr>
          <w:sz w:val="20"/>
          <w:szCs w:val="20"/>
          <w:color w:val="auto"/>
        </w:rPr>
        <w:tab/>
      </w:r>
      <w:r>
        <w:rPr>
          <w:rFonts w:ascii="Times New Roman" w:cs="Times New Roman" w:eastAsia="Times New Roman" w:hAnsi="Times New Roman"/>
          <w:sz w:val="17"/>
          <w:szCs w:val="17"/>
          <w:b w:val="1"/>
          <w:bCs w:val="1"/>
          <w:color w:val="auto"/>
        </w:rPr>
        <w:t>UNDERTAKING TO PAY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7.1</w:t>
      </w:r>
      <w:r>
        <w:rPr>
          <w:sz w:val="20"/>
          <w:szCs w:val="20"/>
          <w:color w:val="auto"/>
        </w:rPr>
        <w:tab/>
      </w:r>
      <w:r>
        <w:rPr>
          <w:rFonts w:ascii="Times New Roman" w:cs="Times New Roman" w:eastAsia="Times New Roman" w:hAnsi="Times New Roman"/>
          <w:sz w:val="17"/>
          <w:szCs w:val="17"/>
          <w:b w:val="1"/>
          <w:bCs w:val="1"/>
          <w:color w:val="auto"/>
        </w:rPr>
        <w:t>CERTAIN DUTIES AND RESPONSIBILITIES OF TRUSTEE.</w:t>
      </w:r>
    </w:p>
    <w:p>
      <w:pPr>
        <w:spacing w:after="0" w:line="229" w:lineRule="exact"/>
        <w:rPr>
          <w:sz w:val="20"/>
          <w:szCs w:val="20"/>
          <w:color w:val="auto"/>
        </w:rPr>
      </w:pPr>
    </w:p>
    <w:p>
      <w:pPr>
        <w:jc w:val="both"/>
        <w:ind w:firstLine="656"/>
        <w:spacing w:after="0" w:line="253" w:lineRule="auto"/>
        <w:tabs>
          <w:tab w:leader="none" w:pos="8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his or her own affairs. Except during the continuance of an Event of Default with respect to the Securities of a series, in the absence of bad faith on its part, the Trustee may with respect to the Securities of such series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248" w:gutter="0" w:footer="0" w:header="0"/>
        </w:sectPr>
      </w:pPr>
    </w:p>
    <w:bookmarkStart w:id="55" w:name="page56"/>
    <w:bookmarkEnd w:id="55"/>
    <w:p>
      <w:pPr>
        <w:ind w:firstLine="656"/>
        <w:spacing w:after="0" w:line="282" w:lineRule="auto"/>
        <w:tabs>
          <w:tab w:leader="none" w:pos="91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(b) shall not be construed to limit the effect of subsection (a) of this Section;</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Trust Officer or Trust Officers of the Trustee,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4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9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5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7.2</w:t>
      </w:r>
      <w:r>
        <w:rPr>
          <w:sz w:val="20"/>
          <w:szCs w:val="20"/>
          <w:color w:val="auto"/>
        </w:rPr>
        <w:tab/>
      </w:r>
      <w:r>
        <w:rPr>
          <w:rFonts w:ascii="Times New Roman" w:cs="Times New Roman" w:eastAsia="Times New Roman" w:hAnsi="Times New Roman"/>
          <w:sz w:val="17"/>
          <w:szCs w:val="17"/>
          <w:b w:val="1"/>
          <w:bCs w:val="1"/>
          <w:color w:val="auto"/>
        </w:rPr>
        <w:t>CERTAIN RIGHTS OF 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provided in Section 7.1:</w:t>
      </w:r>
    </w:p>
    <w:p>
      <w:pPr>
        <w:spacing w:after="0" w:line="225" w:lineRule="exact"/>
        <w:rPr>
          <w:sz w:val="20"/>
          <w:szCs w:val="20"/>
          <w:color w:val="auto"/>
        </w:rPr>
      </w:pPr>
    </w:p>
    <w:p>
      <w:pPr>
        <w:jc w:val="both"/>
        <w:ind w:firstLine="656"/>
        <w:spacing w:after="0" w:line="266" w:lineRule="auto"/>
        <w:tabs>
          <w:tab w:leader="none" w:pos="90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advice of such counsel or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satisfactory to it against the costs, losses,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person would exercise or use under the circumstances in the conduct of his or her own affairs;</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ind w:firstLine="656"/>
        <w:spacing w:after="0" w:line="253" w:lineRule="auto"/>
        <w:tabs>
          <w:tab w:leader="none" w:pos="8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8.4), and, if so requested, except as otherwise prohibited by applicable law or as would reasonably be expected to violate or result in the loss or impairment of any attorney-client or work product privilege, the Trustee shall be entitled to examine the books, records, and premises of the Company, personally or by agent, or attorney, and it shall incur no liability or additional liability of any kind by reason of such inquiry or investigation; provided, however, that the Company shall not be required to provide access or furnish information in the event of any litigation involving this Indenture or the Securities except pursuant to applicable rules of discovery; and provided, further,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9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Trust Officer has actual knowledge thereof or unless written notice of any event which is in fact such a default is received by the Trustee at the Corporate Trust Office of the Trustee, and such notice references the Securities and this Indenture;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8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the acts or omissions of any other agent of the Company, and may assume performance by any such agent of its duties, absent written notice or actual knowledge to the contrary;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the actions permitted by this Indenture shall not be construed as an obligation or duty to do so.</w:t>
      </w:r>
    </w:p>
    <w:p>
      <w:pPr>
        <w:spacing w:after="0" w:line="221"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7.3</w:t>
      </w:r>
      <w:r>
        <w:rPr>
          <w:sz w:val="20"/>
          <w:szCs w:val="20"/>
          <w:color w:val="auto"/>
        </w:rPr>
        <w:tab/>
      </w:r>
      <w:r>
        <w:rPr>
          <w:rFonts w:ascii="Times New Roman" w:cs="Times New Roman" w:eastAsia="Times New Roman" w:hAnsi="Times New Roman"/>
          <w:sz w:val="17"/>
          <w:szCs w:val="17"/>
          <w:b w:val="1"/>
          <w:bCs w:val="1"/>
          <w:color w:val="auto"/>
        </w:rPr>
        <w:t>TRUSTEE NOT RESPONSIBLE FOR RECITALS OR ISSUANCE OR SECURITIES.</w:t>
      </w:r>
    </w:p>
    <w:p>
      <w:pPr>
        <w:spacing w:after="0" w:line="229" w:lineRule="exact"/>
        <w:rPr>
          <w:sz w:val="20"/>
          <w:szCs w:val="20"/>
          <w:color w:val="auto"/>
        </w:rPr>
      </w:pPr>
    </w:p>
    <w:p>
      <w:pPr>
        <w:ind w:firstLine="656"/>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2.1, or for the use or application of any moneys received by any Paying Agent other than the Trustee.</w:t>
      </w:r>
    </w:p>
    <w:p>
      <w:pPr>
        <w:spacing w:after="0" w:line="172"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7.4</w:t>
      </w:r>
      <w:r>
        <w:rPr>
          <w:sz w:val="20"/>
          <w:szCs w:val="20"/>
          <w:color w:val="auto"/>
        </w:rPr>
        <w:tab/>
      </w:r>
      <w:r>
        <w:rPr>
          <w:rFonts w:ascii="Times New Roman" w:cs="Times New Roman" w:eastAsia="Times New Roman" w:hAnsi="Times New Roman"/>
          <w:sz w:val="17"/>
          <w:szCs w:val="17"/>
          <w:b w:val="1"/>
          <w:bCs w:val="1"/>
          <w:color w:val="auto"/>
        </w:rPr>
        <w:t>MAY HOLD SECURITIES AND OTHERWISE DEAL WITH 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Trust Indenture Act, the Trustee, the Security Registrar, any Paying Agent or any other agent of the Company, in its individual or any other capacity, may buy, own, hold, sell and become the pledgee of any of the Securities or any other evidences of indebtedness or other securities, whether heretofore or hereafter created or issued, of the Company or any Subsidiary or Affiliate of the Company with the same rights it would have if it were not Trustee, Security Registrar, Paying Agent or such other agent; and the Trustee may engage or be interested in any financial or other transaction with the Company or any Subsidiary or Affiliate of the Company, including, without limitation, secured and unsecured loans to the Company or any Subsidiary or Affiliate of the Company; and may maintain any and all other general banking and business relations with the Company and any Subsidiary or Affiliate of the Company with like effect and in the same manner and to the same extent as if the Trustee were not a party to this Indenture; and no implied covenant shall be read into this Indenture against the Trustee in respect of any such matters.</w:t>
      </w:r>
    </w:p>
    <w:p>
      <w:pPr>
        <w:spacing w:after="0" w:line="18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7.5</w:t>
      </w:r>
      <w:r>
        <w:rPr>
          <w:sz w:val="20"/>
          <w:szCs w:val="20"/>
          <w:color w:val="auto"/>
        </w:rPr>
        <w:tab/>
      </w:r>
      <w:r>
        <w:rPr>
          <w:rFonts w:ascii="Times New Roman" w:cs="Times New Roman" w:eastAsia="Times New Roman" w:hAnsi="Times New Roman"/>
          <w:sz w:val="17"/>
          <w:szCs w:val="17"/>
          <w:b w:val="1"/>
          <w:bCs w:val="1"/>
          <w:color w:val="auto"/>
        </w:rPr>
        <w:t>MONEYS HELD IN TRUST.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Sections 11.2, 12.5, 12.6 and 12.7,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7.6</w:t>
      </w:r>
      <w:r>
        <w:rPr>
          <w:sz w:val="20"/>
          <w:szCs w:val="20"/>
          <w:color w:val="auto"/>
        </w:rPr>
        <w:tab/>
      </w:r>
      <w:r>
        <w:rPr>
          <w:rFonts w:ascii="Times New Roman" w:cs="Times New Roman" w:eastAsia="Times New Roman" w:hAnsi="Times New Roman"/>
          <w:sz w:val="17"/>
          <w:szCs w:val="17"/>
          <w:b w:val="1"/>
          <w:bCs w:val="1"/>
          <w:color w:val="auto"/>
        </w:rPr>
        <w:t>COMPENSATION AND REIMBURSEMENT.</w:t>
      </w:r>
    </w:p>
    <w:p>
      <w:pPr>
        <w:spacing w:after="0" w:line="229" w:lineRule="exact"/>
        <w:rPr>
          <w:sz w:val="20"/>
          <w:szCs w:val="20"/>
          <w:color w:val="auto"/>
        </w:rPr>
      </w:pPr>
    </w:p>
    <w:p>
      <w:pPr>
        <w:jc w:val="both"/>
        <w:ind w:firstLine="656"/>
        <w:spacing w:after="0" w:line="253" w:lineRule="auto"/>
        <w:tabs>
          <w:tab w:leader="none" w:pos="90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willful misconduct and except as the Company and Trustee may from time to time agree in writing. The Company also covenants to indemnify the Trustee (and its officers, agents, directors and employees) for, and to hold it harmless against, any loss, costs, damages, liability or expense incurred without negligence or willful misconduct on the part of the Trustee (as determined by a court of competent jurisdiction in a final and non-appealable judgment) and arising out of or in connection with the acceptance or administration of this trust, including the reasonable costs and expenses of defending itself against any claim of liability in the premises.</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Company’s payment obligations in this Section 7.6, the Trustee shall have a lien prior to the Securities of any series on all money or property held or collected by the Trustee, except that held in trust to pay principal of and interest on particular Securities of such series.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6.1(a)(4) or 6.1(a)(5) occurs, the expenses and the compensation for the services are intended to constitute expenses of administration under any Bankruptcy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this Section 7.6 shall survive the resignation or removal of the Trustee and the termination or satisfaction of this Indenture.</w:t>
      </w:r>
    </w:p>
    <w:p>
      <w:pPr>
        <w:spacing w:after="0" w:line="221"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7.7</w:t>
      </w:r>
      <w:r>
        <w:rPr>
          <w:sz w:val="20"/>
          <w:szCs w:val="20"/>
          <w:color w:val="auto"/>
        </w:rPr>
        <w:tab/>
      </w:r>
      <w:r>
        <w:rPr>
          <w:rFonts w:ascii="Times New Roman" w:cs="Times New Roman" w:eastAsia="Times New Roman" w:hAnsi="Times New Roman"/>
          <w:sz w:val="17"/>
          <w:szCs w:val="17"/>
          <w:b w:val="1"/>
          <w:bCs w:val="1"/>
          <w:color w:val="auto"/>
        </w:rPr>
        <w:t>RELIANCE ON OFFICER’S CERTIFICATE.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delivered to the Trustee and such certificate, in the absence of negligence or willful misconduct on the part of the Trustee, shall be full warrant to the Trustee for any action taken, suffered or omitted to be taken by it under the provisions of this Indenture upon the faith thereof.</w:t>
      </w:r>
    </w:p>
    <w:p>
      <w:pPr>
        <w:spacing w:after="0" w:line="183"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7.8</w:t>
      </w:r>
      <w:r>
        <w:rPr>
          <w:sz w:val="20"/>
          <w:szCs w:val="20"/>
          <w:color w:val="auto"/>
        </w:rPr>
        <w:tab/>
      </w:r>
      <w:r>
        <w:rPr>
          <w:rFonts w:ascii="Times New Roman" w:cs="Times New Roman" w:eastAsia="Times New Roman" w:hAnsi="Times New Roman"/>
          <w:sz w:val="17"/>
          <w:szCs w:val="17"/>
          <w:b w:val="1"/>
          <w:bCs w:val="1"/>
          <w:color w:val="auto"/>
        </w:rPr>
        <w:t>DISQUALIFICATION; CONFLICTING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5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7.9</w:t>
      </w:r>
      <w:r>
        <w:rPr>
          <w:sz w:val="20"/>
          <w:szCs w:val="20"/>
          <w:color w:val="auto"/>
        </w:rPr>
        <w:tab/>
      </w:r>
      <w:r>
        <w:rPr>
          <w:rFonts w:ascii="Times New Roman" w:cs="Times New Roman" w:eastAsia="Times New Roman" w:hAnsi="Times New Roman"/>
          <w:sz w:val="17"/>
          <w:szCs w:val="17"/>
          <w:b w:val="1"/>
          <w:bCs w:val="1"/>
          <w:color w:val="auto"/>
        </w:rPr>
        <w:t>CORPORATE TRUSTEE REQUIRED; ELIGIBILITY.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U.S. or any state or territory thereof or of the District of Columbia, or a corporation or other Person permitted to act as trustee by the Commission, authorized under such laws to exercise corporate trust powers, having (or, in the case of a subsidiary of a bank holding company, its bank holding company parent shall have) a combined capital and surplus of at least one hundred million U.S. dollars ($100,000,000), and subject to supervision or examination by federal, state, territorial, or District of Columbia authority.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7.10</w:t>
      </w:r>
      <w:r>
        <w:rPr>
          <w:sz w:val="20"/>
          <w:szCs w:val="20"/>
          <w:color w:val="auto"/>
        </w:rPr>
        <w:tab/>
      </w:r>
      <w:r>
        <w:rPr>
          <w:rFonts w:ascii="Times New Roman" w:cs="Times New Roman" w:eastAsia="Times New Roman" w:hAnsi="Times New Roman"/>
          <w:sz w:val="17"/>
          <w:szCs w:val="17"/>
          <w:b w:val="1"/>
          <w:bCs w:val="1"/>
          <w:color w:val="auto"/>
        </w:rPr>
        <w:t>RESIGNATION AND REMOVAL; APPOINTMENT OF SUCCESSOR.</w:t>
      </w:r>
    </w:p>
    <w:p>
      <w:pPr>
        <w:spacing w:after="0" w:line="229" w:lineRule="exact"/>
        <w:rPr>
          <w:sz w:val="20"/>
          <w:szCs w:val="20"/>
          <w:color w:val="auto"/>
        </w:rPr>
      </w:pPr>
    </w:p>
    <w:p>
      <w:pPr>
        <w:jc w:val="both"/>
        <w:ind w:firstLine="656"/>
        <w:spacing w:after="0" w:line="253" w:lineRule="auto"/>
        <w:tabs>
          <w:tab w:leader="none" w:pos="89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(or, in the case of Securities held in book-entry form, by electronic transmission),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at the expense of the Company, petition any court of competent jurisdiction for the appointment of a successor trustee with respect to Securities of such series, or the holders of at least 10% in the aggregate principal amount of Outstanding Securities may petition any such court for the appointment of a successor trustee. Such court may thereupon after such notice, if any, as it may deem proper and prescribe, appoint a successor trustee.</w:t>
      </w:r>
    </w:p>
    <w:p>
      <w:pPr>
        <w:spacing w:after="0" w:line="19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7.8 after written request therefor by the Company or by any Securityholder who has been a bona fide holder of a Security or Securities for at least six months;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9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7.9 and shall fail to resign after written request therefor by the Company or by any such Securityholder;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4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3" w:lineRule="exact"/>
        <w:rPr>
          <w:sz w:val="20"/>
          <w:szCs w:val="20"/>
          <w:color w:val="auto"/>
        </w:rPr>
      </w:pPr>
    </w:p>
    <w:p>
      <w:pPr>
        <w:jc w:val="both"/>
        <w:ind w:firstLine="656"/>
        <w:spacing w:after="0" w:line="266" w:lineRule="auto"/>
        <w:tabs>
          <w:tab w:leader="none" w:pos="91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upon 30 days’ notice, remove the Trustee with respect to such series by so notifying the Trustee and the Company and may appoint a successor Trustee for such series with the consent of the Company.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5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7.11</w:t>
      </w:r>
      <w:r>
        <w:rPr>
          <w:sz w:val="20"/>
          <w:szCs w:val="20"/>
          <w:color w:val="auto"/>
        </w:rPr>
        <w:tab/>
      </w:r>
      <w:r>
        <w:rPr>
          <w:rFonts w:ascii="Times New Roman" w:cs="Times New Roman" w:eastAsia="Times New Roman" w:hAnsi="Times New Roman"/>
          <w:sz w:val="17"/>
          <w:szCs w:val="17"/>
          <w:b w:val="1"/>
          <w:bCs w:val="1"/>
          <w:color w:val="auto"/>
        </w:rPr>
        <w:t>ACCEPTANCE OF APPOINTMENT BY SUCCESSOR.</w:t>
      </w:r>
    </w:p>
    <w:p>
      <w:pPr>
        <w:spacing w:after="0" w:line="229" w:lineRule="exact"/>
        <w:rPr>
          <w:sz w:val="20"/>
          <w:szCs w:val="20"/>
          <w:color w:val="auto"/>
        </w:rPr>
      </w:pPr>
    </w:p>
    <w:p>
      <w:pPr>
        <w:jc w:val="both"/>
        <w:ind w:firstLine="656"/>
        <w:spacing w:after="0" w:line="256" w:lineRule="auto"/>
        <w:tabs>
          <w:tab w:leader="none" w:pos="91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jc w:val="both"/>
        <w:ind w:firstLine="656"/>
        <w:spacing w:after="0" w:line="252" w:lineRule="auto"/>
        <w:tabs>
          <w:tab w:leader="none" w:pos="9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 VII.</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76"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7.12</w:t>
      </w:r>
      <w:r>
        <w:rPr>
          <w:sz w:val="20"/>
          <w:szCs w:val="20"/>
          <w:color w:val="auto"/>
        </w:rPr>
        <w:tab/>
      </w:r>
      <w:r>
        <w:rPr>
          <w:rFonts w:ascii="Times New Roman" w:cs="Times New Roman" w:eastAsia="Times New Roman" w:hAnsi="Times New Roman"/>
          <w:sz w:val="17"/>
          <w:szCs w:val="17"/>
          <w:b w:val="1"/>
          <w:bCs w:val="1"/>
          <w:color w:val="auto"/>
        </w:rPr>
        <w:t>MERGER, CONVERSION, CONSOLIDATION OR SUCCESSION TO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(including the administration of the trust created by this Indenture), shall be the successor of the Trustee hereunder, provided that such corporation shall be qualified under the provisions of Section 7.8 and eligible under the provisions of Section 7.9,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7.13</w:t>
      </w:r>
      <w:r>
        <w:rPr>
          <w:sz w:val="20"/>
          <w:szCs w:val="20"/>
          <w:color w:val="auto"/>
        </w:rPr>
        <w:tab/>
      </w:r>
      <w:r>
        <w:rPr>
          <w:rFonts w:ascii="Times New Roman" w:cs="Times New Roman" w:eastAsia="Times New Roman" w:hAnsi="Times New Roman"/>
          <w:sz w:val="17"/>
          <w:szCs w:val="17"/>
          <w:b w:val="1"/>
          <w:bCs w:val="1"/>
          <w:color w:val="auto"/>
        </w:rPr>
        <w:t>PREFERENTIAL COLLECTION OF CLAIMS AGAINST THE COMPANY.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5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7.14</w:t>
      </w:r>
      <w:r>
        <w:rPr>
          <w:sz w:val="20"/>
          <w:szCs w:val="20"/>
          <w:color w:val="auto"/>
        </w:rPr>
        <w:tab/>
      </w:r>
      <w:r>
        <w:rPr>
          <w:rFonts w:ascii="Times New Roman" w:cs="Times New Roman" w:eastAsia="Times New Roman" w:hAnsi="Times New Roman"/>
          <w:sz w:val="17"/>
          <w:szCs w:val="17"/>
          <w:b w:val="1"/>
          <w:bCs w:val="1"/>
          <w:color w:val="auto"/>
        </w:rPr>
        <w:t>NOTICE OF DEFAULT.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Default or any Event of Default occurs and is continuing and if the Trustee has notice of such Default or Event of Default, the Trustee shall mail to each Securityholder in the manner and to the extent provided in Section 313(c) of the Trust Indenture Act notice of the Default or Event of Default within 90 days after it occurs (or, the Trustee does not have notice of such Default or Event of Default until after that time, 15 days after the Trustee has notice of such Default or Event of Default), unless such Default or Event of Default has been cured; provided, however, that, except in the case of a default in the payment of the principal of (or premium, if any) or interest on any Security, the Trustee shall be protected in withholding such notice if and so long as the Trustee in good faith determines that the withholding of such notice is in the interest of the Securityholders.</w:t>
      </w:r>
    </w:p>
    <w:p>
      <w:pPr>
        <w:spacing w:after="0" w:line="183"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7.15</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Trustee is entering into this Indenture and the other documents contemplated hereby and related hereto to which it is a party solely in its capacity as trustee under the Indenture and not in its individual capacity (except as expressly stated herein) and in no case shall the Trustee (or any Person acting as successor trustee under this Indenture) be personally liable for or on account of any of the statements, representations, warranties, covenants or obligations stated to be those of the Company hereunder or thereunder, all such liability, if any, being expressly waived by the parties hereto and any person claiming by, through or under such party.</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8.1</w:t>
      </w:r>
      <w:r>
        <w:rPr>
          <w:sz w:val="20"/>
          <w:szCs w:val="20"/>
          <w:color w:val="auto"/>
        </w:rPr>
        <w:tab/>
      </w:r>
      <w:r>
        <w:rPr>
          <w:rFonts w:ascii="Times New Roman" w:cs="Times New Roman" w:eastAsia="Times New Roman" w:hAnsi="Times New Roman"/>
          <w:sz w:val="18"/>
          <w:szCs w:val="18"/>
          <w:b w:val="1"/>
          <w:bCs w:val="1"/>
          <w:color w:val="auto"/>
        </w:rPr>
        <w:t>EVIDENCE OF ACTION BY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4"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8.2</w:t>
      </w:r>
      <w:r>
        <w:rPr>
          <w:sz w:val="20"/>
          <w:szCs w:val="20"/>
          <w:color w:val="auto"/>
        </w:rPr>
        <w:tab/>
      </w:r>
      <w:r>
        <w:rPr>
          <w:rFonts w:ascii="Times New Roman" w:cs="Times New Roman" w:eastAsia="Times New Roman" w:hAnsi="Times New Roman"/>
          <w:sz w:val="18"/>
          <w:szCs w:val="18"/>
          <w:b w:val="1"/>
          <w:bCs w:val="1"/>
          <w:color w:val="auto"/>
        </w:rPr>
        <w:t>PROOF OF EXECUTION BY SECURITYHOLDERS.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2" w:lineRule="exact"/>
        <w:rPr>
          <w:sz w:val="20"/>
          <w:szCs w:val="20"/>
          <w:color w:val="auto"/>
        </w:rPr>
      </w:pPr>
    </w:p>
    <w:p>
      <w:pPr>
        <w:ind w:left="900" w:hanging="244"/>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 Trustee.</w:t>
      </w:r>
    </w:p>
    <w:p>
      <w:pPr>
        <w:spacing w:after="0" w:line="225" w:lineRule="exact"/>
        <w:rPr>
          <w:rFonts w:ascii="Times New Roman" w:cs="Times New Roman" w:eastAsia="Times New Roman" w:hAnsi="Times New Roman"/>
          <w:sz w:val="18"/>
          <w:szCs w:val="18"/>
          <w:color w:val="auto"/>
        </w:rPr>
      </w:pPr>
    </w:p>
    <w:p>
      <w:pPr>
        <w:ind w:right="340" w:firstLine="656"/>
        <w:spacing w:after="0" w:line="498" w:lineRule="auto"/>
        <w:tabs>
          <w:tab w:leader="none" w:pos="9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8.3</w:t>
      </w:r>
      <w:r>
        <w:rPr>
          <w:sz w:val="20"/>
          <w:szCs w:val="20"/>
          <w:color w:val="auto"/>
        </w:rPr>
        <w:tab/>
      </w:r>
      <w:r>
        <w:rPr>
          <w:rFonts w:ascii="Times New Roman" w:cs="Times New Roman" w:eastAsia="Times New Roman" w:hAnsi="Times New Roman"/>
          <w:sz w:val="17"/>
          <w:szCs w:val="17"/>
          <w:b w:val="1"/>
          <w:bCs w:val="1"/>
          <w:color w:val="auto"/>
        </w:rPr>
        <w:t>WHO MAY BE DEEMED OWNERS.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2.3) interest on such Security and for all other purposes; and neither the Company nor the Trustee nor any Paying Agent nor any Security Registrar shall be affected by any notice to the contrary.</w:t>
      </w:r>
    </w:p>
    <w:p>
      <w:pPr>
        <w:spacing w:after="0" w:line="183"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8.4</w:t>
      </w:r>
      <w:r>
        <w:rPr>
          <w:sz w:val="20"/>
          <w:szCs w:val="20"/>
          <w:color w:val="auto"/>
        </w:rPr>
        <w:tab/>
      </w:r>
      <w:r>
        <w:rPr>
          <w:rFonts w:ascii="Times New Roman" w:cs="Times New Roman" w:eastAsia="Times New Roman" w:hAnsi="Times New Roman"/>
          <w:sz w:val="17"/>
          <w:szCs w:val="17"/>
          <w:b w:val="1"/>
          <w:bCs w:val="1"/>
          <w:color w:val="auto"/>
        </w:rPr>
        <w:t>CERTAIN SECURITIES OWNED BY COMPANY DISREGARDED.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8.5</w:t>
      </w:r>
      <w:r>
        <w:rPr>
          <w:sz w:val="20"/>
          <w:szCs w:val="20"/>
          <w:color w:val="auto"/>
        </w:rPr>
        <w:tab/>
      </w:r>
      <w:r>
        <w:rPr>
          <w:rFonts w:ascii="Times New Roman" w:cs="Times New Roman" w:eastAsia="Times New Roman" w:hAnsi="Times New Roman"/>
          <w:sz w:val="18"/>
          <w:szCs w:val="18"/>
          <w:b w:val="1"/>
          <w:bCs w:val="1"/>
          <w:color w:val="auto"/>
        </w:rPr>
        <w:t>ACTIONS BINDING ON FUTURE SECURITYHOLDERS.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9.1</w:t>
      </w:r>
      <w:r>
        <w:rPr>
          <w:sz w:val="20"/>
          <w:szCs w:val="20"/>
          <w:color w:val="auto"/>
        </w:rPr>
        <w:tab/>
      </w:r>
      <w:r>
        <w:rPr>
          <w:rFonts w:ascii="Times New Roman" w:cs="Times New Roman" w:eastAsia="Times New Roman" w:hAnsi="Times New Roman"/>
          <w:sz w:val="17"/>
          <w:szCs w:val="17"/>
          <w:b w:val="1"/>
          <w:bCs w:val="1"/>
          <w:color w:val="auto"/>
        </w:rPr>
        <w:t>SUPPLEMENTAL INDENTURES WITHOUT THE CONSENT OF SECURITYHOLDERS.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comply with the provisions of the Trust Indenture Act as then in effect), without the consent of the Securityholders, for one or more of the following purposes:</w:t>
      </w:r>
    </w:p>
    <w:p>
      <w:pPr>
        <w:spacing w:after="0" w:line="176" w:lineRule="exact"/>
        <w:rPr>
          <w:sz w:val="20"/>
          <w:szCs w:val="20"/>
          <w:color w:val="auto"/>
        </w:rPr>
      </w:pPr>
    </w:p>
    <w:p>
      <w:pPr>
        <w:ind w:firstLine="656"/>
        <w:spacing w:after="0" w:line="282" w:lineRule="auto"/>
        <w:tabs>
          <w:tab w:leader="none" w:pos="91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omission or inconsistency herein or in the Securities of any series (with such ambiguity, defect, omission or inconsistency being evidenced by an Officer’s Certificate);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X, including to evidence the succession of another Person to the Company and the assumption by any such successor of the covenants of the Company herein and in the Securities contained or to provide for the assumption of a guarantor’s obligations to holders of the Securities in the case of a merger or consolidation or sale of all or substantially all of the guarantor’s assets;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uncertificated Securities in addition to or in place of certificated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uncertificated Securities are issued in registered form for purposes of Section 163(f) of the Code;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or any guarantor for the benefit of the holders of the Securities of any series or to surrender any right or power conferred upon the Company or any guarantor;</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Securities of any series in accordance with the terms of this Indenture;</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security for the Securities of any series or to provide for any guarantee of the Securities of any series or to confirm or evidence the release, termination or discharge of any guarantee of or lien securing the Securities of any series when such release, termination or discharge is permitted by this Indenture;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6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the Securities of any series or that does not adversely affect the legal rights under this Indenture of any holder;</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8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amendment to the provision of this Indenture relating to the transfer and legending of the Securities of any series; provided, however, that (1) compliance with this Indenture as so amended would not result in Securities of such series being transferred in violation of the Securities Act or any other applicable securities law and (2) such amendment does not materially and adversely affect the rights of holders to transfer Securities of such series; or</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any guarantee of the Securities of any series or the notes to any provision of the “Description of Debt Securities and Guarantees” included in the prospectus forming a part of the registration statement filed by the Company with the Commission on Form S-3 on August 4, 2016 or any subsequent description of Securities contained in any prospectus supplement, to the extent that such provision in that “Description of Debt Securities and Guarantees” or any subsequent description of Securities contained in any prospectus supplement was intended by the Company to be a verbatim recitation of a provision of this Indenture, any guarantee of the Securities of any series or the Securities, as applicable (with such intention being evidenced by an Officer’s Certificate).</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9.2.</w:t>
      </w:r>
    </w:p>
    <w:p>
      <w:pPr>
        <w:spacing w:after="0" w:line="15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9.2</w:t>
      </w:r>
      <w:r>
        <w:rPr>
          <w:sz w:val="20"/>
          <w:szCs w:val="20"/>
          <w:color w:val="auto"/>
        </w:rPr>
        <w:tab/>
      </w:r>
      <w:r>
        <w:rPr>
          <w:rFonts w:ascii="Times New Roman" w:cs="Times New Roman" w:eastAsia="Times New Roman" w:hAnsi="Times New Roman"/>
          <w:sz w:val="17"/>
          <w:szCs w:val="17"/>
          <w:b w:val="1"/>
          <w:bCs w:val="1"/>
          <w:color w:val="auto"/>
        </w:rPr>
        <w:t>SUPPLEMENTAL INDENTURES WITH THE CONSENT OF SECURITYHOLDERS.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8.1) of the holders of not less than a majority in aggregate principal amount of the Securities of each series affected by such supplemental indenture or indentures at the time Outstanding (including consents obtained in connection with a tender offer or exchange offer for the Securities), the Company, when authorized by a Board Resolution, and the Trustee may from time to time and at any time enter into an indenture or indentures supplemental hereto (which shall comply with the provisions of the Trust Indenture Act as then in effect) for the purpose of adding any provisions to or changing in any manner or eliminating (or waiving any past default or compliance with) any of the provisions of this Indenture or of any supplemental indenture or of modifying in any manner not covered by Section 9.1 the rights of the holders of the Securities of such series under this Indenture; provided, however, that no such supplemental indenture shall, without the consent of the holders of each Security then Outstanding and affected thereby,</w:t>
      </w:r>
    </w:p>
    <w:p>
      <w:pPr>
        <w:spacing w:after="0" w:line="192" w:lineRule="exact"/>
        <w:rPr>
          <w:sz w:val="20"/>
          <w:szCs w:val="20"/>
          <w:color w:val="auto"/>
        </w:rPr>
      </w:pPr>
    </w:p>
    <w:p>
      <w:pPr>
        <w:ind w:right="20" w:firstLine="656"/>
        <w:spacing w:after="0" w:line="282" w:lineRule="auto"/>
        <w:tabs>
          <w:tab w:leader="none" w:pos="93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or aggregate principal amount of Securities, the holders of which are required to consent to any modification, amendment, supplement or waiver;</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premium, if any, or rate of interest on, such Securities;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fixed maturity of such Securities;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payment of interest on such Securities;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or repurchase price of such Securities or change the time at which the Securities may or must be redeemed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w:t>
      </w:r>
    </w:p>
    <w:p>
      <w:pPr>
        <w:spacing w:after="0" w:line="206"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of payment of principal of, or premium, if any, or interest on, such Securities;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principal of, premium, if any, or interest on such Securities (except as provided in Section 6.1(c));</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release a guarantor of such Securities other than in accordance with this Indenture;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or aggregate principal amount of Outstanding Securities the consent of whose holders is necessary for waiver of compliance with certain provisions of this Indenture or for waiver of certain defaults;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after the stated maturity (or, in the case of a redemption, on or after the redemption date) of such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9.3</w:t>
      </w:r>
      <w:r>
        <w:rPr>
          <w:sz w:val="20"/>
          <w:szCs w:val="20"/>
          <w:color w:val="auto"/>
        </w:rPr>
        <w:tab/>
      </w:r>
      <w:r>
        <w:rPr>
          <w:rFonts w:ascii="Times New Roman" w:cs="Times New Roman" w:eastAsia="Times New Roman" w:hAnsi="Times New Roman"/>
          <w:sz w:val="17"/>
          <w:szCs w:val="17"/>
          <w:b w:val="1"/>
          <w:bCs w:val="1"/>
          <w:color w:val="auto"/>
        </w:rPr>
        <w:t>EFFECT OF SUPPLEMENTAL INDENTURES.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IX or of Section 10.1,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9"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9.4</w:t>
      </w:r>
      <w:r>
        <w:rPr>
          <w:sz w:val="20"/>
          <w:szCs w:val="20"/>
          <w:color w:val="auto"/>
        </w:rPr>
        <w:tab/>
      </w:r>
      <w:r>
        <w:rPr>
          <w:rFonts w:ascii="Times New Roman" w:cs="Times New Roman" w:eastAsia="Times New Roman" w:hAnsi="Times New Roman"/>
          <w:sz w:val="17"/>
          <w:szCs w:val="17"/>
          <w:b w:val="1"/>
          <w:bCs w:val="1"/>
          <w:color w:val="auto"/>
        </w:rPr>
        <w:t>SECURITIES AFFECTED BY SUPPLEMENTAL INDENTURES.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IX or of Section 10.1,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9.5</w:t>
      </w:r>
      <w:r>
        <w:rPr>
          <w:sz w:val="20"/>
          <w:szCs w:val="20"/>
          <w:color w:val="auto"/>
        </w:rPr>
        <w:tab/>
      </w:r>
      <w:r>
        <w:rPr>
          <w:rFonts w:ascii="Times New Roman" w:cs="Times New Roman" w:eastAsia="Times New Roman" w:hAnsi="Times New Roman"/>
          <w:sz w:val="17"/>
          <w:szCs w:val="17"/>
          <w:b w:val="1"/>
          <w:bCs w:val="1"/>
          <w:color w:val="auto"/>
        </w:rPr>
        <w:t>EXECUTION OF SUPPLEMENTAL INDENTURES.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in addition to the documents required by Section 14.7(a), an Officer’s Certificate and an Opinion of Counsel stating that and as conclusive evidence that any supplemental indenture executed pursuant to this Article IX is authorized or permitted by, and conforms to, the terms of this Article IX, constitutes the legal, valid and binding obligation of the Company, enforceable against it in accordance with its terms (subject to customary exceptions) and that it is proper for the Trustee under the provisions of this Article IX to join in the execution thereof.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such notice, or any defect therein, shall not, however, in any way impair or affect the validity of any such supplemental 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7"/>
          <w:szCs w:val="17"/>
          <w:b w:val="1"/>
          <w:bCs w:val="1"/>
          <w:color w:val="auto"/>
        </w:rPr>
        <w:t>COMPANY MAY CONSOLIDATE, ETC.</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Except as provided pursuant to Section 2.1 pursuant to a Board Resolution, and set forth in an Officer’s Certificate, or established in one or more indentures supplemental to this Indenture,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(a)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2.1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189"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10.2</w:t>
      </w:r>
      <w:r>
        <w:rPr>
          <w:sz w:val="20"/>
          <w:szCs w:val="20"/>
          <w:color w:val="auto"/>
        </w:rPr>
        <w:tab/>
      </w:r>
      <w:r>
        <w:rPr>
          <w:rFonts w:ascii="Times New Roman" w:cs="Times New Roman" w:eastAsia="Times New Roman" w:hAnsi="Times New Roman"/>
          <w:sz w:val="18"/>
          <w:szCs w:val="18"/>
          <w:b w:val="1"/>
          <w:bCs w:val="1"/>
          <w:color w:val="auto"/>
        </w:rPr>
        <w:t>SUCCESSOR ENTITY SUBSTITUTED.</w:t>
      </w:r>
    </w:p>
    <w:p>
      <w:pPr>
        <w:spacing w:after="0" w:line="229" w:lineRule="exact"/>
        <w:rPr>
          <w:sz w:val="20"/>
          <w:szCs w:val="20"/>
          <w:color w:val="auto"/>
        </w:rPr>
      </w:pPr>
    </w:p>
    <w:p>
      <w:pPr>
        <w:jc w:val="both"/>
        <w:ind w:firstLine="656"/>
        <w:spacing w:after="0" w:line="258" w:lineRule="auto"/>
        <w:tabs>
          <w:tab w:leader="none" w:pos="90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X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10.3</w:t>
      </w:r>
      <w:r>
        <w:rPr>
          <w:sz w:val="20"/>
          <w:szCs w:val="20"/>
          <w:color w:val="auto"/>
        </w:rPr>
        <w:tab/>
      </w:r>
      <w:r>
        <w:rPr>
          <w:rFonts w:ascii="Times New Roman" w:cs="Times New Roman" w:eastAsia="Times New Roman" w:hAnsi="Times New Roman"/>
          <w:sz w:val="17"/>
          <w:szCs w:val="17"/>
          <w:b w:val="1"/>
          <w:bCs w:val="1"/>
          <w:color w:val="auto"/>
        </w:rPr>
        <w:t>EVIDENCE OF CONSOLIDATION, ETC. TO TRUSTEE.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subject to the provisions of Section 7.1, shall receive an Officer’s Certificate and an Opinion of Counsel stating that and as conclusive evidence that any such consolidation, merger, sale, conveyance, transfer or other disposition, and any such assumption, comply with the provisions of this Article X.</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11.1</w:t>
      </w:r>
      <w:r>
        <w:rPr>
          <w:sz w:val="20"/>
          <w:szCs w:val="20"/>
          <w:color w:val="auto"/>
        </w:rPr>
        <w:tab/>
      </w:r>
      <w:r>
        <w:rPr>
          <w:rFonts w:ascii="Times New Roman" w:cs="Times New Roman" w:eastAsia="Times New Roman" w:hAnsi="Times New Roman"/>
          <w:sz w:val="17"/>
          <w:szCs w:val="17"/>
          <w:b w:val="1"/>
          <w:bCs w:val="1"/>
          <w:color w:val="auto"/>
        </w:rPr>
        <w:t>SATISFACTION AND DISCHARGE OF INDENTURE.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Indenture shall upon Company Request cease to be of further effect with respect to any series of Securities (except as to any surviving rights of registration of transfer or exchange of Securities of such series herein expressly provided for or in the form of Security for such series and any right to receive additional amounts), and the Trustee, at the expense of the Company, shall execute proper instruments acknowledging satisfaction and discharge of this Indenture as to such series, when</w:t>
      </w:r>
    </w:p>
    <w:p>
      <w:pPr>
        <w:spacing w:after="0" w:line="180" w:lineRule="exact"/>
        <w:rPr>
          <w:sz w:val="20"/>
          <w:szCs w:val="20"/>
          <w:color w:val="auto"/>
        </w:rPr>
      </w:pPr>
    </w:p>
    <w:p>
      <w:pPr>
        <w:ind w:left="900" w:hanging="244"/>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(i) Securities which have been destroyed, lost or stolen and which have been replaced or paid as provided in Section 2.7 and (ii) Securities for whose payment cash, Governmental Obligations or a combination thereof has theretofore been deposited in trust or segregated and held in trust by the Company and thereafter repaid to the Company or discharged from such trust, as provided in Sections 12.5 and 12.6) have been delivered to the Trustee for cancellation; or</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such series not theretofore delivered to the Trustee for cancellation, or</w:t>
      </w:r>
    </w:p>
    <w:p>
      <w:pPr>
        <w:spacing w:after="0" w:line="225" w:lineRule="exact"/>
        <w:rPr>
          <w:sz w:val="20"/>
          <w:szCs w:val="20"/>
          <w:color w:val="auto"/>
        </w:rPr>
      </w:pPr>
    </w:p>
    <w:p>
      <w:pPr>
        <w:ind w:left="1600" w:hanging="296"/>
        <w:spacing w:after="0"/>
        <w:tabs>
          <w:tab w:leader="none" w:pos="16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by reason of the mailing of a notice of redemption or otherwise, or</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within one year,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the Company, in the case of (A) or (B) above, has deposited or caused to be deposited with the Trustee as trust funds in trust specifically pledged as security for, and dedicated solely to, the benefit of the Securityholders of the Securities of that series, cash in U.S. dollars, Governmental Obligations or a combination thereof in such amount as will be sufficient, without consideration of any reinvestment of interest,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the Redemption Date, as the case may be;</w:t>
      </w:r>
    </w:p>
    <w:p>
      <w:pPr>
        <w:spacing w:after="0" w:line="183" w:lineRule="exact"/>
        <w:rPr>
          <w:sz w:val="20"/>
          <w:szCs w:val="20"/>
          <w:color w:val="auto"/>
        </w:rPr>
      </w:pPr>
    </w:p>
    <w:p>
      <w:pPr>
        <w:jc w:val="both"/>
        <w:ind w:firstLine="656"/>
        <w:spacing w:after="0" w:line="266" w:lineRule="auto"/>
        <w:tabs>
          <w:tab w:leader="none" w:pos="90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clause (a)(ii), no Event of Default has occurred and is continuing on the date of deposit (other than an Event of Default resulting from the borrowing of funds to be applied to such deposit and any similar deposit relating to other indebtedness and, in each case, the granting of certain liens to secure such borrowing);</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guarantor has paid or caused to be paid all other sums payable hereunder by the Company with respect to such series; and</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1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irrevocable instructions to the Trustee under this Indenture to apply the deposited money towards the payment of the notes at maturity or on the redemption date, as the case may be.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with respect to such series, the obligations of the Company to the Trustee with respect to such series under this Section 11.1 and Sections 7.6 and 7.10, the obligations of the Company to any Authenticating Agent under Section 2.10, and, if cash, Governmental Obligations or a combination thereof shall have been deposited with the Trustee pursuant to subclause (ii) of clause (a) of this Section, the obligations of the Trustee under Section 11.2, shall survive.</w:t>
      </w:r>
    </w:p>
    <w:p>
      <w:pPr>
        <w:spacing w:after="0" w:line="176"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11.2</w:t>
      </w:r>
      <w:r>
        <w:rPr>
          <w:sz w:val="20"/>
          <w:szCs w:val="20"/>
          <w:color w:val="auto"/>
        </w:rPr>
        <w:tab/>
      </w:r>
      <w:r>
        <w:rPr>
          <w:rFonts w:ascii="Times New Roman" w:cs="Times New Roman" w:eastAsia="Times New Roman" w:hAnsi="Times New Roman"/>
          <w:sz w:val="17"/>
          <w:szCs w:val="17"/>
          <w:b w:val="1"/>
          <w:bCs w:val="1"/>
          <w:color w:val="auto"/>
        </w:rPr>
        <w:t>APPLICATION OF TRUST MONEY.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12.6, all cash and Governmental Obligations deposited with the Trustee pursuant to Section 11.1 shall be held in trust and applied by the Trustee, in accordance with the provisions of the series of Securities and this Indenture, to the payment, either directly or through any Paying Agent (including the Company or any of its Subsidiaries acting as Paying Agent) as the Trustee may determine, to the Persons entitled thereto, of all sums due and to become due thereon in respect of the principal of (and premium, if any) and interest, if any, on the Securities for which payment of such cash and Governmental Obligations has been deposited with the Trustee.</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jc w:val="both"/>
        <w:spacing w:after="0" w:line="255" w:lineRule="auto"/>
        <w:rPr>
          <w:sz w:val="20"/>
          <w:szCs w:val="20"/>
          <w:color w:val="auto"/>
        </w:rPr>
      </w:pPr>
      <w:r>
        <w:rPr>
          <w:rFonts w:ascii="Times New Roman" w:cs="Times New Roman" w:eastAsia="Times New Roman" w:hAnsi="Times New Roman"/>
          <w:sz w:val="18"/>
          <w:szCs w:val="18"/>
          <w:color w:val="auto"/>
        </w:rPr>
        <w:t>If the Trustee or Paying Agent is unable to apply any cash or Governmental Obligations in accordance with this Article XI by reason of any legal proceeding or by reason of any order or judgment of any court or governmental authority enjoining, restraining or otherwise prohibiting such application, then the obligations of the Company under this Indenture and the Securities of such series shall be revived and reinstated as though no deposit had occurred pursuant to this Article XI until such time as the Trustee or Paying Agent is permitted to apply all such cash and Governmental Obligations in accordance with this Article XI; provided, however, that, if the Company has made any payment of principal, premium, if any, interest on or principal of any Securities because of the reinstatement of its obligations, the Company shall be subrogated to the rights of the holders of such Securities to receive such payment from the cash and Governmental Obligations held by the Trustee or Paying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2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12.1</w:t>
      </w:r>
      <w:r>
        <w:rPr>
          <w:sz w:val="20"/>
          <w:szCs w:val="20"/>
          <w:color w:val="auto"/>
        </w:rPr>
        <w:tab/>
      </w:r>
      <w:r>
        <w:rPr>
          <w:rFonts w:ascii="Times New Roman" w:cs="Times New Roman" w:eastAsia="Times New Roman" w:hAnsi="Times New Roman"/>
          <w:sz w:val="18"/>
          <w:szCs w:val="18"/>
          <w:b w:val="1"/>
          <w:bCs w:val="1"/>
          <w:color w:val="auto"/>
        </w:rPr>
        <w:t>OPTION TO EFFECT LEGAL DEFEASANCE OR COVENANT DEFEASANCE</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at any time, at the option of its Board of Directors evidenced by a Board Resolution set forth in an Officer’s Certificate, elect to have either Section 12.2 or 12.3 hereof be applied to all outstanding Securities of a series upon compliance with the conditions set forth below in this Article XII.</w:t>
      </w:r>
    </w:p>
    <w:p>
      <w:pPr>
        <w:spacing w:after="0" w:line="15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12.2</w:t>
      </w:r>
      <w:r>
        <w:rPr>
          <w:sz w:val="20"/>
          <w:szCs w:val="20"/>
          <w:color w:val="auto"/>
        </w:rPr>
        <w:tab/>
      </w:r>
      <w:r>
        <w:rPr>
          <w:rFonts w:ascii="Times New Roman" w:cs="Times New Roman" w:eastAsia="Times New Roman" w:hAnsi="Times New Roman"/>
          <w:sz w:val="18"/>
          <w:szCs w:val="18"/>
          <w:b w:val="1"/>
          <w:bCs w:val="1"/>
          <w:color w:val="auto"/>
        </w:rPr>
        <w:t>LEGAL DEFEASANCE AND DISCHARGE</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Company’s exercise under Section 12.1 hereof of the option applicable to this Section 12.2 with respect to a series of Securities, the Company will, subject to the satisfaction of the conditions set forth in Section 12.4 hereof, be deemed to have been discharged from its obligations with respect to all outstanding Securities of such series on the date the conditions set forth below are satisfied (hereinafter, “</w:t>
      </w:r>
      <w:r>
        <w:rPr>
          <w:rFonts w:ascii="Times New Roman" w:cs="Times New Roman" w:eastAsia="Times New Roman" w:hAnsi="Times New Roman"/>
          <w:sz w:val="18"/>
          <w:szCs w:val="18"/>
          <w:b w:val="1"/>
          <w:bCs w:val="1"/>
          <w:color w:val="auto"/>
        </w:rPr>
        <w:t>Legal Defeasance</w:t>
      </w:r>
      <w:r>
        <w:rPr>
          <w:rFonts w:ascii="Times New Roman" w:cs="Times New Roman" w:eastAsia="Times New Roman" w:hAnsi="Times New Roman"/>
          <w:sz w:val="18"/>
          <w:szCs w:val="18"/>
          <w:color w:val="auto"/>
        </w:rPr>
        <w:t>”). For this purpose, Legal Defeasance means that the Company will be deemed to have paid and discharged the entire Indebtedness represented by the Outstanding Securities of such series, which will thereafter be deemed to be Outstanding only for the purposes of Section 12.5 hereof and the Articles and other Sections of this Indenture referred to in clauses (1) and (2) below, and to have satisfied all their other obligations under such Securities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92" w:lineRule="exact"/>
        <w:rPr>
          <w:sz w:val="20"/>
          <w:szCs w:val="20"/>
          <w:color w:val="auto"/>
        </w:rPr>
      </w:pPr>
    </w:p>
    <w:p>
      <w:pPr>
        <w:ind w:firstLine="656"/>
        <w:spacing w:after="0" w:line="282" w:lineRule="auto"/>
        <w:tabs>
          <w:tab w:leader="none" w:pos="90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Securities of such series to receive payments in respect of the principal of, premium on, if any, or interest on such Securities when such payments are due from the trust referred to in Section 12.4 hereof;</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such Securities under Article 2 and Section 4.2 hereof;</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hereunder and the Company’s obligations in connection therewith;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XII.</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XII, the Company may exercise its option under this Section 12.2 with respect to a series of Securities, notwithstanding the prior exercise of its option under Section 12.3 hereof with respect to such series of Securities.</w:t>
      </w:r>
    </w:p>
    <w:p>
      <w:pPr>
        <w:spacing w:after="0" w:line="15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12.3</w:t>
      </w:r>
      <w:r>
        <w:rPr>
          <w:sz w:val="20"/>
          <w:szCs w:val="20"/>
          <w:color w:val="auto"/>
        </w:rPr>
        <w:tab/>
      </w:r>
      <w:r>
        <w:rPr>
          <w:rFonts w:ascii="Times New Roman" w:cs="Times New Roman" w:eastAsia="Times New Roman" w:hAnsi="Times New Roman"/>
          <w:sz w:val="17"/>
          <w:szCs w:val="17"/>
          <w:b w:val="1"/>
          <w:bCs w:val="1"/>
          <w:color w:val="auto"/>
        </w:rPr>
        <w:t>COVENANT DEFEASANCE</w:t>
      </w:r>
      <w:r>
        <w:rPr>
          <w:rFonts w:ascii="Times New Roman" w:cs="Times New Roman" w:eastAsia="Times New Roman" w:hAnsi="Times New Roman"/>
          <w:sz w:val="17"/>
          <w:szCs w:val="17"/>
          <w:b w:val="1"/>
          <w:bCs w:val="1"/>
          <w:i w:val="1"/>
          <w:iCs w:val="1"/>
          <w:color w:val="auto"/>
        </w:rPr>
        <w:t>.</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Upon the Company’s exercise under Section 12.1 hereof of the option applicable to this Section 12.3 with respect to a series of Securities, the Company will, subject to the satisfaction of the conditions set forth in Section 12.4 hereof, be released from its obligations under Section 5.3 and Article X and any additional covenants specified in any Board Resolution or indenture supplemental hereto with respect to the Outstanding Securities of such series on and after the date the conditions set forth in Section 12.4 hereof are satisfied (hereinafter, “</w:t>
      </w:r>
      <w:r>
        <w:rPr>
          <w:rFonts w:ascii="Times New Roman" w:cs="Times New Roman" w:eastAsia="Times New Roman" w:hAnsi="Times New Roman"/>
          <w:sz w:val="17"/>
          <w:szCs w:val="17"/>
          <w:b w:val="1"/>
          <w:bCs w:val="1"/>
          <w:color w:val="auto"/>
        </w:rPr>
        <w:t>Covenant Defeasance</w:t>
      </w:r>
      <w:r>
        <w:rPr>
          <w:rFonts w:ascii="Times New Roman" w:cs="Times New Roman" w:eastAsia="Times New Roman" w:hAnsi="Times New Roman"/>
          <w:sz w:val="17"/>
          <w:szCs w:val="17"/>
          <w:color w:val="auto"/>
        </w:rPr>
        <w:t>”), and the Securities of such series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Securities will not be deemed Outstanding for accounting purposes). For this purpose, Covenant Defeasance means that, with respect to the Outstanding Securities of such series, the Company may omit to comply with and shall have no liability in respect of any term, condition or limitation set forth in Section 5.3 or Article X and any additional covenants specified in any Board Resolution or indenture supplemental hereto, whether directly or indirectly, by reason of any reference elsewhere herein to any such Section or Article or by reason of any reference in any such Section or Article to any other provision herein or in any other document and such omission to comply shall not constitute a Default or an Event of Default under Section 6.1 hereof with respect to Outstanding Securities of such series, but, except as specified above, the remainder of this Indenture and such Securities shall be unaffected thereby.</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12.4</w:t>
      </w:r>
      <w:r>
        <w:rPr>
          <w:sz w:val="20"/>
          <w:szCs w:val="20"/>
          <w:color w:val="auto"/>
        </w:rPr>
        <w:tab/>
      </w:r>
      <w:r>
        <w:rPr>
          <w:rFonts w:ascii="Times New Roman" w:cs="Times New Roman" w:eastAsia="Times New Roman" w:hAnsi="Times New Roman"/>
          <w:sz w:val="17"/>
          <w:szCs w:val="17"/>
          <w:b w:val="1"/>
          <w:bCs w:val="1"/>
          <w:color w:val="auto"/>
        </w:rPr>
        <w:t>CONDITIONS TO LEGAL OR COVENANT DEFEASANCE</w:t>
      </w:r>
      <w:r>
        <w:rPr>
          <w:rFonts w:ascii="Times New Roman" w:cs="Times New Roman" w:eastAsia="Times New Roman" w:hAnsi="Times New Roman"/>
          <w:sz w:val="17"/>
          <w:szCs w:val="17"/>
          <w:b w:val="1"/>
          <w:bCs w:val="1"/>
          <w:i w:val="1"/>
          <w:iCs w:val="1"/>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order to exercise either Legal Defeasance or Covenant Defeasance under either Section 12.2 or 12.3 hereof with respect to the Outstanding Securities of a particular series:</w:t>
      </w:r>
    </w:p>
    <w:p>
      <w:pPr>
        <w:spacing w:after="0" w:line="162" w:lineRule="exact"/>
        <w:rPr>
          <w:sz w:val="20"/>
          <w:szCs w:val="20"/>
          <w:color w:val="auto"/>
        </w:rPr>
      </w:pPr>
    </w:p>
    <w:p>
      <w:pPr>
        <w:jc w:val="both"/>
        <w:ind w:firstLine="656"/>
        <w:spacing w:after="0" w:line="258" w:lineRule="auto"/>
        <w:tabs>
          <w:tab w:leader="none" w:pos="9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irrevocably deposit with the Trustee, in trust, for the benefit of the Securityholders of the Securities of that series, cash in U.S. dollars, Governmental Obligations, or a combination thereof, in such amounts as will be sufficient, in the opinion of a nationally recognized investment bank, appraisal firm, or firm of independent public accountants, to pay the principal of, premium on, if any, and interest on, the Outstanding Securities of such series on the stated date for payment thereof or on the applicable redemption date, as the case may be, and the Company must specify whether the Securities of such series are being defeased to such stated date for payment or to a particular redemption date;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12.2 hereof, the Company must deliver to the Trustee an Opinion of Counsel reasonably acceptable to the Trustee confirming that:</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from, or there has been published by, the Internal Revenue Service a ruling; or</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Indenture, there has been a change in the applicable federal income tax law,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6" w:lineRule="exact"/>
        <w:rPr>
          <w:sz w:val="20"/>
          <w:szCs w:val="20"/>
          <w:color w:val="auto"/>
        </w:rPr>
      </w:pPr>
    </w:p>
    <w:p>
      <w:pPr>
        <w:jc w:val="both"/>
        <w:ind w:firstLine="656"/>
        <w:spacing w:after="0" w:line="261" w:lineRule="auto"/>
        <w:tabs>
          <w:tab w:leader="none" w:pos="90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12.3 hereof, the Company must deliver to the Trustee an Opinion of Counsel reasonably acceptable to the Trustee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is a party or by which the Company is bound;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58" w:lineRule="exact"/>
        <w:rPr>
          <w:sz w:val="20"/>
          <w:szCs w:val="20"/>
          <w:color w:val="auto"/>
        </w:rPr>
      </w:pPr>
    </w:p>
    <w:p>
      <w:pPr>
        <w:ind w:left="2000" w:hanging="1673"/>
        <w:spacing w:after="0" w:line="286" w:lineRule="auto"/>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12.5</w:t>
      </w:r>
      <w:r>
        <w:rPr>
          <w:sz w:val="20"/>
          <w:szCs w:val="20"/>
          <w:color w:val="auto"/>
        </w:rPr>
        <w:tab/>
      </w:r>
      <w:r>
        <w:rPr>
          <w:rFonts w:ascii="Times New Roman" w:cs="Times New Roman" w:eastAsia="Times New Roman" w:hAnsi="Times New Roman"/>
          <w:sz w:val="18"/>
          <w:szCs w:val="18"/>
          <w:b w:val="1"/>
          <w:bCs w:val="1"/>
          <w:color w:val="auto"/>
        </w:rPr>
        <w:t>DEPOSITED MONEY AND GOVERNMENT SECURITIES TO BE HELD IN TRUST; OTHER MISCELLANEOUS PROVISIONS</w:t>
      </w:r>
      <w:r>
        <w:rPr>
          <w:rFonts w:ascii="Times New Roman" w:cs="Times New Roman" w:eastAsia="Times New Roman" w:hAnsi="Times New Roman"/>
          <w:sz w:val="18"/>
          <w:szCs w:val="18"/>
          <w:b w:val="1"/>
          <w:bCs w:val="1"/>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Section 12.6 hereof, all cash and Governmental Obligations (including the proceeds thereof) deposited with the Trustee pursuant to Section 12.4 hereof in respect of the Outstanding Securities of a particular series shall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if any, and interest, but such money need not be segregated from other funds except to the extent required by law.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pay and indemnify the Trustee against any tax, fee or other charge imposed on or assessed against the cash or Governmental Obligations deposited pursuant to Section 12.4 hereof or the principal and interest received in respect thereof other than any such tax, fee or other charge which by law is for the account of the holders of the Outstanding Securities of the applicable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Article XII to the contrary, the Trustee shall deliver or pay to the Company from time to time upon Company Request any cash or Governmental Obligations held by it as provided in Section 12.4 hereof which, in the opinion of a nationally recognized firm of independent public accountants expressed in a written certification thereof delivered to the Trustee (which may be the opinion delivered under Section 12.4(1) hereof), are in excess of the amount thereof that would then be required to be deposited to effect an equivalent Legal Defeasance or Covenant Defeasance.</w:t>
      </w:r>
    </w:p>
    <w:p>
      <w:pPr>
        <w:spacing w:after="0" w:line="176"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12.6</w:t>
      </w:r>
      <w:r>
        <w:rPr>
          <w:sz w:val="20"/>
          <w:szCs w:val="20"/>
          <w:color w:val="auto"/>
        </w:rPr>
        <w:tab/>
      </w:r>
      <w:r>
        <w:rPr>
          <w:rFonts w:ascii="Times New Roman" w:cs="Times New Roman" w:eastAsia="Times New Roman" w:hAnsi="Times New Roman"/>
          <w:sz w:val="17"/>
          <w:szCs w:val="17"/>
          <w:b w:val="1"/>
          <w:bCs w:val="1"/>
          <w:color w:val="auto"/>
        </w:rPr>
        <w:t>REPAYMENT TO COMPANY</w:t>
      </w:r>
      <w:r>
        <w:rPr>
          <w:rFonts w:ascii="Times New Roman" w:cs="Times New Roman" w:eastAsia="Times New Roman" w:hAnsi="Times New Roman"/>
          <w:sz w:val="17"/>
          <w:szCs w:val="17"/>
          <w:b w:val="1"/>
          <w:bCs w:val="1"/>
          <w:i w:val="1"/>
          <w:iCs w:val="1"/>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Any money deposited with the Trustee or any Paying Agent, or then held by the Company, in trust for the payment of the principal of, premium on, if any, or interest on any Security and remaining unclaimed for two years after such principal, premium, if any, or interest, has become due and payable shall, unless otherwise required by mandatory provisions of applicable escheat or abandoned or unclaimed property law, be paid to the Company on its request or (if then held by the Company) will be discharged from such trust; and the holder of such Security will thereafter, as an unsecured general creditor,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Trustee or such Paying Agent, before being required to make any such repayment, may give written notice to the holder of such Security, at such holder’s address as it appears upon the Security Register, that such money remains unclaimed and that, after a date specified therein, which will not be less than 30 days from the date of such notification, any unclaimed balance of such money then remaining will, unless otherwise required by mandatory provisions of applicable escheat or abandoned or unclaimed property law, be repaid to the Company.</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680" w:gutter="0" w:footer="0" w:header="0"/>
        </w:sectPr>
      </w:pPr>
    </w:p>
    <w:bookmarkStart w:id="67" w:name="page68"/>
    <w:bookmarkEnd w:id="67"/>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12.7</w:t>
      </w:r>
      <w:r>
        <w:rPr>
          <w:sz w:val="20"/>
          <w:szCs w:val="20"/>
          <w:color w:val="auto"/>
        </w:rPr>
        <w:tab/>
      </w:r>
      <w:r>
        <w:rPr>
          <w:rFonts w:ascii="Times New Roman" w:cs="Times New Roman" w:eastAsia="Times New Roman" w:hAnsi="Times New Roman"/>
          <w:sz w:val="17"/>
          <w:szCs w:val="17"/>
          <w:b w:val="1"/>
          <w:bCs w:val="1"/>
          <w:color w:val="auto"/>
        </w:rPr>
        <w:t>REINSTATEMENT.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cash or Governmental Obligations in accordance with Section 12.2 or 12.3 hereof, as the case may be, by reason of any order or judgment of any court or governmental authority enjoining, restraining or otherwise prohibiting such application, then the Company’s obligations under this Indenture and the Securities of the particular series shall be revived and reinstated as though no deposit had occurred pursuant to Section 12.2 or 12.3 hereof until such time as the Trustee or Paying Agent is permitted to apply all such cash or Governmental Obligations in accordance with Section 12.2 or 12.3 hereof,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makes any payment of principal of, premium on, if any, or interest on, any Security of the particular series following the reinstatement of its obligations, the Company shall be subrogated to the rights of the holders of such Securities to receive such payment from the cash or Governmental Obligations held by the Trustee or Paying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AND DIRECTORS</w:t>
      </w:r>
    </w:p>
    <w:p>
      <w:pPr>
        <w:spacing w:after="0" w:line="22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13.1</w:t>
      </w:r>
      <w:r>
        <w:rPr>
          <w:sz w:val="20"/>
          <w:szCs w:val="20"/>
          <w:color w:val="auto"/>
        </w:rPr>
        <w:tab/>
      </w:r>
      <w:r>
        <w:rPr>
          <w:rFonts w:ascii="Times New Roman" w:cs="Times New Roman" w:eastAsia="Times New Roman" w:hAnsi="Times New Roman"/>
          <w:sz w:val="17"/>
          <w:szCs w:val="17"/>
          <w:b w:val="1"/>
          <w:bCs w:val="1"/>
          <w:color w:val="auto"/>
        </w:rPr>
        <w:t>NO RECOURSE.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3"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14.1</w:t>
      </w:r>
      <w:r>
        <w:rPr>
          <w:sz w:val="20"/>
          <w:szCs w:val="20"/>
          <w:color w:val="auto"/>
        </w:rPr>
        <w:tab/>
      </w:r>
      <w:r>
        <w:rPr>
          <w:rFonts w:ascii="Times New Roman" w:cs="Times New Roman" w:eastAsia="Times New Roman" w:hAnsi="Times New Roman"/>
          <w:sz w:val="18"/>
          <w:szCs w:val="18"/>
          <w:b w:val="1"/>
          <w:bCs w:val="1"/>
          <w:color w:val="auto"/>
        </w:rPr>
        <w:t>EFFECT ON SUCCESSORS AND ASSIGNS.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 All the covenants, stipulations, promises and agreements in this Indenture made by or on behalf of the Trustee shall bind its successors and assigns, whether so expressed or not.</w:t>
      </w:r>
    </w:p>
    <w:p>
      <w:pPr>
        <w:spacing w:after="0" w:line="172"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14.2</w:t>
      </w:r>
      <w:r>
        <w:rPr>
          <w:sz w:val="20"/>
          <w:szCs w:val="20"/>
          <w:color w:val="auto"/>
        </w:rPr>
        <w:tab/>
      </w:r>
      <w:r>
        <w:rPr>
          <w:rFonts w:ascii="Times New Roman" w:cs="Times New Roman" w:eastAsia="Times New Roman" w:hAnsi="Times New Roman"/>
          <w:sz w:val="18"/>
          <w:szCs w:val="18"/>
          <w:b w:val="1"/>
          <w:bCs w:val="1"/>
          <w:color w:val="auto"/>
        </w:rPr>
        <w:t>ACTIONS BY SUCCESSOR.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14.3</w:t>
      </w:r>
      <w:r>
        <w:rPr>
          <w:sz w:val="20"/>
          <w:szCs w:val="20"/>
          <w:color w:val="auto"/>
        </w:rPr>
        <w:tab/>
      </w:r>
      <w:r>
        <w:rPr>
          <w:rFonts w:ascii="Times New Roman" w:cs="Times New Roman" w:eastAsia="Times New Roman" w:hAnsi="Times New Roman"/>
          <w:sz w:val="17"/>
          <w:szCs w:val="17"/>
          <w:b w:val="1"/>
          <w:bCs w:val="1"/>
          <w:color w:val="auto"/>
        </w:rPr>
        <w:t>SURRENDER OF COMPANY POWERS.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14.4</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as follows: Arcturus Therapeutics Holdings Inc., 10628 Science Center Drive, Suite 250, San Diego, California 92121, Attention: Secretary.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83"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14.5</w:t>
      </w:r>
      <w:r>
        <w:rPr>
          <w:sz w:val="20"/>
          <w:szCs w:val="20"/>
          <w:color w:val="auto"/>
        </w:rPr>
        <w:tab/>
      </w:r>
      <w:r>
        <w:rPr>
          <w:rFonts w:ascii="Times New Roman" w:cs="Times New Roman" w:eastAsia="Times New Roman" w:hAnsi="Times New Roman"/>
          <w:sz w:val="17"/>
          <w:szCs w:val="17"/>
          <w:b w:val="1"/>
          <w:bCs w:val="1"/>
          <w:color w:val="auto"/>
        </w:rPr>
        <w:t>GOVERNING LAW/WAIVER OF JURY TRIAL.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 EACH PARTY HERETO HEREBY WAIVES, TO THE FULLEST EXTENT PERMITTED BY APPLICABLE LAW, ANY RIGHT IT MAY HAVE TO A TRIAL BY JURY IN RESPECT OF ANY LITIGATION DIRECTLY OR INDIRECTLY ARISING OUT OF, UNDER OR IN CONNECTION WITH THIS AGREEMENT.</w:t>
      </w:r>
    </w:p>
    <w:p>
      <w:pPr>
        <w:spacing w:after="0" w:line="176"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14.6</w:t>
      </w:r>
      <w:r>
        <w:rPr>
          <w:sz w:val="20"/>
          <w:szCs w:val="20"/>
          <w:color w:val="auto"/>
        </w:rPr>
        <w:tab/>
      </w:r>
      <w:r>
        <w:rPr>
          <w:rFonts w:ascii="Times New Roman" w:cs="Times New Roman" w:eastAsia="Times New Roman" w:hAnsi="Times New Roman"/>
          <w:sz w:val="17"/>
          <w:szCs w:val="17"/>
          <w:b w:val="1"/>
          <w:bCs w:val="1"/>
          <w:color w:val="auto"/>
        </w:rPr>
        <w:t>TREATMENT OF SECURITIES AS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5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14.7</w:t>
      </w:r>
      <w:r>
        <w:rPr>
          <w:sz w:val="20"/>
          <w:szCs w:val="20"/>
          <w:color w:val="auto"/>
        </w:rPr>
        <w:tab/>
      </w:r>
      <w:r>
        <w:rPr>
          <w:rFonts w:ascii="Times New Roman" w:cs="Times New Roman" w:eastAsia="Times New Roman" w:hAnsi="Times New Roman"/>
          <w:sz w:val="17"/>
          <w:szCs w:val="17"/>
          <w:b w:val="1"/>
          <w:bCs w:val="1"/>
          <w:color w:val="auto"/>
        </w:rPr>
        <w:t>COMPLIANCE CERTIFICATES AND OPINIONS.</w:t>
      </w:r>
    </w:p>
    <w:p>
      <w:pPr>
        <w:spacing w:after="0" w:line="229" w:lineRule="exact"/>
        <w:rPr>
          <w:sz w:val="20"/>
          <w:szCs w:val="20"/>
          <w:color w:val="auto"/>
        </w:rPr>
      </w:pPr>
    </w:p>
    <w:p>
      <w:pPr>
        <w:jc w:val="both"/>
        <w:ind w:firstLine="656"/>
        <w:spacing w:after="0" w:line="258" w:lineRule="auto"/>
        <w:tabs>
          <w:tab w:leader="none" w:pos="89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0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3"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14.8</w:t>
      </w:r>
      <w:r>
        <w:rPr>
          <w:sz w:val="20"/>
          <w:szCs w:val="20"/>
          <w:color w:val="auto"/>
        </w:rPr>
        <w:tab/>
      </w:r>
      <w:r>
        <w:rPr>
          <w:rFonts w:ascii="Times New Roman" w:cs="Times New Roman" w:eastAsia="Times New Roman" w:hAnsi="Times New Roman"/>
          <w:sz w:val="17"/>
          <w:szCs w:val="17"/>
          <w:b w:val="1"/>
          <w:bCs w:val="1"/>
          <w:color w:val="auto"/>
        </w:rPr>
        <w:t>PAYMENTS ON BUSINESS DAYS.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provided pursuant to Section 2.1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76"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14.9</w:t>
      </w:r>
      <w:r>
        <w:rPr>
          <w:sz w:val="20"/>
          <w:szCs w:val="20"/>
          <w:color w:val="auto"/>
        </w:rPr>
        <w:tab/>
      </w:r>
      <w:r>
        <w:rPr>
          <w:rFonts w:ascii="Times New Roman" w:cs="Times New Roman" w:eastAsia="Times New Roman" w:hAnsi="Times New Roman"/>
          <w:sz w:val="17"/>
          <w:szCs w:val="17"/>
          <w:b w:val="1"/>
          <w:bCs w:val="1"/>
          <w:color w:val="auto"/>
        </w:rPr>
        <w:t>CONFLICT WITH TRUST INDENTURE ACT.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any provision of the Trust Indenture Act, such Trust Indenture Act provision shall control.</w:t>
      </w:r>
    </w:p>
    <w:p>
      <w:pPr>
        <w:spacing w:after="0" w:line="15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14.10</w:t>
      </w:r>
      <w:r>
        <w:rPr>
          <w:sz w:val="20"/>
          <w:szCs w:val="20"/>
          <w:color w:val="auto"/>
        </w:rPr>
        <w:tab/>
      </w:r>
      <w:r>
        <w:rPr>
          <w:rFonts w:ascii="Times New Roman" w:cs="Times New Roman" w:eastAsia="Times New Roman" w:hAnsi="Times New Roman"/>
          <w:sz w:val="17"/>
          <w:szCs w:val="17"/>
          <w:b w:val="1"/>
          <w:bCs w:val="1"/>
          <w:color w:val="auto"/>
        </w:rPr>
        <w:t>COUNTERPARTS.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deemed an original, but such counterparts shall together constitute but one and the same instrument.</w:t>
      </w:r>
    </w:p>
    <w:p>
      <w:pPr>
        <w:spacing w:after="0" w:line="158"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14.11</w:t>
      </w:r>
      <w:r>
        <w:rPr>
          <w:sz w:val="20"/>
          <w:szCs w:val="20"/>
          <w:color w:val="auto"/>
        </w:rPr>
        <w:tab/>
      </w:r>
      <w:r>
        <w:rPr>
          <w:rFonts w:ascii="Times New Roman" w:cs="Times New Roman" w:eastAsia="Times New Roman" w:hAnsi="Times New Roman"/>
          <w:sz w:val="17"/>
          <w:szCs w:val="17"/>
          <w:b w:val="1"/>
          <w:bCs w:val="1"/>
          <w:color w:val="auto"/>
        </w:rPr>
        <w:t>SEVERABILITY.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14.12</w:t>
      </w:r>
      <w:r>
        <w:rPr>
          <w:sz w:val="20"/>
          <w:szCs w:val="20"/>
          <w:color w:val="auto"/>
        </w:rPr>
        <w:tab/>
      </w:r>
      <w:r>
        <w:rPr>
          <w:rFonts w:ascii="Times New Roman" w:cs="Times New Roman" w:eastAsia="Times New Roman" w:hAnsi="Times New Roman"/>
          <w:sz w:val="17"/>
          <w:szCs w:val="17"/>
          <w:b w:val="1"/>
          <w:bCs w:val="1"/>
          <w:color w:val="auto"/>
        </w:rPr>
        <w:t>COMPLIANCE CERTIFICATES.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Default or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14.12, such compliance shall be determined without regard to any period of grace or requirement of notice provided under this Indenture. If any of the officers of the Company signing such certificate has knowledge of such a Default or Event of Default, the certificate shall describe any such Default or Event of Default and its status.</w:t>
      </w:r>
    </w:p>
    <w:p>
      <w:pPr>
        <w:spacing w:after="0" w:line="18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14.13</w:t>
      </w:r>
      <w:r>
        <w:rPr>
          <w:sz w:val="20"/>
          <w:szCs w:val="20"/>
          <w:color w:val="auto"/>
        </w:rPr>
        <w:tab/>
      </w:r>
      <w:r>
        <w:rPr>
          <w:rFonts w:ascii="Times New Roman" w:cs="Times New Roman" w:eastAsia="Times New Roman" w:hAnsi="Times New Roman"/>
          <w:sz w:val="17"/>
          <w:szCs w:val="17"/>
          <w:b w:val="1"/>
          <w:bCs w:val="1"/>
          <w:color w:val="auto"/>
        </w:rPr>
        <w:t>USA PATRIOT ACT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(Title III of Pub. L. 107-56 (signed into law October 26, 2001)) (as amended, modified or supplemented from time to time, the “</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the Trustee, like all financial institutions, is required to obtain, verify, and record information that identifies each Person or legal entity that opens an account. The parties to this Indenture agree that they will provide the Trustee with such information as the Trustee may request in order for the Trustee to satisfy the requirements of the USA Patriot Act.</w:t>
      </w:r>
    </w:p>
    <w:p>
      <w:pPr>
        <w:spacing w:after="0" w:line="176"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14.14</w:t>
      </w:r>
      <w:r>
        <w:rPr>
          <w:sz w:val="20"/>
          <w:szCs w:val="20"/>
          <w:color w:val="auto"/>
        </w:rPr>
        <w:tab/>
      </w:r>
      <w:r>
        <w:rPr>
          <w:rFonts w:ascii="Times New Roman" w:cs="Times New Roman" w:eastAsia="Times New Roman" w:hAnsi="Times New Roman"/>
          <w:sz w:val="17"/>
          <w:szCs w:val="17"/>
          <w:b w:val="1"/>
          <w:bCs w:val="1"/>
          <w:color w:val="auto"/>
        </w:rPr>
        <w:t>CONSENT TO JURISDICTION AND SERVICE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applicable law, each party hereby irrevocably submits to the non-exclusive jurisdiction of any Federal or State court located in the Borough of Manhattan in The City of New York, New York in any suit, action or proceeding based on or arising out of or relating to this Indenture or any Securities and irrevocably agrees that all claims in respect of such suit or proceeding may be determined in any such court. Each party irrevocably waives, to the fullest extent permitted by law, any objection which it may have to the laying of the venue of any such suit, action or proceeding brought in an inconvenient forum. Each party agrees that final judgment in any such suit, action or proceeding brought in such a court shall be conclusive and binding upon such party, and may be enforced in any courts to the jurisdiction of which such party is subject by a suit upon such judgment, provided, that service of process is effected upon such party in the manner specified herein or as otherwise permitted by law.</w:t>
      </w:r>
    </w:p>
    <w:p>
      <w:pPr>
        <w:spacing w:after="0" w:line="185"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14.15</w:t>
      </w:r>
      <w:r>
        <w:rPr>
          <w:sz w:val="20"/>
          <w:szCs w:val="20"/>
          <w:color w:val="auto"/>
        </w:rPr>
        <w:tab/>
      </w:r>
      <w:r>
        <w:rPr>
          <w:rFonts w:ascii="Times New Roman" w:cs="Times New Roman" w:eastAsia="Times New Roman" w:hAnsi="Times New Roman"/>
          <w:sz w:val="18"/>
          <w:szCs w:val="18"/>
          <w:b w:val="1"/>
          <w:bCs w:val="1"/>
          <w:color w:val="auto"/>
        </w:rPr>
        <w:t>FORCE MAJEURE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all as of the day and year first above written.</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 as Trustee</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1320165" cy="248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United States</w:t>
      </w:r>
    </w:p>
    <w:p>
      <w:pPr>
        <w:spacing w:after="0" w:line="216" w:lineRule="exact"/>
        <w:rPr>
          <w:sz w:val="20"/>
          <w:szCs w:val="20"/>
          <w:color w:val="auto"/>
        </w:rPr>
      </w:pPr>
    </w:p>
    <w:p>
      <w:pPr>
        <w:jc w:val="right"/>
        <w:spacing w:after="0" w:line="219" w:lineRule="exact"/>
        <w:rPr>
          <w:sz w:val="20"/>
          <w:szCs w:val="20"/>
          <w:color w:val="auto"/>
        </w:rPr>
      </w:pPr>
      <w:r>
        <w:rPr>
          <w:rFonts w:ascii="SimSun" w:cs="SimSun" w:eastAsia="SimSun" w:hAnsi="SimSun"/>
          <w:sz w:val="18"/>
          <w:szCs w:val="18"/>
          <w:color w:val="000000"/>
        </w:rPr>
        <w:t>大成</w:t>
      </w:r>
      <w:r>
        <w:rPr>
          <w:rFonts w:ascii="Times New Roman" w:cs="Times New Roman" w:eastAsia="Times New Roman" w:hAnsi="Times New Roman"/>
          <w:sz w:val="18"/>
          <w:szCs w:val="18"/>
          <w:b w:val="1"/>
          <w:bCs w:val="1"/>
          <w:color w:val="6E2D91"/>
        </w:rPr>
        <w:t xml:space="preserve"> Salans FMC SNR Denton McKenna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4787265</wp:posOffset>
            </wp:positionH>
            <wp:positionV relativeFrom="paragraph">
              <wp:posOffset>-133350</wp:posOffset>
            </wp:positionV>
            <wp:extent cx="255270" cy="1390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55270" cy="13906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dentons.com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7,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Arcturus Therapeutics Holdings Inc. 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acted as counsel to Arcturus Therapeutics Holdings Inc., a Delaware corporation (the “Company”), in connection with the preparation and filing of a Registration Statement on Form S-3 (the “Registration Statement”) with the Securities and Exchange Commission (the “Commission”) under the Securities Act of 1933, as amended (the “Securities Act”), relating to the registration under the Securities Act and the proposed issuance and sale from time to time by the Company of an indeterminate amount of one or more of the following securities (each a “Company Security” and collectively, or in any combination, the “Company Securities”):</w:t>
      </w:r>
    </w:p>
    <w:p>
      <w:pPr>
        <w:spacing w:after="0" w:line="183" w:lineRule="exact"/>
        <w:rPr>
          <w:sz w:val="20"/>
          <w:szCs w:val="20"/>
          <w:color w:val="auto"/>
        </w:rPr>
      </w:pPr>
    </w:p>
    <w:p>
      <w:pPr>
        <w:ind w:left="220" w:hanging="212"/>
        <w:spacing w:after="0"/>
        <w:tabs>
          <w:tab w:leader="none" w:pos="2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common stock, $0.001 par value per share (the “Common Stock”);</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classes or series of shares of the Company’s preferred stock, $0.001 par value per share (the “Preferred Stock”);</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series of debt securities, which may be senior or subordinated debt or senior or subordinated convertible debt (the “Debt Securities”);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representing the rights to purchase shares of Common Stock, Preferred Stock, or Debt Securities (the “Warrants”);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one or more of the Company Securities in one or more series and in any combination (the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being furnished to the Company in accordance with the requirements of Item 601(b)(5) of Regulation S-K.</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Securities may be issued and sold by the Company from time to time on a delayed or continuous basis pursuant to applicable provisions of Rule 415 under the Securities Act, in amounts, at prices and on terms to be determined in light of market conditions at the time of sale, and as set forth in the Registration Statement, any amendment thereto, the prospectus contained therein (the “Base Prospectus”) and any supplements to the Prospectus (each, together with the Base Prospectus, a “Prospectus”). This opinion letter is limited to the laws, including the rules and regulations, as in effect on the date hereof. We are basing this opinion on our understanding that, prior to issuing any Company Securities in connection with the Registration Statement, the Company will advise us in writing of the terms thereof and other information material thereto, will afford us an opportunity to review the operative documents pursuant to which such Company Securities are to be issued (including the Registration Statement, the Prospectus and the applicable supplement to the Prospectus, as then in effect) and will file such supplement or amendment to this opinion letter (if any) as we may reasonably consider necessary or appropriate with respect to such Company Securities. However, we undertake no responsibility to monitor the Company’s future compliance with applicable laws, rules or regulations of the Commission or other governmental body.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rendering this opinion, we have examined originals, certified copies or copies otherwise identified as being true copies of the following:</w:t>
      </w:r>
    </w:p>
    <w:p>
      <w:pPr>
        <w:spacing w:after="0" w:line="225" w:lineRule="exact"/>
        <w:rPr>
          <w:sz w:val="20"/>
          <w:szCs w:val="20"/>
          <w:color w:val="auto"/>
        </w:rPr>
      </w:pP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Company (the “Certificate of Incorporation”);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Company, as amended to date (the “Bylaws”);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proceedings of the Company relating to its proposed issuance of the Company Securities;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instruments and documents as we have deemed relevant or necessary in connection with our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1320165" cy="248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United States</w:t>
      </w:r>
    </w:p>
    <w:p>
      <w:pPr>
        <w:spacing w:after="0" w:line="216" w:lineRule="exact"/>
        <w:rPr>
          <w:sz w:val="20"/>
          <w:szCs w:val="20"/>
          <w:color w:val="auto"/>
        </w:rPr>
      </w:pPr>
    </w:p>
    <w:p>
      <w:pPr>
        <w:jc w:val="right"/>
        <w:spacing w:after="0" w:line="219" w:lineRule="exact"/>
        <w:rPr>
          <w:sz w:val="20"/>
          <w:szCs w:val="20"/>
          <w:color w:val="auto"/>
        </w:rPr>
      </w:pPr>
      <w:r>
        <w:rPr>
          <w:rFonts w:ascii="SimSun" w:cs="SimSun" w:eastAsia="SimSun" w:hAnsi="SimSun"/>
          <w:sz w:val="18"/>
          <w:szCs w:val="18"/>
          <w:color w:val="000000"/>
        </w:rPr>
        <w:t>大成</w:t>
      </w:r>
      <w:r>
        <w:rPr>
          <w:rFonts w:ascii="Times New Roman" w:cs="Times New Roman" w:eastAsia="Times New Roman" w:hAnsi="Times New Roman"/>
          <w:sz w:val="18"/>
          <w:szCs w:val="18"/>
          <w:b w:val="1"/>
          <w:bCs w:val="1"/>
          <w:color w:val="6E2D91"/>
        </w:rPr>
        <w:t xml:space="preserve"> Salans FMC SNR Denton McKenna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4787265</wp:posOffset>
            </wp:positionH>
            <wp:positionV relativeFrom="paragraph">
              <wp:posOffset>-133350</wp:posOffset>
            </wp:positionV>
            <wp:extent cx="255270" cy="139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55270" cy="139065"/>
                    </a:xfrm>
                    <a:prstGeom prst="rect">
                      <a:avLst/>
                    </a:prstGeom>
                    <a:noFill/>
                  </pic:spPr>
                </pic:pic>
              </a:graphicData>
            </a:graphic>
          </wp:anchor>
        </w:drawing>
      </w:r>
    </w:p>
    <w:p>
      <w:pPr>
        <w:ind w:left="10300"/>
        <w:spacing w:after="0"/>
        <w:rPr>
          <w:sz w:val="20"/>
          <w:szCs w:val="20"/>
          <w:color w:val="auto"/>
        </w:rPr>
      </w:pPr>
      <w:r>
        <w:rPr>
          <w:rFonts w:ascii="Times New Roman" w:cs="Times New Roman" w:eastAsia="Times New Roman" w:hAnsi="Times New Roman"/>
          <w:sz w:val="18"/>
          <w:szCs w:val="18"/>
          <w:color w:val="auto"/>
        </w:rPr>
        <w:t>dentons.com</w:t>
      </w:r>
    </w:p>
    <w:p>
      <w:pPr>
        <w:spacing w:after="0" w:line="247"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Unless otherwise provided in any Prospectus relating to a particular series of Debt Securities, the Debt Securities will be issued pursuant to an indenture (the “Indenture”) between the Company and a trustee to be named in the applicable supplement to the Prospectus (the “Trustee”). Any Debt Securities may be convertible into shares of Common Stock or other Company Securities. The Company Securities are to be sold pursuant to a purchase, underwriting or similar agreement in substantially the form to be filed under a Current Report on Form 8-K. The Warrants will be issued under one or more warrant agreements (each, a “Warrant Agreement”). The Units will be issued under one or more unit purchase agreements (each a “Unit Purchase Agreement”).</w:t>
      </w:r>
    </w:p>
    <w:p>
      <w:pPr>
        <w:spacing w:after="0" w:line="1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making the aforesaid examinations, we have assumed the genuineness and authenticity of all documents examined by us and all signatures therein and the conformity to originals of all copies of all documents examined by us. We have also assumed that the corporate records furnished to us by the Company include all corporate proceedings taken by it to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and subject to the assumptions, qualifications and limitations set forth herein, we are of the opinion that:</w:t>
      </w:r>
    </w:p>
    <w:p>
      <w:pPr>
        <w:spacing w:after="0" w:line="225" w:lineRule="exact"/>
        <w:rPr>
          <w:sz w:val="20"/>
          <w:szCs w:val="20"/>
          <w:color w:val="auto"/>
        </w:rPr>
      </w:pPr>
    </w:p>
    <w:p>
      <w:pPr>
        <w:ind w:right="20" w:firstLine="8"/>
        <w:spacing w:after="0" w:line="253" w:lineRule="auto"/>
        <w:tabs>
          <w:tab w:leader="none" w:pos="2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Common Stock, when all necessary corporate action of the Company has been taken to approve an issuance of shares of Common Stock, and certificates representing the shares of Common Stock have been duly executed, countersigned, registered and delivered (or non-certificated shares of Common Stock shall have been properly issued), either (i) in accordance with the applicable definitive purchase, underwriting or similar agreement approved by the Board of Directors of the Company (the “Board of Directors”), upon payment of the consideration therefor (which consideration shall not be less than the par value of the Common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for the consideration therefor set forth in the applicable agreement and approved by the Board of Directors, which consideration shall not be less than the par value of the Common Stock, such shares of Common Stock, including the shares of Common Stock that form a part of any Units, will be validly issued, fully paid and non-assessable.</w:t>
      </w:r>
    </w:p>
    <w:p>
      <w:pPr>
        <w:spacing w:after="0" w:line="194" w:lineRule="exact"/>
        <w:rPr>
          <w:rFonts w:ascii="Times New Roman" w:cs="Times New Roman" w:eastAsia="Times New Roman" w:hAnsi="Times New Roman"/>
          <w:sz w:val="18"/>
          <w:szCs w:val="18"/>
          <w:color w:val="auto"/>
        </w:rPr>
      </w:pPr>
    </w:p>
    <w:p>
      <w:pPr>
        <w:ind w:right="20" w:firstLine="8"/>
        <w:spacing w:after="0" w:line="253" w:lineRule="auto"/>
        <w:tabs>
          <w:tab w:leader="none" w:pos="2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any series of Preferred Stock, when all necessary corporate action of the Company has been taken to approve an issuance of shares of Preferred Stock and the terms of the shares of such series, including the adoption of a certificate of designation or amendment to the Certificate of Incorporation fixing and determining the terms of such Preferred Stock conforming to the Delaware General Corporation Law, the filing of a certificate or amendment, as applicable, with the Secretary of State of the State of Delaware, the payment in full of any filing fees attendant thereto, and the due reservation of any Common Stock and Preferred Stock for issuance, and certificates representing the shares of the series of Preferred Stock have been duly executed, countersigned, registered and delivered, either (i) in accordance with the applicable definitive purchase, underwriting or similar agreement approved by the Board of Directors, upon payment of the consideration therefor (which consideration shall not be less than the par value of the Preferred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for the consideration approved by the Board of Directors, which consideration shall not be less than the par value of the Preferred Stock, the shares of such series of Preferred Stock, including the shares of Preferred Stock that form a part of any Units, will be validly issued, fully paid and non-assessable.</w:t>
      </w:r>
    </w:p>
    <w:p>
      <w:pPr>
        <w:spacing w:after="0" w:line="189" w:lineRule="exact"/>
        <w:rPr>
          <w:rFonts w:ascii="Times New Roman" w:cs="Times New Roman" w:eastAsia="Times New Roman" w:hAnsi="Times New Roman"/>
          <w:sz w:val="18"/>
          <w:szCs w:val="18"/>
          <w:color w:val="auto"/>
        </w:rPr>
      </w:pPr>
    </w:p>
    <w:p>
      <w:pPr>
        <w:ind w:firstLine="8"/>
        <w:spacing w:after="0" w:line="254" w:lineRule="auto"/>
        <w:tabs>
          <w:tab w:leader="none" w:pos="2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Debt Securities, when (a) the Indenture and the applicable supplement, if any, to the Indenture have been duly authorized and validly executed and delivered by the Company and any Trustee named in the Prospectus relating to such series, (b) the Indenture, as then and theretofore amended or supplemented, has been duly qualified under the Trust Indenture Act of 1939, as amended (the “TIA”), (c) the Company has taken all necessary corporate action to authorize and approve the issuance and terms of such series of Debt Securities, (d) the terms of such Debt Securities and of their issuance and sale have been duly established in conformity with the applicable Indenture, and (e) such Debt Securities have been duly executed, authenticated, issued and delivered in accordance with the provisions of the Indenture and the applicable supplement, the Debt Securities of such series, including the Debt Securities that form a part of any Units, will constitute valid and binding obligations of the Company, enforceable against the Company in accordance with their terms.</w:t>
      </w:r>
    </w:p>
    <w:p>
      <w:pPr>
        <w:spacing w:after="0" w:line="191" w:lineRule="exact"/>
        <w:rPr>
          <w:rFonts w:ascii="Times New Roman" w:cs="Times New Roman" w:eastAsia="Times New Roman" w:hAnsi="Times New Roman"/>
          <w:sz w:val="18"/>
          <w:szCs w:val="18"/>
          <w:color w:val="auto"/>
        </w:rPr>
      </w:pPr>
    </w:p>
    <w:p>
      <w:pPr>
        <w:ind w:right="80" w:firstLine="8"/>
        <w:spacing w:after="0" w:line="256" w:lineRule="auto"/>
        <w:tabs>
          <w:tab w:leader="none" w:pos="2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Warrants to be issued under a Warrant Agreement, when all necessary corporate action of the Company has been taken to approve the issuance and terms of such Warrants, the terms of the offering thereof and related matters, the Warrant Agreement has been duly executed and delivered by the Company, and such Warrants have been duly executed, issued and delivered in accordance with the terms of the Warrant Agreement and the applicable definitive purchase, underwriting or similar agreement approved by the Board of Directors, upon payment (or delivery) of the consideration therefor provided for therein, such Warrants, including the Warrants that form a part of any Units, will constitute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-119380</wp:posOffset>
            </wp:positionV>
            <wp:extent cx="1320165" cy="248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320165" cy="24892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United States</w:t>
      </w:r>
    </w:p>
    <w:p>
      <w:pPr>
        <w:spacing w:after="0" w:line="216" w:lineRule="exact"/>
        <w:rPr>
          <w:sz w:val="20"/>
          <w:szCs w:val="20"/>
          <w:color w:val="auto"/>
        </w:rPr>
      </w:pPr>
    </w:p>
    <w:p>
      <w:pPr>
        <w:jc w:val="right"/>
        <w:spacing w:after="0" w:line="219" w:lineRule="exact"/>
        <w:rPr>
          <w:sz w:val="20"/>
          <w:szCs w:val="20"/>
          <w:color w:val="auto"/>
        </w:rPr>
      </w:pPr>
      <w:r>
        <w:rPr>
          <w:rFonts w:ascii="SimSun" w:cs="SimSun" w:eastAsia="SimSun" w:hAnsi="SimSun"/>
          <w:sz w:val="18"/>
          <w:szCs w:val="18"/>
          <w:color w:val="000000"/>
        </w:rPr>
        <w:t>大成</w:t>
      </w:r>
      <w:r>
        <w:rPr>
          <w:rFonts w:ascii="Times New Roman" w:cs="Times New Roman" w:eastAsia="Times New Roman" w:hAnsi="Times New Roman"/>
          <w:sz w:val="18"/>
          <w:szCs w:val="18"/>
          <w:b w:val="1"/>
          <w:bCs w:val="1"/>
          <w:color w:val="6E2D91"/>
        </w:rPr>
        <w:t xml:space="preserve"> Salans FMC SNR Denton McKenna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4787265</wp:posOffset>
            </wp:positionH>
            <wp:positionV relativeFrom="paragraph">
              <wp:posOffset>-133350</wp:posOffset>
            </wp:positionV>
            <wp:extent cx="255270" cy="1390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55270" cy="13906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dentons.com</w:t>
      </w:r>
    </w:p>
    <w:p>
      <w:pPr>
        <w:spacing w:after="0" w:line="247" w:lineRule="exact"/>
        <w:rPr>
          <w:sz w:val="20"/>
          <w:szCs w:val="20"/>
          <w:color w:val="auto"/>
        </w:rPr>
      </w:pPr>
    </w:p>
    <w:p>
      <w:pPr>
        <w:ind w:right="260" w:firstLine="8"/>
        <w:spacing w:after="0" w:line="254" w:lineRule="auto"/>
        <w:tabs>
          <w:tab w:leader="none" w:pos="2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when all necessary corporate action of the Company has been taken to approve and establish the terms of the Units and to authorize and approve the issuance of the Company Securities comprising the Units, the terms of the offering and related matters, the Unit Purchase Agreement has been duly authorized, validly executed and delivered by the parties thereto, and the Units and/or the Company Securities comprising the Units have been duly executed and delivered in accordance with the applicable definitive purchase, underwriting or similar agreement approved by the board of directors of the Company, upon payment of the consideration provided therefor in the definitive purchase, underwriting or similar agreement as applicable and approved by the Board of Directors, which consideration shall not be less than the aggregate par value of any Common Stock and/or Preferred Stock included in the Units, the Units will constitute valid and binding obligations of the Company, enforceable against the Company in accordance with their terms.</w:t>
      </w:r>
    </w:p>
    <w:p>
      <w:pPr>
        <w:spacing w:after="0" w:line="19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opinions are subject to the effect of federal and state bankruptcy, insolvency, reorganization, arrangement, moratorium, fraudulent conveyance and other laws relating to or affecting the rights of secured or unsecured creditors generally (or affecting the rights of only creditors of specific types of debtors), with respect to which we express no opinion.</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opinions are subject to the effect of general principals of equity, whether applied by a court of law or equity, including, without limitation, concepts of materiality, good faith and fair dealing and upon the availability of injunctive relief or other equitable remedies, and the application of principles of equity (regardless of whether enforcement is considered in proceedings at law or in equity).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informed us that it intends to issue Company Securities from time to time on a delayed or continuous basis. The opinions set forth above are limited to applicable laws as in effect on the date hereof. Prior to issuing any Company Securities pursuant to the Registration Statement (i) the Company will advise us in writing of the terms thereof, and (ii) the Company will afford us an opportunity to review the documents pursuant to which such Company Securities are to be issued or sold (including the applicable offering documents), and the Company will file such supplement or amendment to this opinion (if any) as we may reasonably consider necessary or appropriate.</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express no opinion as to the laws of any jurisdiction other than (i) the corporate laws of the State of Delaware (including the Delaware General Corporation Law and applicable provisions of the Delaware constitution, but excluding local laws), (ii) with respect to opinion paragraphs 3 through 6, the laws of the State of New York, and (iii) the federal laws of the United States of America.</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hereby consent to the use of our opinion as herein set forth as an exhibit to the Registration Statement and to the use of our name under the caption “Legal Matters” in the prospectus forming a part of the Registration Statement. We do not, by giving such consent, admit that we are within the category of persons whose consent is required under Section 7 of the Act.</w:t>
      </w:r>
    </w:p>
    <w:p>
      <w:pPr>
        <w:spacing w:after="0" w:line="1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Dentons US LLP</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Dentons US LLP</w:t>
      </w:r>
    </w:p>
    <w:p>
      <w:pPr>
        <w:sectPr>
          <w:pgSz w:w="11900" w:h="16838" w:orient="portrait"/>
          <w:cols w:equalWidth="0" w:num="1">
            <w:col w:w="11240"/>
          </w:cols>
          <w:pgMar w:left="320" w:top="337" w:right="339" w:bottom="1440" w:gutter="0" w:footer="0" w:header="0"/>
        </w:sectPr>
      </w:pPr>
    </w:p>
    <w:bookmarkStart w:id="73" w:name="page74"/>
    <w:bookmarkEnd w:id="7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S-3) and related Prospectus of Arcturus Therapeutics Holdings Inc. for the registration of common stock, preferred stock, debt securities, warrants for debt or equity securities and units and to the incorporation by reference therein of our reports dated March 16, 2020, with respect to the consolidated financial statements of Arcturus Therapeutics Holdings Inc. and its Subsidiaries, and the effectiveness of internal control over financial reporting of Arcturus Therapeutics Holdings Inc. and its Subsidiaries, included in its Annual Report (Form 10-K) for the year ended December 31, 2019, filed with the Securities and Exchange Commission.</w:t>
      </w:r>
    </w:p>
    <w:p>
      <w:pPr>
        <w:spacing w:after="0" w:line="18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7, 2020</w:t>
      </w:r>
    </w:p>
    <w:sectPr>
      <w:pgSz w:w="11900" w:h="16838" w:orient="portrait"/>
      <w:cols w:equalWidth="0" w:num="1">
        <w:col w:w="11120"/>
      </w:cols>
      <w:pgMar w:left="320" w:top="36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lvl w:ilvl="1">
      <w:lvlJc w:val="left"/>
      <w:lvlText w:val="·"/>
      <w:numFmt w:val="bullet"/>
      <w:start w:val="1"/>
    </w:lvl>
  </w:abstractNum>
  <w:abstractNum w:abstractNumId="6">
    <w:nsid w:val="6A2342EC"/>
    <w:multiLevelType w:val="hybridMultilevel"/>
    <w:lvl w:ilvl="0">
      <w:lvlJc w:val="left"/>
      <w:lvlText w:val="·"/>
      <w:numFmt w:val="bullet"/>
      <w:start w:val="1"/>
    </w:lvl>
    <w:lvl w:ilvl="1">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lowerRoman"/>
      <w:start w:val="2"/>
    </w:lvl>
  </w:abstractNum>
  <w:abstractNum w:abstractNumId="25">
    <w:nsid w:val="75C6C3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6">
    <w:nsid w:val="12E685FB"/>
    <w:multiLevelType w:val="hybridMultilevel"/>
    <w:lvl w:ilvl="0">
      <w:lvlJc w:val="left"/>
      <w:lvlText w:val="(%1)"/>
      <w:numFmt w:val="lowerRoman"/>
      <w:start w:val="2"/>
    </w:lvl>
  </w:abstractNum>
  <w:abstractNum w:abstractNumId="27">
    <w:nsid w:val="70C6A529"/>
    <w:multiLevelType w:val="hybridMultilevel"/>
    <w:lvl w:ilvl="0">
      <w:lvlJc w:val="left"/>
      <w:lvlText w:val="(%1)"/>
      <w:numFmt w:val="decimal"/>
      <w:start w:val="2"/>
    </w:lvl>
    <w:lvl w:ilvl="1">
      <w:lvlJc w:val="left"/>
      <w:lvlText w:val="(%2)"/>
      <w:numFmt w:val="lowerRoman"/>
      <w:start w:val="1"/>
    </w:lvl>
  </w:abstractNum>
  <w:abstractNum w:abstractNumId="28">
    <w:nsid w:val="520EEDD1"/>
    <w:multiLevelType w:val="hybridMultilevel"/>
    <w:lvl w:ilvl="0">
      <w:lvlJc w:val="left"/>
      <w:lvlText w:val="%1"/>
      <w:numFmt w:val="lowerLetter"/>
      <w:start w:val="1"/>
    </w:lvl>
    <w:lvl w:ilvl="1">
      <w:lvlJc w:val="left"/>
      <w:lvlText w:val="(%2)"/>
      <w:numFmt w:val="lowerRoman"/>
      <w:start w:val="3"/>
    </w:lvl>
  </w:abstractNum>
  <w:abstractNum w:abstractNumId="29">
    <w:nsid w:val="374A3FE6"/>
    <w:multiLevelType w:val="hybridMultilevel"/>
    <w:lvl w:ilvl="0">
      <w:lvlJc w:val="left"/>
      <w:lvlText w:val="(%1)"/>
      <w:numFmt w:val="lowerLetter"/>
      <w:start w:val="2"/>
    </w:lvl>
    <w:lvl w:ilvl="1">
      <w:lvlJc w:val="left"/>
      <w:lvlText w:val="%2"/>
      <w:numFmt w:val="lowerRoman"/>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1)"/>
      <w:numFmt w:val="decimal"/>
      <w:start w:val="15"/>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1)"/>
      <w:numFmt w:val="lowerLetter"/>
      <w:start w:val="1"/>
    </w:lvl>
  </w:abstractNum>
  <w:abstractNum w:abstractNumId="36">
    <w:nsid w:val="180115BE"/>
    <w:multiLevelType w:val="hybridMultilevel"/>
    <w:lvl w:ilvl="0">
      <w:lvlJc w:val="left"/>
      <w:lvlText w:val="(%1)"/>
      <w:numFmt w:val="lowerLetter"/>
      <w:start w:val="3"/>
    </w:lvl>
  </w:abstractNum>
  <w:abstractNum w:abstractNumId="37">
    <w:nsid w:val="235BA861"/>
    <w:multiLevelType w:val="hybridMultilevel"/>
    <w:lvl w:ilvl="0">
      <w:lvlJc w:val="left"/>
      <w:lvlText w:val="(%1)"/>
      <w:numFmt w:val="lowerLetter"/>
      <w:start w:val="1"/>
    </w:lvl>
  </w:abstractNum>
  <w:abstractNum w:abstractNumId="38">
    <w:nsid w:val="47398C89"/>
    <w:multiLevelType w:val="hybridMultilevel"/>
    <w:lvl w:ilvl="0">
      <w:lvlJc w:val="left"/>
      <w:lvlText w:val="(%1)"/>
      <w:numFmt w:val="lowerLetter"/>
      <w:start w:val="1"/>
    </w:lvl>
  </w:abstractNum>
  <w:abstractNum w:abstractNumId="39">
    <w:nsid w:val="354FE9F9"/>
    <w:multiLevelType w:val="hybridMultilevel"/>
    <w:lvl w:ilvl="0">
      <w:lvlJc w:val="left"/>
      <w:lvlText w:val="(%1)"/>
      <w:numFmt w:val="lowerLetter"/>
      <w:start w:val="2"/>
    </w:lvl>
  </w:abstractNum>
  <w:abstractNum w:abstractNumId="40">
    <w:nsid w:val="15B5AF5C"/>
    <w:multiLevelType w:val="hybridMultilevel"/>
    <w:lvl w:ilvl="0">
      <w:lvlJc w:val="left"/>
      <w:lvlText w:val="(%1)"/>
      <w:numFmt w:val="lowerLetter"/>
      <w:start w:val="1"/>
    </w:lvl>
  </w:abstractNum>
  <w:abstractNum w:abstractNumId="41">
    <w:nsid w:val="741226BB"/>
    <w:multiLevelType w:val="hybridMultilevel"/>
    <w:lvl w:ilvl="0">
      <w:lvlJc w:val="left"/>
      <w:lvlText w:val="(%1)"/>
      <w:numFmt w:val="lowerLetter"/>
      <w:start w:val="1"/>
    </w:lvl>
  </w:abstractNum>
  <w:abstractNum w:abstractNumId="42">
    <w:nsid w:val="D34B6A8"/>
    <w:multiLevelType w:val="hybridMultilevel"/>
    <w:lvl w:ilvl="0">
      <w:lvlJc w:val="left"/>
      <w:lvlText w:val="(%1)"/>
      <w:numFmt w:val="lowerLetter"/>
      <w:start w:val="2"/>
    </w:lvl>
    <w:lvl w:ilvl="1">
      <w:lvlJc w:val="left"/>
      <w:lvlText w:val="(%2)"/>
      <w:numFmt w:val="decimal"/>
      <w:start w:val="1"/>
    </w:lvl>
  </w:abstractNum>
  <w:abstractNum w:abstractNumId="43">
    <w:nsid w:val="10233C99"/>
    <w:multiLevelType w:val="hybridMultilevel"/>
    <w:lvl w:ilvl="0">
      <w:lvlJc w:val="left"/>
      <w:lvlText w:val="(%1)"/>
      <w:numFmt w:val="lowerLetter"/>
      <w:start w:val="5"/>
    </w:lvl>
  </w:abstractNum>
  <w:abstractNum w:abstractNumId="44">
    <w:nsid w:val="3F6AB60F"/>
    <w:multiLevelType w:val="hybridMultilevel"/>
    <w:lvl w:ilvl="0">
      <w:lvlJc w:val="left"/>
      <w:lvlText w:val="(%1)"/>
      <w:numFmt w:val="lowerLetter"/>
      <w:start w:val="1"/>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lowerLetter"/>
      <w:start w:val="1"/>
    </w:lvl>
    <w:lvl w:ilvl="1">
      <w:lvlJc w:val="left"/>
      <w:lvlText w:val="(%2)"/>
      <w:numFmt w:val="decimal"/>
      <w:start w:val="1"/>
    </w:lvl>
  </w:abstractNum>
  <w:abstractNum w:abstractNumId="48">
    <w:nsid w:val="579BE4F1"/>
    <w:multiLevelType w:val="hybridMultilevel"/>
    <w:lvl w:ilvl="0">
      <w:lvlJc w:val="left"/>
      <w:lvlText w:val="(%1)"/>
      <w:numFmt w:val="lowerLetter"/>
      <w:start w:val="2"/>
    </w:lvl>
  </w:abstractNum>
  <w:abstractNum w:abstractNumId="49">
    <w:nsid w:val="310C50B3"/>
    <w:multiLevelType w:val="hybridMultilevel"/>
    <w:lvl w:ilvl="0">
      <w:lvlJc w:val="left"/>
      <w:lvlText w:val="(%1)"/>
      <w:numFmt w:val="lowerLetter"/>
      <w:start w:val="4"/>
    </w:lvl>
  </w:abstractNum>
  <w:abstractNum w:abstractNumId="50">
    <w:nsid w:val="5FF87E05"/>
    <w:multiLevelType w:val="hybridMultilevel"/>
    <w:lvl w:ilvl="0">
      <w:lvlJc w:val="left"/>
      <w:lvlText w:val="(%1)"/>
      <w:numFmt w:val="lowerLetter"/>
      <w:start w:val="1"/>
    </w:lvl>
  </w:abstractNum>
  <w:abstractNum w:abstractNumId="51">
    <w:nsid w:val="2F305DEF"/>
    <w:multiLevelType w:val="hybridMultilevel"/>
    <w:lvl w:ilvl="0">
      <w:lvlJc w:val="left"/>
      <w:lvlText w:val="(%1)"/>
      <w:numFmt w:val="lowerLetter"/>
      <w:start w:val="4"/>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Letter"/>
      <w:start w:val="1"/>
    </w:lvl>
  </w:abstractNum>
  <w:abstractNum w:abstractNumId="54">
    <w:nsid w:val="4AD084E9"/>
    <w:multiLevelType w:val="hybridMultilevel"/>
    <w:lvl w:ilvl="0">
      <w:lvlJc w:val="left"/>
      <w:lvlText w:val="(%1)"/>
      <w:numFmt w:val="lowerLetter"/>
      <w:start w:val="2"/>
    </w:lvl>
    <w:lvl w:ilvl="1">
      <w:lvlJc w:val="left"/>
      <w:lvlText w:val="(%2)"/>
      <w:numFmt w:val="lowerRoman"/>
      <w:start w:val="1"/>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1)"/>
      <w:numFmt w:val="lowerLetter"/>
      <w:start w:val="6"/>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1"/>
    </w:lvl>
    <w:lvl w:ilvl="1">
      <w:lvlJc w:val="left"/>
      <w:lvlText w:val="(%2)"/>
      <w:numFmt w:val="lowerRoman"/>
      <w:start w:val="1"/>
    </w:lvl>
  </w:abstractNum>
  <w:abstractNum w:abstractNumId="60">
    <w:nsid w:val="15014ACB"/>
    <w:multiLevelType w:val="hybridMultilevel"/>
    <w:lvl w:ilvl="0">
      <w:lvlJc w:val="left"/>
      <w:lvlText w:val="(%1)"/>
      <w:numFmt w:val="lowerLetter"/>
      <w:start w:val="3"/>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2"/>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1"/>
    </w:lvl>
    <w:lvl w:ilvl="1">
      <w:lvlJc w:val="left"/>
      <w:lvlText w:val="(%2)"/>
      <w:numFmt w:val="lowerRoman"/>
      <w:start w:val="1"/>
    </w:lvl>
  </w:abstractNum>
  <w:abstractNum w:abstractNumId="68">
    <w:nsid w:val="661E3F1E"/>
    <w:multiLevelType w:val="hybridMultilevel"/>
    <w:lvl w:ilvl="0">
      <w:lvlJc w:val="left"/>
      <w:lvlText w:val="(%1)"/>
      <w:numFmt w:val="upperLetter"/>
      <w:start w:val="1"/>
    </w:lvl>
  </w:abstractNum>
  <w:abstractNum w:abstractNumId="69">
    <w:nsid w:val="5DC79EA8"/>
    <w:multiLevelType w:val="hybridMultilevel"/>
    <w:lvl w:ilvl="0">
      <w:lvlJc w:val="left"/>
      <w:lvlText w:val="(%1)"/>
      <w:numFmt w:val="lowerLetter"/>
      <w:start w:val="2"/>
    </w:lvl>
  </w:abstractNum>
  <w:abstractNum w:abstractNumId="70">
    <w:nsid w:val="540A471C"/>
    <w:multiLevelType w:val="hybridMultilevel"/>
    <w:lvl w:ilvl="0">
      <w:lvlJc w:val="left"/>
      <w:lvlText w:val="(%1)"/>
      <w:numFmt w:val="decimal"/>
      <w:start w:val="1"/>
    </w:lvl>
  </w:abstractNum>
  <w:abstractNum w:abstractNumId="71">
    <w:nsid w:val="7BD3EE7B"/>
    <w:multiLevelType w:val="hybridMultilevel"/>
    <w:lvl w:ilvl="0">
      <w:lvlJc w:val="left"/>
      <w:lvlText w:val="(%1)"/>
      <w:numFmt w:val="decimal"/>
      <w:start w:val="1"/>
    </w:lvl>
    <w:lvl w:ilvl="1">
      <w:lvlJc w:val="left"/>
      <w:lvlText w:val="(%2)"/>
      <w:numFmt w:val="upperLetter"/>
      <w:start w:val="1"/>
    </w:lvl>
  </w:abstractNum>
  <w:abstractNum w:abstractNumId="72">
    <w:nsid w:val="51D9C564"/>
    <w:multiLevelType w:val="hybridMultilevel"/>
    <w:lvl w:ilvl="0">
      <w:lvlJc w:val="left"/>
      <w:lvlText w:val="(%1)"/>
      <w:numFmt w:val="decimal"/>
      <w:start w:val="3"/>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lowerRoman"/>
      <w:start w:val="1"/>
    </w:lvl>
  </w:abstractNum>
  <w:abstractNum w:abstractNumId="75">
    <w:nsid w:val="11447B73"/>
    <w:multiLevelType w:val="hybridMultilevel"/>
    <w:lvl w:ilvl="0">
      <w:lvlJc w:val="left"/>
      <w:lvlText w:val="(%1)"/>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jpe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jpe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jpeg"/><Relationship Id="rId96" Type="http://schemas.openxmlformats.org/officeDocument/2006/relationships/image" Target="media/image87.png"/><Relationship Id="rId45" Type="http://schemas.openxmlformats.org/officeDocument/2006/relationships/hyperlink" Target="http://www.sec.gov/Archives/edgar/data/1768224/000119380520000569/e619613_ex3-1.htm" TargetMode="External"/><Relationship Id="rId46" Type="http://schemas.openxmlformats.org/officeDocument/2006/relationships/hyperlink" Target="http://www.sec.gov/Archives/edgar/data/1768224/000119380520000569/e619613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2020-12-07T15:17:13Z</dcterms:created>
  <dcterms:modified xsi:type="dcterms:W3CDTF">2020-12-07T15:17:13Z</dcterms:modified>
</cp:coreProperties>
</file>