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001-38942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32-0595345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(858) 900-2660</w:t>
      </w:r>
    </w:p>
    <w:p>
      <w:pPr>
        <w:spacing w:after="0" w:line="275" w:lineRule="exact"/>
        <w:rPr>
          <w:sz w:val="24"/>
          <w:szCs w:val="24"/>
          <w:color w:val="auto"/>
        </w:rPr>
      </w:pPr>
    </w:p>
    <w:p>
      <w:pPr>
        <w:jc w:val="center"/>
        <w:ind w:right="16"/>
        <w:spacing w:after="0"/>
        <w:rPr>
          <w:sz w:val="20"/>
          <w:szCs w:val="20"/>
          <w:color w:val="auto"/>
        </w:rPr>
      </w:pPr>
      <w:r>
        <w:rPr>
          <w:rFonts w:ascii="Arial" w:cs="Arial" w:eastAsia="Arial" w:hAnsi="Arial"/>
          <w:sz w:val="17"/>
          <w:szCs w:val="17"/>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255905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On June 5, 2020, Arcturus Therapeutics Holdings Inc. (the “Company”) held its annual meeting of stockholders (the “Meeting”). The total number of shares entitled to vote at the Meeting was 15,156,989 and there were present at the Meeting, in person or by proxy, 11,692,374 shares, which constituted a quorum for the Meeting.</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At the Meeting, the stockholders voted:</w:t>
      </w:r>
    </w:p>
    <w:p>
      <w:pPr>
        <w:spacing w:after="0" w:line="117" w:lineRule="exact"/>
        <w:rPr>
          <w:sz w:val="20"/>
          <w:szCs w:val="20"/>
          <w:color w:val="auto"/>
        </w:rPr>
      </w:pPr>
    </w:p>
    <w:p>
      <w:pPr>
        <w:ind w:left="4" w:right="780" w:hanging="4"/>
        <w:spacing w:after="0" w:line="277"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election of Dr. Peter Farrell, Joseph E. Payne, Andy Sassine, James Barlow, Dr. Edward W. Holmes, Dr. Magda Marquet and Karah Parschauer to the Company’s Board of Directors;</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approval of the Company’s 2020 Employee Stock Purchase Plan;</w:t>
      </w:r>
    </w:p>
    <w:p>
      <w:pPr>
        <w:spacing w:after="0" w:line="117" w:lineRule="exact"/>
        <w:rPr>
          <w:rFonts w:ascii="Arial" w:cs="Arial" w:eastAsia="Arial" w:hAnsi="Arial"/>
          <w:sz w:val="18"/>
          <w:szCs w:val="18"/>
          <w:color w:val="auto"/>
        </w:rPr>
      </w:pPr>
    </w:p>
    <w:p>
      <w:pPr>
        <w:ind w:left="4" w:right="140" w:hanging="4"/>
        <w:spacing w:after="0" w:line="342"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 the approval of the Company’s Amended &amp; Restated 2019 Omnibus Equity Incentive Plan (the “Amended and Restated Omnibus Plan”) which, among other things, increases the maximum number of shares of common stock reserved for delivery under the plan by 3,150,000 shares; and</w:t>
      </w:r>
    </w:p>
    <w:p>
      <w:pPr>
        <w:spacing w:after="0" w:line="15" w:lineRule="exact"/>
        <w:rPr>
          <w:rFonts w:ascii="Arial" w:cs="Arial" w:eastAsia="Arial" w:hAnsi="Arial"/>
          <w:sz w:val="16"/>
          <w:szCs w:val="16"/>
          <w:color w:val="auto"/>
        </w:rPr>
      </w:pPr>
    </w:p>
    <w:p>
      <w:pPr>
        <w:ind w:left="4" w:right="300" w:hanging="4"/>
        <w:spacing w:after="0" w:line="277"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the Company’s independent registered public accounting firm for the Company’s fiscal year ending December 31, 2020.</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final results of the stockholder votes at the Meeting are set forth below:</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Proposal No. 1</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color w:val="auto"/>
              </w:rPr>
              <w:t>Broker</w:t>
            </w:r>
          </w:p>
        </w:tc>
      </w:tr>
      <w:tr>
        <w:trPr>
          <w:trHeight w:val="167"/>
        </w:trPr>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4"/>
          </w:tcPr>
          <w:p>
            <w:pPr>
              <w:ind w:left="20"/>
              <w:spacing w:after="0"/>
              <w:rPr>
                <w:sz w:val="20"/>
                <w:szCs w:val="20"/>
                <w:color w:val="auto"/>
              </w:rPr>
            </w:pPr>
            <w:r>
              <w:rPr>
                <w:rFonts w:ascii="Arial" w:cs="Arial" w:eastAsia="Arial" w:hAnsi="Arial"/>
                <w:sz w:val="14"/>
                <w:szCs w:val="14"/>
                <w:color w:val="auto"/>
              </w:rPr>
              <w:t>For</w:t>
            </w: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w w:val="95"/>
              </w:rPr>
              <w:t>Withhold</w:t>
            </w:r>
          </w:p>
        </w:tc>
        <w:tc>
          <w:tcPr>
            <w:tcW w:w="840" w:type="dxa"/>
            <w:vAlign w:val="bottom"/>
            <w:gridSpan w:val="2"/>
          </w:tcPr>
          <w:p>
            <w:pPr>
              <w:ind w:left="80"/>
              <w:spacing w:after="0"/>
              <w:rPr>
                <w:sz w:val="20"/>
                <w:szCs w:val="20"/>
                <w:color w:val="auto"/>
              </w:rPr>
            </w:pPr>
            <w:r>
              <w:rPr>
                <w:rFonts w:ascii="Arial" w:cs="Arial" w:eastAsia="Arial" w:hAnsi="Arial"/>
                <w:sz w:val="14"/>
                <w:szCs w:val="14"/>
                <w:color w:val="auto"/>
              </w:rPr>
              <w:t>Non-Votes</w:t>
            </w:r>
          </w:p>
        </w:tc>
      </w:tr>
      <w:tr>
        <w:trPr>
          <w:trHeight w:val="182"/>
        </w:trPr>
        <w:tc>
          <w:tcPr>
            <w:tcW w:w="79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Approval of the election of the following individuals as directors of the Company, as provided</w:t>
            </w:r>
          </w:p>
        </w:tc>
        <w:tc>
          <w:tcPr>
            <w:tcW w:w="5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44"/>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 Proposal Number 1 of the Proxy Statement:</w:t>
            </w: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Dr. Peter Farrell</w:t>
            </w:r>
          </w:p>
        </w:tc>
        <w:tc>
          <w:tcPr>
            <w:tcW w:w="1420" w:type="dxa"/>
            <w:vAlign w:val="bottom"/>
            <w:gridSpan w:val="5"/>
          </w:tcPr>
          <w:p>
            <w:pPr>
              <w:jc w:val="right"/>
              <w:ind w:right="100"/>
              <w:spacing w:after="0"/>
              <w:rPr>
                <w:sz w:val="20"/>
                <w:szCs w:val="20"/>
                <w:color w:val="auto"/>
              </w:rPr>
            </w:pPr>
            <w:r>
              <w:rPr>
                <w:rFonts w:ascii="Arial" w:cs="Arial" w:eastAsia="Arial" w:hAnsi="Arial"/>
                <w:sz w:val="18"/>
                <w:szCs w:val="18"/>
                <w:color w:val="auto"/>
              </w:rPr>
              <w:t>9,092,938</w:t>
            </w:r>
          </w:p>
        </w:tc>
        <w:tc>
          <w:tcPr>
            <w:tcW w:w="6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74,407</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2,525,029</w:t>
            </w: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(2)</w:t>
            </w:r>
          </w:p>
        </w:tc>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Joseph E. Payne</w:t>
            </w:r>
          </w:p>
        </w:tc>
        <w:tc>
          <w:tcPr>
            <w:tcW w:w="14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9,103,901</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63,444</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2,525,029</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(3)</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Andy Sassine</w:t>
            </w:r>
          </w:p>
        </w:tc>
        <w:tc>
          <w:tcPr>
            <w:tcW w:w="1420" w:type="dxa"/>
            <w:vAlign w:val="bottom"/>
            <w:gridSpan w:val="5"/>
          </w:tcPr>
          <w:p>
            <w:pPr>
              <w:jc w:val="right"/>
              <w:ind w:right="100"/>
              <w:spacing w:after="0"/>
              <w:rPr>
                <w:sz w:val="20"/>
                <w:szCs w:val="20"/>
                <w:color w:val="auto"/>
              </w:rPr>
            </w:pPr>
            <w:r>
              <w:rPr>
                <w:rFonts w:ascii="Arial" w:cs="Arial" w:eastAsia="Arial" w:hAnsi="Arial"/>
                <w:sz w:val="18"/>
                <w:szCs w:val="18"/>
                <w:color w:val="auto"/>
              </w:rPr>
              <w:t>9,102,933</w:t>
            </w:r>
          </w:p>
        </w:tc>
        <w:tc>
          <w:tcPr>
            <w:tcW w:w="6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64,412</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2,525,029</w:t>
            </w: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(4)</w:t>
            </w:r>
          </w:p>
        </w:tc>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James Barlow</w:t>
            </w:r>
          </w:p>
        </w:tc>
        <w:tc>
          <w:tcPr>
            <w:tcW w:w="14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9,093,123</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74,222</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2,525,029</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(5)</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Dr. Edward W. Holmes</w:t>
            </w:r>
          </w:p>
        </w:tc>
        <w:tc>
          <w:tcPr>
            <w:tcW w:w="1420" w:type="dxa"/>
            <w:vAlign w:val="bottom"/>
            <w:gridSpan w:val="5"/>
          </w:tcPr>
          <w:p>
            <w:pPr>
              <w:jc w:val="right"/>
              <w:ind w:right="100"/>
              <w:spacing w:after="0"/>
              <w:rPr>
                <w:sz w:val="20"/>
                <w:szCs w:val="20"/>
                <w:color w:val="auto"/>
              </w:rPr>
            </w:pPr>
            <w:r>
              <w:rPr>
                <w:rFonts w:ascii="Arial" w:cs="Arial" w:eastAsia="Arial" w:hAnsi="Arial"/>
                <w:sz w:val="18"/>
                <w:szCs w:val="18"/>
                <w:color w:val="auto"/>
              </w:rPr>
              <w:t>9,113,491</w:t>
            </w:r>
          </w:p>
        </w:tc>
        <w:tc>
          <w:tcPr>
            <w:tcW w:w="6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53,854</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2,525,029</w:t>
            </w: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(6)</w:t>
            </w:r>
          </w:p>
        </w:tc>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Dr. Magda Marquet</w:t>
            </w:r>
          </w:p>
        </w:tc>
        <w:tc>
          <w:tcPr>
            <w:tcW w:w="14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9,103,911</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63,434</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2,525,029</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0"/>
              </w:rPr>
              <w:t>(7)</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Karah Parschauer</w:t>
            </w:r>
          </w:p>
        </w:tc>
        <w:tc>
          <w:tcPr>
            <w:tcW w:w="1420" w:type="dxa"/>
            <w:vAlign w:val="bottom"/>
            <w:gridSpan w:val="5"/>
          </w:tcPr>
          <w:p>
            <w:pPr>
              <w:jc w:val="right"/>
              <w:ind w:right="100"/>
              <w:spacing w:after="0"/>
              <w:rPr>
                <w:sz w:val="20"/>
                <w:szCs w:val="20"/>
                <w:color w:val="auto"/>
              </w:rPr>
            </w:pPr>
            <w:r>
              <w:rPr>
                <w:rFonts w:ascii="Arial" w:cs="Arial" w:eastAsia="Arial" w:hAnsi="Arial"/>
                <w:sz w:val="18"/>
                <w:szCs w:val="18"/>
                <w:color w:val="auto"/>
              </w:rPr>
              <w:t>9,098,600</w:t>
            </w:r>
          </w:p>
        </w:tc>
        <w:tc>
          <w:tcPr>
            <w:tcW w:w="6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68,745</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2,525,029</w:t>
            </w:r>
          </w:p>
        </w:tc>
      </w:tr>
      <w:tr>
        <w:trPr>
          <w:trHeight w:val="485"/>
        </w:trPr>
        <w:tc>
          <w:tcPr>
            <w:tcW w:w="7980" w:type="dxa"/>
            <w:vAlign w:val="bottom"/>
            <w:gridSpan w:val="3"/>
          </w:tcPr>
          <w:p>
            <w:pPr>
              <w:spacing w:after="0"/>
              <w:rPr>
                <w:sz w:val="20"/>
                <w:szCs w:val="20"/>
                <w:color w:val="auto"/>
              </w:rPr>
            </w:pPr>
            <w:r>
              <w:rPr>
                <w:rFonts w:ascii="Arial" w:cs="Arial" w:eastAsia="Arial" w:hAnsi="Arial"/>
                <w:sz w:val="18"/>
                <w:szCs w:val="18"/>
                <w:color w:val="auto"/>
              </w:rPr>
              <w:t>Proposal No. 2</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3"/>
        </w:trPr>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color w:val="auto"/>
              </w:rPr>
              <w:t>Broker</w:t>
            </w:r>
          </w:p>
        </w:tc>
      </w:tr>
      <w:tr>
        <w:trPr>
          <w:trHeight w:val="167"/>
        </w:trPr>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For</w:t>
            </w:r>
          </w:p>
        </w:tc>
        <w:tc>
          <w:tcPr>
            <w:tcW w:w="160" w:type="dxa"/>
            <w:vAlign w:val="bottom"/>
          </w:tcPr>
          <w:p>
            <w:pPr>
              <w:spacing w:after="0"/>
              <w:rPr>
                <w:sz w:val="14"/>
                <w:szCs w:val="14"/>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4"/>
                <w:szCs w:val="14"/>
                <w:color w:val="auto"/>
                <w:w w:val="89"/>
              </w:rPr>
              <w:t>Against</w:t>
            </w: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Abstain</w:t>
            </w:r>
          </w:p>
        </w:tc>
        <w:tc>
          <w:tcPr>
            <w:tcW w:w="840" w:type="dxa"/>
            <w:vAlign w:val="bottom"/>
            <w:gridSpan w:val="2"/>
          </w:tcPr>
          <w:p>
            <w:pPr>
              <w:ind w:left="80"/>
              <w:spacing w:after="0"/>
              <w:rPr>
                <w:sz w:val="20"/>
                <w:szCs w:val="20"/>
                <w:color w:val="auto"/>
              </w:rPr>
            </w:pPr>
            <w:r>
              <w:rPr>
                <w:rFonts w:ascii="Arial" w:cs="Arial" w:eastAsia="Arial" w:hAnsi="Arial"/>
                <w:sz w:val="14"/>
                <w:szCs w:val="14"/>
                <w:color w:val="auto"/>
              </w:rPr>
              <w:t>Non-Votes</w:t>
            </w:r>
          </w:p>
        </w:tc>
      </w:tr>
      <w:tr>
        <w:trPr>
          <w:trHeight w:val="182"/>
        </w:trPr>
        <w:tc>
          <w:tcPr>
            <w:tcW w:w="79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Approval of the Company’s 2020 Employee Stock Purchase Plan, as provided in</w:t>
            </w:r>
          </w:p>
        </w:tc>
        <w:tc>
          <w:tcPr>
            <w:tcW w:w="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44"/>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Proposal Number 2 of the Proxy Statement: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9,156,041</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8,703</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2,601</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2,525,029</w:t>
            </w:r>
          </w:p>
        </w:tc>
      </w:tr>
    </w:tbl>
    <w:p>
      <w:pPr>
        <w:spacing w:after="0" w:line="200" w:lineRule="exact"/>
        <w:rPr>
          <w:sz w:val="20"/>
          <w:szCs w:val="20"/>
          <w:color w:val="auto"/>
        </w:rPr>
      </w:pPr>
    </w:p>
    <w:p>
      <w:pPr>
        <w:sectPr>
          <w:pgSz w:w="11900" w:h="16838" w:orient="portrait"/>
          <w:cols w:equalWidth="0" w:num="1">
            <w:col w:w="11024"/>
          </w:cols>
          <w:pgMar w:left="436" w:top="270" w:right="439" w:bottom="1440" w:gutter="0" w:footer="0" w:header="0"/>
        </w:sectPr>
      </w:pPr>
    </w:p>
    <w:p>
      <w:pPr>
        <w:spacing w:after="0" w:line="11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Proposal No. 3</w:t>
      </w:r>
    </w:p>
    <w:p>
      <w:pPr>
        <w:spacing w:after="0" w:line="200" w:lineRule="exact"/>
        <w:rPr>
          <w:sz w:val="20"/>
          <w:szCs w:val="20"/>
          <w:color w:val="auto"/>
        </w:rPr>
      </w:pPr>
    </w:p>
    <w:p>
      <w:pPr>
        <w:spacing w:after="0" w:line="349" w:lineRule="exact"/>
        <w:rPr>
          <w:sz w:val="20"/>
          <w:szCs w:val="20"/>
          <w:color w:val="auto"/>
        </w:rPr>
      </w:pPr>
    </w:p>
    <w:p>
      <w:pPr>
        <w:ind w:left="4"/>
        <w:spacing w:after="0"/>
        <w:rPr>
          <w:sz w:val="20"/>
          <w:szCs w:val="20"/>
          <w:color w:val="auto"/>
        </w:rPr>
      </w:pPr>
      <w:r>
        <w:rPr>
          <w:rFonts w:ascii="Arial" w:cs="Arial" w:eastAsia="Arial" w:hAnsi="Arial"/>
          <w:sz w:val="16"/>
          <w:szCs w:val="16"/>
          <w:color w:val="auto"/>
        </w:rPr>
        <w:t>Approval of the Company’s Amended and Restated Omnibus Plan, as provided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282575"/>
                    </a:xfrm>
                    <a:prstGeom prst="rect">
                      <a:avLst/>
                    </a:prstGeom>
                    <a:noFill/>
                  </pic:spPr>
                </pic:pic>
              </a:graphicData>
            </a:graphic>
          </wp:anchor>
        </w:drawing>
      </w:r>
    </w:p>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Proposal Number 3 of the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Broker</w:t>
            </w:r>
          </w:p>
        </w:tc>
      </w:tr>
      <w:tr>
        <w:trPr>
          <w:trHeight w:val="167"/>
        </w:trPr>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For</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Against</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Abstain</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Non-Votes</w:t>
            </w:r>
          </w:p>
        </w:tc>
      </w:tr>
      <w:tr>
        <w:trPr>
          <w:trHeight w:val="425"/>
        </w:trPr>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8,425,865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736,062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5,418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2,525,029</w:t>
            </w:r>
          </w:p>
        </w:tc>
      </w:tr>
    </w:tbl>
    <w:p>
      <w:pPr>
        <w:spacing w:after="0" w:line="200" w:lineRule="exact"/>
        <w:rPr>
          <w:sz w:val="20"/>
          <w:szCs w:val="20"/>
          <w:color w:val="auto"/>
        </w:rPr>
      </w:pPr>
    </w:p>
    <w:p>
      <w:pPr>
        <w:sectPr>
          <w:pgSz w:w="11900" w:h="16838" w:orient="portrait"/>
          <w:cols w:equalWidth="0" w:num="2">
            <w:col w:w="7084" w:space="720"/>
            <w:col w:w="3220"/>
          </w:cols>
          <w:pgMar w:left="436" w:top="270" w:right="439" w:bottom="1440" w:gutter="0" w:footer="0" w:header="0"/>
          <w:type w:val="continuous"/>
        </w:sectPr>
      </w:pPr>
    </w:p>
    <w:p>
      <w:pPr>
        <w:spacing w:after="0" w:line="11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Proposal No. 4</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Broker</w:t>
            </w:r>
          </w:p>
        </w:tc>
      </w:tr>
      <w:tr>
        <w:trPr>
          <w:trHeight w:val="167"/>
        </w:trPr>
        <w:tc>
          <w:tcPr>
            <w:tcW w:w="756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color w:val="auto"/>
              </w:rPr>
              <w:t>For</w:t>
            </w: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Against</w:t>
            </w: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Abstain</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Non-Votes</w:t>
            </w:r>
          </w:p>
        </w:tc>
      </w:tr>
      <w:tr>
        <w:trPr>
          <w:trHeight w:val="182"/>
        </w:trPr>
        <w:tc>
          <w:tcPr>
            <w:tcW w:w="7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Approval of the ratification of the appointment of Ernst &amp; Young LLP as the Company’s</w:t>
            </w:r>
          </w:p>
        </w:tc>
        <w:tc>
          <w:tcPr>
            <w:tcW w:w="8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independent registered public accounting firm for the year ending December 31, 2020,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as provided in Proposal Number 4 of the Proxy Statement: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11,644,555</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12,957</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34,862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bl>
    <w:p>
      <w:pPr>
        <w:sectPr>
          <w:pgSz w:w="11900" w:h="16838" w:orient="portrait"/>
          <w:cols w:equalWidth="0" w:num="1">
            <w:col w:w="11024"/>
          </w:cols>
          <w:pgMar w:left="436" w:top="270" w:right="4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2020</w:t>
      </w:r>
    </w:p>
    <w:p>
      <w:pPr>
        <w:spacing w:after="0" w:line="211"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Joseph E. Payne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2020-06-09T05:11:04Z</dcterms:created>
  <dcterms:modified xsi:type="dcterms:W3CDTF">2020-06-09T05:11:04Z</dcterms:modified>
</cp:coreProperties>
</file>