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January 2015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520"/>
        <w:spacing w:after="0" w:line="259" w:lineRule="auto"/>
        <w:rPr>
          <w:sz w:val="20"/>
          <w:szCs w:val="20"/>
          <w:color w:val="auto"/>
        </w:rPr>
      </w:pPr>
      <w:r>
        <w:rPr>
          <w:rFonts w:ascii="Arial" w:cs="Arial" w:eastAsia="Arial" w:hAnsi="Arial"/>
          <w:sz w:val="18"/>
          <w:szCs w:val="18"/>
          <w:color w:val="auto"/>
        </w:rPr>
        <w:t>On January 9, 2015, the registrant entered into a purchase agreement with Piper Jaffray &amp; Co., as representative of the underwriters named therein (the “Purchase Agreement”), for a firm commitment public offering of 6,500,000 ordinary shares at a price of $4.00 per ordinary share for aggregate gross proceeds of $26 million. The registrant’s press release containing additional details of the offering is filed as Exhibit 99.1 hereto, and the Purchase Agreement is filed as Exhibit 1.1.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Report of Foreign Private Issuer on Form 6-K and the attached exhibits are incorporated by reference into the Registration Statements on Form F-3 (File No. 333-197411) and Form S-8 (File No. 333-194875) of the registrant, filed with the Securities and Exchange Commission, to be a part thereof from the date on which this report is submitted, to the extent not superseded by documents or reports subsequently filed or furnished.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820" w:right="220" w:hanging="809"/>
        <w:spacing w:after="0" w:line="277" w:lineRule="auto"/>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Purchase Agreement, dated January 9, 2015, by and between the registrant and Piper Jaffray &amp; Co., as representative of the underwriters named therein.</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Zysman Aharoni Gayer &amp; Co., Law Offices.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Zysman Aharoni Gayer &amp; Co., Law Offices (included in Exhibit 5.1).</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580"/>
        <w:spacing w:after="0"/>
        <w:tabs>
          <w:tab w:leader="none" w:pos="502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-130810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3" w:name="page4"/>
    <w:bookmarkEnd w:id="3"/>
    <w:p>
      <w:pPr>
        <w:ind w:left="10420"/>
        <w:spacing w:after="0"/>
        <w:rPr>
          <w:sz w:val="20"/>
          <w:szCs w:val="20"/>
          <w:color w:val="auto"/>
        </w:rPr>
      </w:pPr>
      <w:r>
        <w:rPr>
          <w:rFonts w:ascii="Arial" w:cs="Arial" w:eastAsia="Arial" w:hAnsi="Arial"/>
          <w:sz w:val="19"/>
          <w:szCs w:val="19"/>
          <w:b w:val="1"/>
          <w:bCs w:val="1"/>
          <w:color w:val="auto"/>
        </w:rPr>
        <w:t>Exhibit 1.1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6,500,000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Alcobra Ltd., a corporation incorporated under the laws of the State of Israel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proposes to sell to the several Underwriters named in Schedule I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xml:space="preserve">) an aggregate of 6,500,000 (the </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xml:space="preserve">) Ordinary Shares, NIS 0.01 par value per share (the </w:t>
      </w:r>
      <w:r>
        <w:rPr>
          <w:rFonts w:ascii="Arial" w:cs="Arial" w:eastAsia="Arial" w:hAnsi="Arial"/>
          <w:sz w:val="18"/>
          <w:szCs w:val="18"/>
          <w:b w:val="1"/>
          <w:bCs w:val="1"/>
          <w:i w:val="1"/>
          <w:i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 The Company has also granted to the several Underwriters an option to purchase up to 975,000 additional Ordinary Shares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terms and for the purposes set forth in Section 3 hereof (the </w:t>
      </w:r>
      <w:r>
        <w:rPr>
          <w:rFonts w:ascii="Arial" w:cs="Arial" w:eastAsia="Arial" w:hAnsi="Arial"/>
          <w:sz w:val="18"/>
          <w:szCs w:val="18"/>
          <w:b w:val="1"/>
          <w:bCs w:val="1"/>
          <w:i w:val="1"/>
          <w:iCs w:val="1"/>
          <w:color w:val="auto"/>
        </w:rPr>
        <w:t>“Option Shares”</w:t>
      </w:r>
      <w:r>
        <w:rPr>
          <w:rFonts w:ascii="Arial" w:cs="Arial" w:eastAsia="Arial" w:hAnsi="Arial"/>
          <w:sz w:val="18"/>
          <w:szCs w:val="18"/>
          <w:color w:val="auto"/>
        </w:rPr>
        <w:t xml:space="preserve">). The Firm Shares and any Option Shares purchased pursuant to this Purchase Agreement are herein collectively called the </w:t>
      </w:r>
      <w:r>
        <w:rPr>
          <w:rFonts w:ascii="Arial" w:cs="Arial" w:eastAsia="Arial" w:hAnsi="Arial"/>
          <w:sz w:val="18"/>
          <w:szCs w:val="18"/>
          <w:b w:val="1"/>
          <w:bCs w:val="1"/>
          <w:i w:val="1"/>
          <w:iCs w:val="1"/>
          <w:color w:val="auto"/>
        </w:rPr>
        <w:t>“Securities.”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Company hereby confirms its agreement with respect to the sale of the Securities to the several Underwriters, for whom Piper Jaffray &amp; Co. is acting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70" w:lineRule="auto"/>
        <w:tabs>
          <w:tab w:leader="none" w:pos="1544"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Registration Statement and Prospectus</w:t>
      </w:r>
      <w:r>
        <w:rPr>
          <w:rFonts w:ascii="Arial" w:cs="Arial" w:eastAsia="Arial" w:hAnsi="Arial"/>
          <w:sz w:val="17"/>
          <w:szCs w:val="17"/>
          <w:color w:val="auto"/>
        </w:rPr>
        <w:t>. The Company has prepared and filed with the Securities and Exchange Commission (the</w:t>
      </w:r>
      <w:r>
        <w:rPr>
          <w:rFonts w:ascii="Arial" w:cs="Arial" w:eastAsia="Arial" w:hAnsi="Arial"/>
          <w:sz w:val="17"/>
          <w:szCs w:val="17"/>
          <w:b w:val="1"/>
          <w:bCs w:val="1"/>
          <w:i w:val="1"/>
          <w:iCs w:val="1"/>
          <w:color w:val="auto"/>
        </w:rPr>
        <w:t xml:space="preserve"> “Commission”</w:t>
      </w:r>
      <w:r>
        <w:rPr>
          <w:rFonts w:ascii="Arial" w:cs="Arial" w:eastAsia="Arial" w:hAnsi="Arial"/>
          <w:sz w:val="17"/>
          <w:szCs w:val="17"/>
          <w:color w:val="auto"/>
        </w:rPr>
        <w:t>) a registration statement on Form F-3 (File No. 333-197411) under the Securities Act of 1933, as amended (the</w:t>
      </w:r>
      <w:r>
        <w:rPr>
          <w:rFonts w:ascii="Arial" w:cs="Arial" w:eastAsia="Arial" w:hAnsi="Arial"/>
          <w:sz w:val="17"/>
          <w:szCs w:val="17"/>
          <w:b w:val="1"/>
          <w:bCs w:val="1"/>
          <w:i w:val="1"/>
          <w:iCs w:val="1"/>
          <w:color w:val="auto"/>
        </w:rPr>
        <w:t xml:space="preserve"> “Securities Act”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Act”</w:t>
      </w:r>
      <w:r>
        <w:rPr>
          <w:rFonts w:ascii="Arial" w:cs="Arial" w:eastAsia="Arial" w:hAnsi="Arial"/>
          <w:sz w:val="17"/>
          <w:szCs w:val="17"/>
          <w:color w:val="auto"/>
        </w:rPr>
        <w: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rules and regulations (the </w:t>
      </w:r>
      <w:r>
        <w:rPr>
          <w:rFonts w:ascii="Arial" w:cs="Arial" w:eastAsia="Arial" w:hAnsi="Arial"/>
          <w:sz w:val="17"/>
          <w:szCs w:val="17"/>
          <w:b w:val="1"/>
          <w:bCs w:val="1"/>
          <w:i w:val="1"/>
          <w:iCs w:val="1"/>
          <w:color w:val="auto"/>
        </w:rPr>
        <w:t>“Rules and Regulations”</w:t>
      </w:r>
      <w:r>
        <w:rPr>
          <w:rFonts w:ascii="Arial" w:cs="Arial" w:eastAsia="Arial" w:hAnsi="Arial"/>
          <w:sz w:val="17"/>
          <w:szCs w:val="17"/>
          <w:color w:val="auto"/>
        </w:rPr>
        <w:t xml:space="preserve">) of the Commission thereunder, and such amendments to such registration statement as may have been required to the date of this Agreement. Such registration statement has been declared effective by the Commission. Each part of such registration statement, including the amendments, exhibits and any schedules thereto, the documents incorporated by reference therein pursuant to Item 6 of Form F-3 under the Securities Act and the documents and information otherwise deemed to be a part thereof or included therein by Rule 430B under the Securities Act (the </w:t>
      </w:r>
      <w:r>
        <w:rPr>
          <w:rFonts w:ascii="Arial" w:cs="Arial" w:eastAsia="Arial" w:hAnsi="Arial"/>
          <w:sz w:val="17"/>
          <w:szCs w:val="17"/>
          <w:b w:val="1"/>
          <w:bCs w:val="1"/>
          <w:i w:val="1"/>
          <w:iCs w:val="1"/>
          <w:color w:val="auto"/>
        </w:rPr>
        <w:t>“Rule 430B Information”</w:t>
      </w:r>
      <w:r>
        <w:rPr>
          <w:rFonts w:ascii="Arial" w:cs="Arial" w:eastAsia="Arial" w:hAnsi="Arial"/>
          <w:sz w:val="17"/>
          <w:szCs w:val="17"/>
          <w:color w:val="auto"/>
        </w:rPr>
        <w:t xml:space="preserve">) or otherwise pursuant to the Rules and Regulations, as of the time such registration statement became effective,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Any registration statement filed by the Company pursuant to Rule 462(b) under the Securities Act is called the “Rule 462(b) Registration Statement” and, from and after the date and time of filing of the Rule 462(b) Registration Statement, the term “Registration Statement” shall include the Rule 462(b)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firstLine="648"/>
        <w:spacing w:after="0" w:line="270" w:lineRule="auto"/>
        <w:rPr>
          <w:sz w:val="20"/>
          <w:szCs w:val="20"/>
          <w:color w:val="auto"/>
        </w:rPr>
      </w:pPr>
      <w:r>
        <w:rPr>
          <w:rFonts w:ascii="Arial" w:cs="Arial" w:eastAsia="Arial" w:hAnsi="Arial"/>
          <w:sz w:val="17"/>
          <w:szCs w:val="17"/>
          <w:color w:val="auto"/>
        </w:rPr>
        <w:t xml:space="preserve">The prospectus in the form in which it has most recently been filed with the Commission on or prior to the date of this Agreement is herein called the </w:t>
      </w:r>
      <w:r>
        <w:rPr>
          <w:rFonts w:ascii="Arial" w:cs="Arial" w:eastAsia="Arial" w:hAnsi="Arial"/>
          <w:sz w:val="17"/>
          <w:szCs w:val="17"/>
          <w:b w:val="1"/>
          <w:bCs w:val="1"/>
          <w:i w:val="1"/>
          <w:iCs w:val="1"/>
          <w:color w:val="auto"/>
        </w:rPr>
        <w:t xml:space="preserve">“Base Prospectus.” </w:t>
      </w:r>
      <w:r>
        <w:rPr>
          <w:rFonts w:ascii="Arial" w:cs="Arial" w:eastAsia="Arial" w:hAnsi="Arial"/>
          <w:sz w:val="17"/>
          <w:szCs w:val="17"/>
          <w:color w:val="auto"/>
        </w:rPr>
        <w:t>Each preliminary prospectus supplement to the Base Prospectus (including the Base Prospectus as so supplemented), that describes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Securities and the offering thereof, that omitted the Rule 430B Information and that was used prior to the filing of the final prospectus supplement referred to in the following sentence is herein called a </w:t>
      </w:r>
      <w:r>
        <w:rPr>
          <w:rFonts w:ascii="Arial" w:cs="Arial" w:eastAsia="Arial" w:hAnsi="Arial"/>
          <w:sz w:val="17"/>
          <w:szCs w:val="17"/>
          <w:b w:val="1"/>
          <w:bCs w:val="1"/>
          <w:i w:val="1"/>
          <w:iCs w:val="1"/>
          <w:color w:val="auto"/>
        </w:rPr>
        <w:t>“Preliminary Prospectus.”</w:t>
      </w:r>
      <w:r>
        <w:rPr>
          <w:rFonts w:ascii="Arial" w:cs="Arial" w:eastAsia="Arial" w:hAnsi="Arial"/>
          <w:sz w:val="17"/>
          <w:szCs w:val="17"/>
          <w:color w:val="auto"/>
        </w:rPr>
        <w:t xml:space="preserve"> Promptly after execution and delivery of this Agreement, the Company will prepare and file with the Commission a final prospectus supplement to the Base Prospectus relating to the Securities and the offering thereof in accordance with the provisions Rule 430B and Rule 424(b) of the Rules and Regulations. Such final supplemental form of prospectus (including the Base Prospectus as so supplemented), in the form filed with the Commission pursuant to Rule 424(b)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Base Prospectus, any Preliminary Prospectus or the Prospectus shall be deemed to refer to include the documents incorporated by reference therein pursuant to Item 12 of Form S-3 under the Securities Act as of the date of such prospectus.</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purposes of this Agreement, all references to the Registration Statement, the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thereto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xml:space="preserve">). All references in this Agreement to financial statements and schedules and other information which is “described,” “contained,” “included” or “stated” in the Registration Statement, the Base Prospectus, any Preliminary Prospectus or the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which is deemed to be incorporated therein by reference therein or otherwise deemed by the Rules and Regulations to be a part thereof.</w:t>
      </w:r>
    </w:p>
    <w:p>
      <w:pPr>
        <w:spacing w:after="0" w:line="169"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 of the Company.</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1"/>
          <w:numId w:val="2"/>
        </w:numPr>
        <w:rPr>
          <w:rFonts w:ascii="Arial" w:cs="Arial" w:eastAsia="Arial" w:hAnsi="Arial"/>
          <w:sz w:val="17"/>
          <w:szCs w:val="17"/>
          <w:color w:val="auto"/>
        </w:rPr>
      </w:pPr>
      <w:r>
        <w:rPr>
          <w:rFonts w:ascii="Arial" w:cs="Arial" w:eastAsia="Arial" w:hAnsi="Arial"/>
          <w:sz w:val="17"/>
          <w:szCs w:val="17"/>
          <w:i w:val="1"/>
          <w:iCs w:val="1"/>
          <w:u w:val="single" w:color="auto"/>
          <w:color w:val="auto"/>
        </w:rPr>
        <w:t>Representations and Warranties of the Company</w:t>
      </w:r>
      <w:r>
        <w:rPr>
          <w:rFonts w:ascii="Arial" w:cs="Arial" w:eastAsia="Arial" w:hAnsi="Arial"/>
          <w:sz w:val="17"/>
          <w:szCs w:val="17"/>
          <w:color w:val="auto"/>
        </w:rPr>
        <w:t>. The Company represents and warrants to, and agrees with, the several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Underwriters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ind w:firstLine="1293"/>
        <w:spacing w:after="0" w:line="287" w:lineRule="auto"/>
        <w:tabs>
          <w:tab w:leader="none" w:pos="1943"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Registration Statement and Prospectuses</w:t>
      </w:r>
      <w:r>
        <w:rPr>
          <w:rFonts w:ascii="Arial" w:cs="Arial" w:eastAsia="Arial" w:hAnsi="Arial"/>
          <w:sz w:val="16"/>
          <w:szCs w:val="16"/>
          <w:color w:val="auto"/>
        </w:rPr>
        <w:t>. No order preventing or suspending the use of any Preliminary Prospectus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Underwriters pursuant to Rule 430B or otherwise under the Securities Act),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172" w:lineRule="exact"/>
        <w:rPr>
          <w:rFonts w:ascii="Arial" w:cs="Arial" w:eastAsia="Arial" w:hAnsi="Arial"/>
          <w:sz w:val="16"/>
          <w:szCs w:val="16"/>
          <w:color w:val="auto"/>
        </w:rPr>
      </w:pPr>
    </w:p>
    <w:p>
      <w:pPr>
        <w:jc w:val="both"/>
        <w:ind w:firstLine="1293"/>
        <w:spacing w:after="0" w:line="267" w:lineRule="auto"/>
        <w:tabs>
          <w:tab w:leader="none" w:pos="1948" w:val="left"/>
        </w:tabs>
        <w:numPr>
          <w:ilvl w:val="0"/>
          <w:numId w:val="3"/>
        </w:numPr>
        <w:rPr>
          <w:rFonts w:ascii="Arial" w:cs="Arial" w:eastAsia="Arial" w:hAnsi="Arial"/>
          <w:sz w:val="17"/>
          <w:szCs w:val="17"/>
          <w:color w:val="auto"/>
        </w:rPr>
      </w:pPr>
      <w:r>
        <w:rPr>
          <w:rFonts w:ascii="Arial" w:cs="Arial" w:eastAsia="Arial" w:hAnsi="Arial"/>
          <w:sz w:val="17"/>
          <w:szCs w:val="17"/>
          <w:i w:val="1"/>
          <w:iCs w:val="1"/>
          <w:u w:val="single" w:color="auto"/>
          <w:color w:val="auto"/>
        </w:rPr>
        <w:t>Accurate Disclosure</w:t>
      </w:r>
      <w:r>
        <w:rPr>
          <w:rFonts w:ascii="Arial" w:cs="Arial" w:eastAsia="Arial" w:hAnsi="Arial"/>
          <w:sz w:val="17"/>
          <w:szCs w:val="17"/>
          <w:color w:val="auto"/>
        </w:rPr>
        <w:t>. Each Preliminary Prospectus, at the time of filing thereof or the time of first use within the meaning</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Rules 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2(a)(ii)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Each reference to an </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xml:space="preserve"> herein means an issuer free writing prospectus as defined in Rule 433 of the Rules and Regulations.</w:t>
      </w: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January 8, 2015 any free writing prospectus set forth on Schedule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information on Schedule III, all considered together.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reference to a </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xml:space="preserve"> herein means a free writing prospectus as defined in Rule 405 of the Rules and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8:30 am (Eastern time) on the date of this Agreement.</w:t>
      </w:r>
    </w:p>
    <w:p>
      <w:pPr>
        <w:spacing w:after="0" w:line="225" w:lineRule="exact"/>
        <w:rPr>
          <w:sz w:val="20"/>
          <w:szCs w:val="20"/>
          <w:color w:val="auto"/>
        </w:rPr>
      </w:pPr>
    </w:p>
    <w:p>
      <w:pPr>
        <w:jc w:val="both"/>
        <w:ind w:firstLine="1293"/>
        <w:spacing w:after="0" w:line="276" w:lineRule="auto"/>
        <w:tabs>
          <w:tab w:leader="none" w:pos="1926"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Issuer Free Writing Prospectuses</w:t>
      </w:r>
      <w:r>
        <w:rPr>
          <w:rFonts w:ascii="Arial" w:cs="Arial" w:eastAsia="Arial" w:hAnsi="Arial"/>
          <w:sz w:val="17"/>
          <w:szCs w:val="17"/>
          <w:color w:val="auto"/>
        </w:rPr>
        <w:t>. (A) Each Issuer Free Writing Prospectus does not include any information that conflicts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information contained in the Registration Statement, any Preliminary Prospectus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information described as such in Section 6(e).</w:t>
      </w:r>
    </w:p>
    <w:p>
      <w:pPr>
        <w:spacing w:after="0" w:line="173" w:lineRule="exact"/>
        <w:rPr>
          <w:sz w:val="20"/>
          <w:szCs w:val="20"/>
          <w:color w:val="auto"/>
        </w:rPr>
      </w:pPr>
    </w:p>
    <w:p>
      <w:pPr>
        <w:jc w:val="both"/>
        <w:ind w:firstLine="1293"/>
        <w:spacing w:after="0" w:line="255" w:lineRule="auto"/>
        <w:tabs>
          <w:tab w:leader="none" w:pos="194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(1) 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Securities and (2) at the date hereof, the Company was not and is not an “ineligible issuer,” as defined in Rule 405 under the Securities Act, including the Company or any subsidiary in the preceding three years not having been convicted of a felony or misdemeanor or having been made the subject of a judicial or administrative decree or order as described in Rule 405 of the Rules and Regulations (without taking account of any determination by the Commission pursuant to Rule 405 of the Rules and Regulations that it is not necessary that the Company be considered an ineligible issuer), nor an “excluded issuer” as defined in Rule 164 under the Securities Act.</w:t>
      </w:r>
    </w:p>
    <w:p>
      <w:pPr>
        <w:spacing w:after="0" w:line="189" w:lineRule="exact"/>
        <w:rPr>
          <w:rFonts w:ascii="Arial" w:cs="Arial" w:eastAsia="Arial" w:hAnsi="Arial"/>
          <w:sz w:val="18"/>
          <w:szCs w:val="18"/>
          <w:color w:val="auto"/>
        </w:rPr>
      </w:pPr>
    </w:p>
    <w:p>
      <w:pPr>
        <w:ind w:firstLine="1293"/>
        <w:spacing w:after="0" w:line="277" w:lineRule="auto"/>
        <w:tabs>
          <w:tab w:leader="none" w:pos="1961"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Issuer Free Writing Prospectus satisfied, as of its issue date and at all subsequent times to the Time of Sale, all other conditions to use thereof as set forth in Rules 164 and 433 under the Securities Act.</w:t>
      </w:r>
    </w:p>
    <w:p>
      <w:pPr>
        <w:spacing w:after="0" w:line="170" w:lineRule="exact"/>
        <w:rPr>
          <w:sz w:val="20"/>
          <w:szCs w:val="20"/>
          <w:color w:val="auto"/>
        </w:rPr>
      </w:pPr>
    </w:p>
    <w:p>
      <w:pPr>
        <w:jc w:val="both"/>
        <w:ind w:firstLine="1293"/>
        <w:spacing w:after="0" w:line="257" w:lineRule="auto"/>
        <w:tabs>
          <w:tab w:leader="none" w:pos="2011"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No Other Offering Materials</w:t>
      </w:r>
      <w:r>
        <w:rPr>
          <w:rFonts w:ascii="Arial" w:cs="Arial" w:eastAsia="Arial" w:hAnsi="Arial"/>
          <w:sz w:val="18"/>
          <w:szCs w:val="18"/>
          <w:color w:val="auto"/>
        </w:rPr>
        <w:t>. The Company has not distributed and will not distribute any prospectus or other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in connection 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set forth on Schedule II, the Company has not made and will not make any offer relating to the Securities that would constitute a free writing prospectus, except in accordance with the provisions of Section 4(a)(xv) of this Agreement.</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7" w:name="page8"/>
    <w:bookmarkEnd w:id="7"/>
    <w:p>
      <w:pPr>
        <w:jc w:val="both"/>
        <w:ind w:left="-540" w:firstLine="1293"/>
        <w:spacing w:after="0" w:line="285" w:lineRule="auto"/>
        <w:tabs>
          <w:tab w:leader="none" w:pos="1425"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or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reference in the Registration Statement, the Time of Sale Disclosure Package and the Prospectus comply in all material respects with the requirements of the Securities Act and the Exchange Act and fairly present in all material respects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except as otherwise disclosed in the Registration Statement, the Time of Sale Disclosure Package and the Prospectus; the supporting schedules included in the Registration Statement present fairly in all material respects the information required to be stated therein; all non-GAAP financial information included in the Registration Statement, the Time of Sale Disclosure Package and the Prospectus complies in all material respects with the requirements of Regulation G and Item 10 of Regulation S-K under the Act; and, except as disclosed in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the Time of Sale Disclosure Package or the Prospectus. To the Company’s knowledge, Kost Forer Gabbay &amp; Kasierer (a Member of Ernst &amp; Young Global), which has expressed its opinion with respect to the financial statements and schedules filed as a part of the Registration Statement and included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172" w:lineRule="exact"/>
        <w:rPr>
          <w:rFonts w:ascii="Arial" w:cs="Arial" w:eastAsia="Arial" w:hAnsi="Arial"/>
          <w:sz w:val="16"/>
          <w:szCs w:val="16"/>
          <w:color w:val="auto"/>
        </w:rPr>
      </w:pPr>
    </w:p>
    <w:p>
      <w:pPr>
        <w:jc w:val="both"/>
        <w:ind w:left="-540" w:firstLine="1293"/>
        <w:spacing w:after="0" w:line="272" w:lineRule="auto"/>
        <w:tabs>
          <w:tab w:leader="none" w:pos="1552" w:val="left"/>
        </w:tabs>
        <w:numPr>
          <w:ilvl w:val="0"/>
          <w:numId w:val="7"/>
        </w:numPr>
        <w:rPr>
          <w:rFonts w:ascii="Arial" w:cs="Arial" w:eastAsia="Arial" w:hAnsi="Arial"/>
          <w:sz w:val="17"/>
          <w:szCs w:val="17"/>
          <w:color w:val="auto"/>
        </w:rPr>
      </w:pPr>
      <w:r>
        <w:rPr>
          <w:rFonts w:ascii="Arial" w:cs="Arial" w:eastAsia="Arial" w:hAnsi="Arial"/>
          <w:sz w:val="17"/>
          <w:szCs w:val="17"/>
          <w:i w:val="1"/>
          <w:iCs w:val="1"/>
          <w:u w:val="single" w:color="auto"/>
          <w:color w:val="auto"/>
        </w:rPr>
        <w:t>Organization and Good Standing</w:t>
      </w:r>
      <w:r>
        <w:rPr>
          <w:rFonts w:ascii="Arial" w:cs="Arial" w:eastAsia="Arial" w:hAnsi="Arial"/>
          <w:sz w:val="17"/>
          <w:szCs w:val="17"/>
          <w:color w:val="auto"/>
        </w:rPr>
        <w:t>. Each of the Company and its subsidiaries has been duly organized and is validly</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as a corporation in good standing under the laws of its jurisdiction of incorporation. Each of the Company and its subsidiaries has full corporate power and authority to own its properties and conduct its business as currently being carried on and as described in the Registration Statement, the Time of Sale Disclosure Package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business, prospects, management, properties, operations, condition (financial or otherwise) or results of operations of the Company and its subsidiaries, taken as a whole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39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 w:name="page9"/>
    <w:bookmarkEnd w:id="8"/>
    <w:p>
      <w:pPr>
        <w:jc w:val="both"/>
        <w:ind w:left="-540" w:firstLine="1293"/>
        <w:spacing w:after="0" w:line="270" w:lineRule="auto"/>
        <w:tabs>
          <w:tab w:leader="none" w:pos="1557"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Time of Sale Disclosure Package and in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Ordinary Shares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any development which could reasonably be expected to result in any Material Adverse Change.</w:t>
      </w:r>
    </w:p>
    <w:p>
      <w:pPr>
        <w:spacing w:after="0" w:line="177" w:lineRule="exact"/>
        <w:rPr>
          <w:rFonts w:ascii="Arial" w:cs="Arial" w:eastAsia="Arial" w:hAnsi="Arial"/>
          <w:sz w:val="17"/>
          <w:szCs w:val="17"/>
          <w:color w:val="auto"/>
        </w:rPr>
      </w:pPr>
    </w:p>
    <w:p>
      <w:pPr>
        <w:jc w:val="both"/>
        <w:ind w:left="-540" w:firstLine="1293"/>
        <w:spacing w:after="0" w:line="287" w:lineRule="auto"/>
        <w:tabs>
          <w:tab w:leader="none" w:pos="1454"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Proceedings</w:t>
      </w:r>
      <w:r>
        <w:rPr>
          <w:rFonts w:ascii="Arial" w:cs="Arial" w:eastAsia="Arial" w:hAnsi="Arial"/>
          <w:sz w:val="16"/>
          <w:szCs w:val="16"/>
          <w:color w:val="auto"/>
        </w:rPr>
        <w:t>. Except as set forth in the Time of Sale Disclosure Package and in the Prospectus, there is not</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(as defined below), or any arbitrator, which, individually or in the aggregate, would reasonably be expected to result in a Material Adverse Change, or would materially and adversely affect the ability of the Company to perform its obligations under this Agreement or which are otherwise material in the context of the sale of the Securities.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Time of Sale Disclosure Package and Prospectus by the Act or by the Rules and Regulations and that have not been so described.</w:t>
      </w:r>
    </w:p>
    <w:p>
      <w:pPr>
        <w:spacing w:after="0" w:line="172" w:lineRule="exact"/>
        <w:rPr>
          <w:rFonts w:ascii="Arial" w:cs="Arial" w:eastAsia="Arial" w:hAnsi="Arial"/>
          <w:sz w:val="16"/>
          <w:szCs w:val="16"/>
          <w:color w:val="auto"/>
        </w:rPr>
      </w:pPr>
    </w:p>
    <w:p>
      <w:pPr>
        <w:jc w:val="both"/>
        <w:ind w:left="-540" w:firstLine="1293"/>
        <w:spacing w:after="0" w:line="264" w:lineRule="auto"/>
        <w:tabs>
          <w:tab w:leader="none" w:pos="1421"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There are no statutes, regulations, contracts or documents that are required to be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in the Time of Sale Disclosure Package and in the Prospectus or required to be filed as exhibits to the Registration Statement by the Securities Act or by the Rules and Regulations that have not been so described or filed.</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 w:name="page10"/>
    <w:bookmarkEnd w:id="9"/>
    <w:p>
      <w:pPr>
        <w:jc w:val="both"/>
        <w:ind w:left="-540" w:firstLine="1293"/>
        <w:spacing w:after="0" w:line="267"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Authorization; No Conflicts; Authority</w:t>
      </w:r>
      <w:r>
        <w:rPr>
          <w:rFonts w:ascii="Arial" w:cs="Arial" w:eastAsia="Arial" w:hAnsi="Arial"/>
          <w:sz w:val="17"/>
          <w:szCs w:val="17"/>
          <w:color w:val="auto"/>
        </w:rPr>
        <w:t>. This Agreement has been duly authorized, executed and delivered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Articles of Association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except in the case of clause (A) or (C) as would not result in a Material Adverse Effect. No consent, approval, authorization or order of, or registration or filing with any Governmental Authority is required to be obtained or made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91" w:lineRule="exact"/>
        <w:rPr>
          <w:rFonts w:ascii="Arial" w:cs="Arial" w:eastAsia="Arial" w:hAnsi="Arial"/>
          <w:sz w:val="17"/>
          <w:szCs w:val="17"/>
          <w:color w:val="auto"/>
        </w:rPr>
      </w:pPr>
    </w:p>
    <w:p>
      <w:pPr>
        <w:jc w:val="both"/>
        <w:ind w:left="-540" w:firstLine="1293"/>
        <w:spacing w:after="0" w:line="284" w:lineRule="auto"/>
        <w:tabs>
          <w:tab w:leader="none" w:pos="1637"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including the outstanding Ordinary Shares, is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Representative), and the holders thereof are not subject to personal liability by reason of being such holders; the Securities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Ordinary Shares, conforms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Ordinary Shares pursuant to the Company’s Articles of Association or any agreement or other instrument to which the Company or any of its subsidiaries is a party or by which the Company or any of its subsidiaries is bound; (B) neither the filing of the Registration Statement nor the offering or sale of the Securities as contemplated by this Agreement gives rise to any rights for or relating to the registration of any Ordinary Shares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have been duly and validly authorized and issued and are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“Capitalization.” The Ordinary Shares (including the Securities) conforms in all material respects to the description thereof contained in the Time of Sale Disclosure Package and the Prospectus.</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0" w:name="page11"/>
    <w:bookmarkEnd w:id="10"/>
    <w:p>
      <w:pPr>
        <w:jc w:val="both"/>
        <w:ind w:left="-540" w:firstLine="1293"/>
        <w:spacing w:after="0" w:line="269" w:lineRule="auto"/>
        <w:tabs>
          <w:tab w:leader="none" w:pos="1561"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82" w:lineRule="exact"/>
        <w:rPr>
          <w:rFonts w:ascii="Arial" w:cs="Arial" w:eastAsia="Arial" w:hAnsi="Arial"/>
          <w:sz w:val="17"/>
          <w:szCs w:val="17"/>
          <w:color w:val="auto"/>
        </w:rPr>
      </w:pPr>
    </w:p>
    <w:p>
      <w:pPr>
        <w:jc w:val="both"/>
        <w:ind w:left="-540" w:firstLine="1293"/>
        <w:spacing w:after="0" w:line="290" w:lineRule="auto"/>
        <w:tabs>
          <w:tab w:leader="none" w:pos="1499" w:val="left"/>
        </w:tabs>
        <w:numPr>
          <w:ilvl w:val="0"/>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Laws</w:t>
      </w:r>
      <w:r>
        <w:rPr>
          <w:rFonts w:ascii="Arial" w:cs="Arial" w:eastAsia="Arial" w:hAnsi="Arial"/>
          <w:sz w:val="16"/>
          <w:szCs w:val="16"/>
          <w:color w:val="auto"/>
        </w:rPr>
        <w:t>. The Company and each of its subsidiaries holds, and is operating in compliance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all franchises, grants, authorizations, licenses, permits, easements, consents, certificates and orders of any Governmental Authority or self-regulatory body required for the conduct of its business and all such franchises, grants, authorizations, licenses, permits, easements, consents, certifications and orders are valid and in full force and effect, in each case except as such would not reasonably be expected to have a Material Adverse Effect; and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each of its subsidiaries is in compliance in all material respects with all applicable federal, state, local and foreign laws, regulations, orders and decrees.</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1" w:name="page12"/>
    <w:bookmarkEnd w:id="11"/>
    <w:p>
      <w:pPr>
        <w:jc w:val="both"/>
        <w:ind w:left="-540" w:firstLine="1293"/>
        <w:spacing w:after="0" w:line="293" w:lineRule="auto"/>
        <w:tabs>
          <w:tab w:leader="none" w:pos="1457" w:val="left"/>
        </w:tabs>
        <w:numPr>
          <w:ilvl w:val="0"/>
          <w:numId w:val="11"/>
        </w:numPr>
        <w:rPr>
          <w:rFonts w:ascii="Arial" w:cs="Arial" w:eastAsia="Arial" w:hAnsi="Arial"/>
          <w:sz w:val="16"/>
          <w:szCs w:val="16"/>
          <w:color w:val="auto"/>
        </w:rPr>
      </w:pPr>
      <w:r>
        <w:rPr>
          <w:rFonts w:ascii="Arial" w:cs="Arial" w:eastAsia="Arial" w:hAnsi="Arial"/>
          <w:sz w:val="16"/>
          <w:szCs w:val="16"/>
          <w:i w:val="1"/>
          <w:iCs w:val="1"/>
          <w:u w:val="single" w:color="auto"/>
          <w:color w:val="auto"/>
        </w:rPr>
        <w:t>Ownership of Assets</w:t>
      </w:r>
      <w:r>
        <w:rPr>
          <w:rFonts w:ascii="Arial" w:cs="Arial" w:eastAsia="Arial" w:hAnsi="Arial"/>
          <w:sz w:val="16"/>
          <w:szCs w:val="16"/>
          <w:color w:val="auto"/>
        </w:rPr>
        <w:t>. The Company and its subsidiaries have good and marketable title to all property (whether real 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described in the Registration Statement, in the Time of Sale Disclosure Package and in the Prospectus as being owned by them, in each case free and clear of all liens, claims, security interests, other encumbrances or defects except such as would not reasonably be expected to have a Material Adverse Effect or are described in the Registration Statement, in the Time of Sale Disclosure Package and in the Prospectus.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64" w:lineRule="exact"/>
        <w:rPr>
          <w:rFonts w:ascii="Arial" w:cs="Arial" w:eastAsia="Arial" w:hAnsi="Arial"/>
          <w:sz w:val="16"/>
          <w:szCs w:val="16"/>
          <w:color w:val="auto"/>
        </w:rPr>
      </w:pPr>
    </w:p>
    <w:p>
      <w:pPr>
        <w:jc w:val="both"/>
        <w:ind w:left="-540" w:firstLine="1293"/>
        <w:spacing w:after="0" w:line="284" w:lineRule="auto"/>
        <w:tabs>
          <w:tab w:leader="none" w:pos="1425" w:val="left"/>
        </w:tabs>
        <w:numPr>
          <w:ilvl w:val="0"/>
          <w:numId w:val="11"/>
        </w:numPr>
        <w:rPr>
          <w:rFonts w:ascii="Arial" w:cs="Arial" w:eastAsia="Arial" w:hAnsi="Arial"/>
          <w:sz w:val="16"/>
          <w:szCs w:val="16"/>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and each of its subsidiaries owns, possesses, or can acquire on reasonable terms,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Intellectual Property necessary for the conduct of the Company’s and it subsidiaries’ business as now conducted or as described in the Registration Statement, the Time of Sale Disclosure Package and the Prospectus to be conducted, except as such failure to own, possess, or acquire such rights would not reasonably be expected to result in a Material Adverse Effect. Furthermore, (A) to the knowledge of the Company, there is no infringement, misappropriation or violation by third parties of any Intellectual Property owned or possessed by the Company, except as such infringement, misappropriation or violation would not reasonably be expected to result in a Material Adverse Effect; (B) there is no pending or, to the knowledge of the Company, threatened, action, suit, proceeding or claim by others challenging the Company’s or any of its subsidiaries’ rights in or to any such Intellectual Property, and, to the knowledge of the Company, there are no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to the knowledge of the Company, there are no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or any of its subsidiaries has received any written notice of such claim and, to the knowledge of the Company, there are no facts which would form a reasonable basis for any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except as such violation would not reasonably be expected to result in a Material Adverse Effect.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2" w:name="page13"/>
    <w:bookmarkEnd w:id="12"/>
    <w:p>
      <w:pPr>
        <w:jc w:val="both"/>
        <w:ind w:left="-540" w:firstLine="1293"/>
        <w:spacing w:after="0" w:line="276" w:lineRule="auto"/>
        <w:tabs>
          <w:tab w:leader="none" w:pos="1376"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No Violations or Defaults</w:t>
      </w:r>
      <w:r>
        <w:rPr>
          <w:rFonts w:ascii="Arial" w:cs="Arial" w:eastAsia="Arial" w:hAnsi="Arial"/>
          <w:sz w:val="17"/>
          <w:szCs w:val="17"/>
          <w:color w:val="auto"/>
        </w:rPr>
        <w:t>. Neither the Company nor any of its subsidiaries is in violation of its respective charter, by-laws</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organizational documents, or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w:t>
      </w:r>
    </w:p>
    <w:p>
      <w:pPr>
        <w:spacing w:after="0" w:line="172" w:lineRule="exact"/>
        <w:rPr>
          <w:rFonts w:ascii="Arial" w:cs="Arial" w:eastAsia="Arial" w:hAnsi="Arial"/>
          <w:sz w:val="17"/>
          <w:szCs w:val="17"/>
          <w:color w:val="auto"/>
        </w:rPr>
      </w:pPr>
    </w:p>
    <w:p>
      <w:pPr>
        <w:jc w:val="both"/>
        <w:ind w:left="-540" w:firstLine="1293"/>
        <w:spacing w:after="0" w:line="255" w:lineRule="auto"/>
        <w:tabs>
          <w:tab w:leader="none" w:pos="1435"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The Company and its subsidiaries have timely filed all federal, state, local and foreign income and franchise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required to be filed and are not in default in the payment of any taxes which were payable pursuant to said returns or any assessments with respect thereto, other than any (i) which the Company or any of its subsidiaries is contesting in good faith or (ii) where the failure to file such return or pay such taxes would not reasonably be expected to have a Material Adverse Effect. There is no pending dispute with any taxing authority relating to any of such returns, and the Company has no knowledge of any proposed liability for any tax to be imposed upon the properties or assets of the Company for which there is not an adequate reserve reflected in the Company’s financial statements included in the Registration Statement, the Time of Sale Disclosure Package and the Prospectus.</w:t>
      </w:r>
    </w:p>
    <w:p>
      <w:pPr>
        <w:spacing w:after="0" w:line="189" w:lineRule="exact"/>
        <w:rPr>
          <w:rFonts w:ascii="Arial" w:cs="Arial" w:eastAsia="Arial" w:hAnsi="Arial"/>
          <w:sz w:val="18"/>
          <w:szCs w:val="18"/>
          <w:color w:val="auto"/>
        </w:rPr>
      </w:pPr>
    </w:p>
    <w:p>
      <w:pPr>
        <w:jc w:val="both"/>
        <w:ind w:left="-540" w:firstLine="1293"/>
        <w:spacing w:after="0" w:line="253" w:lineRule="auto"/>
        <w:tabs>
          <w:tab w:leader="none" w:pos="1454"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 and Exchange Act Registration</w:t>
      </w:r>
      <w:r>
        <w:rPr>
          <w:rFonts w:ascii="Arial" w:cs="Arial" w:eastAsia="Arial" w:hAnsi="Arial"/>
          <w:sz w:val="18"/>
          <w:szCs w:val="18"/>
          <w:color w:val="auto"/>
        </w:rPr>
        <w:t>. The Ordinary Shares are registered pursuant to Section 12(b)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and is included or approved for listing on The Nasdaq Global Market and the Company has taken no action designed to, or likely to have the effect of, terminating the registration of the Ordinary Shares under the Exchange Act or delisting the Ordinary Shares from The Nasdaq Global Market nor has the Company received any notification that the Commission or The Nasdaq Global Market is contemplating terminating such registration or listing. The Company has complied in all material respects with the applicable requirements of The Nasdaq Global Market for maintenance of inclusion of the Ordinary Shares. The Company has filed an application to include the Securities on The Nasdaq Global Market. Except as previously disclosed to counsel for the Underwriters or as set forth in the Time of Sale Disclosure Package and the Prospectus,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affiliate with a FINRA member.</w:t>
      </w:r>
    </w:p>
    <w:p>
      <w:pPr>
        <w:spacing w:after="0" w:line="194" w:lineRule="exact"/>
        <w:rPr>
          <w:rFonts w:ascii="Arial" w:cs="Arial" w:eastAsia="Arial" w:hAnsi="Arial"/>
          <w:sz w:val="18"/>
          <w:szCs w:val="18"/>
          <w:color w:val="auto"/>
        </w:rPr>
      </w:pPr>
    </w:p>
    <w:p>
      <w:pPr>
        <w:jc w:val="both"/>
        <w:ind w:left="-540" w:firstLine="1293"/>
        <w:spacing w:after="0" w:line="264" w:lineRule="auto"/>
        <w:tabs>
          <w:tab w:leader="none" w:pos="1475"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Ownership of Other Entities</w:t>
      </w:r>
      <w:r>
        <w:rPr>
          <w:rFonts w:ascii="Arial" w:cs="Arial" w:eastAsia="Arial" w:hAnsi="Arial"/>
          <w:sz w:val="18"/>
          <w:szCs w:val="18"/>
          <w:color w:val="auto"/>
        </w:rPr>
        <w:t>. Except as disclosed in the Registration Statement, in the Time of Sale Disclosure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Prospectus, the Company, directly or indirectly, owns no capital stock or other equity or ownership or proprietary interest in any corporation, partnership, association, trust or other entity.</w:t>
      </w:r>
    </w:p>
    <w:p>
      <w:pPr>
        <w:spacing w:after="0" w:line="39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3" w:name="page14"/>
    <w:bookmarkEnd w:id="13"/>
    <w:p>
      <w:pPr>
        <w:jc w:val="both"/>
        <w:ind w:firstLine="1293"/>
        <w:spacing w:after="0" w:line="286" w:lineRule="auto"/>
        <w:tabs>
          <w:tab w:leader="none" w:pos="2132"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reasonable assurances that (i) transactions are executed in accordance with management’s general or specific authorization; (ii) 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has knowledge of any “significant deficiencies” or “material weaknesses” (each as defined by the Public Company Accounting Oversight Board)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68" w:lineRule="exact"/>
        <w:rPr>
          <w:rFonts w:ascii="Arial" w:cs="Arial" w:eastAsia="Arial" w:hAnsi="Arial"/>
          <w:sz w:val="16"/>
          <w:szCs w:val="16"/>
          <w:color w:val="auto"/>
        </w:rPr>
      </w:pPr>
    </w:p>
    <w:p>
      <w:pPr>
        <w:jc w:val="both"/>
        <w:ind w:firstLine="1293"/>
        <w:spacing w:after="0" w:line="264" w:lineRule="auto"/>
        <w:tabs>
          <w:tab w:leader="none" w:pos="1961"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any liability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or broker’s fee or agent’s commission in connection with the execution and delivery of this Agreement or the consummation of the transactions contemplated hereby.</w:t>
      </w:r>
    </w:p>
    <w:p>
      <w:pPr>
        <w:spacing w:after="0" w:line="181" w:lineRule="exact"/>
        <w:rPr>
          <w:rFonts w:ascii="Arial" w:cs="Arial" w:eastAsia="Arial" w:hAnsi="Arial"/>
          <w:sz w:val="18"/>
          <w:szCs w:val="18"/>
          <w:color w:val="auto"/>
        </w:rPr>
      </w:pPr>
    </w:p>
    <w:p>
      <w:pPr>
        <w:jc w:val="both"/>
        <w:ind w:firstLine="1293"/>
        <w:spacing w:after="0" w:line="289" w:lineRule="auto"/>
        <w:tabs>
          <w:tab w:leader="none" w:pos="1993"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Insurance</w:t>
      </w:r>
      <w:r>
        <w:rPr>
          <w:rFonts w:ascii="Arial" w:cs="Arial" w:eastAsia="Arial" w:hAnsi="Arial"/>
          <w:sz w:val="16"/>
          <w:szCs w:val="16"/>
          <w:color w:val="auto"/>
        </w:rPr>
        <w:t>. The Company and each of its subsidiaries carries, or is covered by, insurance from reputable insurers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covering such risks as is adequate for the conduct of its business and the value of its properties and the properties of its subsidiaries and as is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66" w:lineRule="exact"/>
        <w:rPr>
          <w:rFonts w:ascii="Arial" w:cs="Arial" w:eastAsia="Arial" w:hAnsi="Arial"/>
          <w:sz w:val="16"/>
          <w:szCs w:val="16"/>
          <w:color w:val="auto"/>
        </w:rPr>
      </w:pPr>
    </w:p>
    <w:p>
      <w:pPr>
        <w:ind w:firstLine="1293"/>
        <w:spacing w:after="0" w:line="277" w:lineRule="auto"/>
        <w:tabs>
          <w:tab w:leader="none" w:pos="1998"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1960" w:hanging="667"/>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 to use Form F-3</w:t>
      </w:r>
      <w:r>
        <w:rPr>
          <w:rFonts w:ascii="Arial" w:cs="Arial" w:eastAsia="Arial" w:hAnsi="Arial"/>
          <w:sz w:val="16"/>
          <w:szCs w:val="16"/>
          <w:color w:val="auto"/>
        </w:rPr>
        <w:t>. The conditions for use of Form F-3, set forth in the General Instructions thereto,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14" w:name="page15"/>
    <w:bookmarkEnd w:id="14"/>
    <w:p>
      <w:pPr>
        <w:jc w:val="both"/>
        <w:ind w:left="-540" w:firstLine="1293"/>
        <w:spacing w:after="0" w:line="271" w:lineRule="auto"/>
        <w:tabs>
          <w:tab w:leader="none" w:pos="1439"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Incorporated Documents</w:t>
      </w:r>
      <w:r>
        <w:rPr>
          <w:rFonts w:ascii="Arial" w:cs="Arial" w:eastAsia="Arial" w:hAnsi="Arial"/>
          <w:sz w:val="17"/>
          <w:szCs w:val="17"/>
          <w:color w:val="auto"/>
        </w:rPr>
        <w:t>. The documents incorporated by reference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Time of Sale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left="-540" w:firstLine="1293"/>
        <w:spacing w:after="0" w:line="277" w:lineRule="auto"/>
        <w:tabs>
          <w:tab w:leader="none" w:pos="1376"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the provisions applicable to it of the Sarbanes-Oxley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of the Commission thereunder.</w:t>
      </w:r>
    </w:p>
    <w:p>
      <w:pPr>
        <w:spacing w:after="0" w:line="170" w:lineRule="exact"/>
        <w:rPr>
          <w:rFonts w:ascii="Arial" w:cs="Arial" w:eastAsia="Arial" w:hAnsi="Arial"/>
          <w:sz w:val="18"/>
          <w:szCs w:val="18"/>
          <w:color w:val="auto"/>
        </w:rPr>
      </w:pPr>
    </w:p>
    <w:p>
      <w:pPr>
        <w:jc w:val="both"/>
        <w:ind w:left="-540" w:firstLine="1293"/>
        <w:spacing w:after="0" w:line="257" w:lineRule="auto"/>
        <w:tabs>
          <w:tab w:leader="none" w:pos="1395"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Controls</w:t>
      </w:r>
      <w:r>
        <w:rPr>
          <w:rFonts w:ascii="Arial" w:cs="Arial" w:eastAsia="Arial" w:hAnsi="Arial"/>
          <w:sz w:val="18"/>
          <w:szCs w:val="18"/>
          <w:color w:val="auto"/>
        </w:rPr>
        <w:t>. The Company has established and maintains disclosure controls and procedures (as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13a-14 and 15d-14 under the Exchange Act) and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Registration Statement, in the Time of Sale Disclosure Package and in the Prospectus.</w:t>
      </w:r>
    </w:p>
    <w:p>
      <w:pPr>
        <w:spacing w:after="0" w:line="188" w:lineRule="exact"/>
        <w:rPr>
          <w:rFonts w:ascii="Arial" w:cs="Arial" w:eastAsia="Arial" w:hAnsi="Arial"/>
          <w:sz w:val="18"/>
          <w:szCs w:val="18"/>
          <w:color w:val="auto"/>
        </w:rPr>
      </w:pPr>
    </w:p>
    <w:p>
      <w:pPr>
        <w:jc w:val="both"/>
        <w:ind w:left="-540" w:firstLine="1293"/>
        <w:spacing w:after="0" w:line="268" w:lineRule="auto"/>
        <w:tabs>
          <w:tab w:leader="none" w:pos="1441"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Anti-Bribery and Anti-Money Laundering Laws</w:t>
      </w:r>
      <w:r>
        <w:rPr>
          <w:rFonts w:ascii="Arial" w:cs="Arial" w:eastAsia="Arial" w:hAnsi="Arial"/>
          <w:sz w:val="17"/>
          <w:szCs w:val="17"/>
          <w:color w:val="auto"/>
        </w:rPr>
        <w:t>. Each of the Company, its subsidiaries, its affiliates and any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officers, directors, supervisors or managers, or to the Company’s knowledge, agents or employees, has not violated, its participation in the offering will not violate, and the Company and each of its subsidiaries has instituted and maintains policies and procedures designed to ensure 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5" w:name="page16"/>
    <w:bookmarkEnd w:id="15"/>
    <w:p>
      <w:pPr>
        <w:ind w:left="1420" w:hanging="667"/>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OFAC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right="20" w:firstLine="1301"/>
        <w:spacing w:after="0" w:line="264" w:lineRule="auto"/>
        <w:tabs>
          <w:tab w:leader="none" w:pos="21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181" w:lineRule="exact"/>
        <w:rPr>
          <w:rFonts w:ascii="Arial" w:cs="Arial" w:eastAsia="Arial" w:hAnsi="Arial"/>
          <w:sz w:val="18"/>
          <w:szCs w:val="18"/>
          <w:color w:val="auto"/>
        </w:rPr>
      </w:pPr>
    </w:p>
    <w:p>
      <w:pPr>
        <w:jc w:val="both"/>
        <w:ind w:left="760" w:right="20" w:firstLine="1289"/>
        <w:spacing w:after="0" w:line="264" w:lineRule="auto"/>
        <w:tabs>
          <w:tab w:leader="none" w:pos="2773"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1" w:lineRule="exact"/>
        <w:rPr>
          <w:rFonts w:ascii="Arial" w:cs="Arial" w:eastAsia="Arial" w:hAnsi="Arial"/>
          <w:sz w:val="18"/>
          <w:szCs w:val="18"/>
          <w:color w:val="auto"/>
        </w:rPr>
      </w:pPr>
    </w:p>
    <w:p>
      <w:pPr>
        <w:ind w:left="760" w:firstLine="1289"/>
        <w:spacing w:after="0" w:line="277" w:lineRule="auto"/>
        <w:tabs>
          <w:tab w:leader="none" w:pos="2681" w:val="left"/>
        </w:tabs>
        <w:numPr>
          <w:ilvl w:val="2"/>
          <w:numId w:val="1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170" w:lineRule="exact"/>
        <w:rPr>
          <w:rFonts w:ascii="Arial" w:cs="Arial" w:eastAsia="Arial" w:hAnsi="Arial"/>
          <w:sz w:val="18"/>
          <w:szCs w:val="18"/>
          <w:color w:val="auto"/>
        </w:rPr>
      </w:pPr>
    </w:p>
    <w:p>
      <w:pPr>
        <w:ind w:left="100" w:firstLine="1301"/>
        <w:spacing w:after="0" w:line="308" w:lineRule="auto"/>
        <w:tabs>
          <w:tab w:leader="none" w:pos="2122" w:val="left"/>
        </w:tabs>
        <w:numPr>
          <w:ilvl w:val="1"/>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directly or indirectly, use the proceeds of the offering, or lend, contribute or otherwise make available such proceeds to any subsidiary, joint venture partner or other individual or entity:</w:t>
      </w:r>
    </w:p>
    <w:p>
      <w:pPr>
        <w:spacing w:after="0" w:line="146" w:lineRule="exact"/>
        <w:rPr>
          <w:rFonts w:ascii="Arial" w:cs="Arial" w:eastAsia="Arial" w:hAnsi="Arial"/>
          <w:sz w:val="17"/>
          <w:szCs w:val="17"/>
          <w:color w:val="auto"/>
        </w:rPr>
      </w:pPr>
    </w:p>
    <w:p>
      <w:pPr>
        <w:ind w:left="760" w:right="20" w:firstLine="1289"/>
        <w:spacing w:after="0" w:line="277" w:lineRule="auto"/>
        <w:tabs>
          <w:tab w:leader="none" w:pos="2784"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760" w:firstLine="1289"/>
        <w:spacing w:after="0" w:line="277" w:lineRule="auto"/>
        <w:tabs>
          <w:tab w:leader="none" w:pos="2685"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0" w:lineRule="exact"/>
        <w:rPr>
          <w:rFonts w:ascii="Arial" w:cs="Arial" w:eastAsia="Arial" w:hAnsi="Arial"/>
          <w:sz w:val="18"/>
          <w:szCs w:val="18"/>
          <w:color w:val="auto"/>
        </w:rPr>
      </w:pPr>
    </w:p>
    <w:p>
      <w:pPr>
        <w:jc w:val="both"/>
        <w:ind w:left="100" w:firstLine="1301"/>
        <w:spacing w:after="0" w:line="264" w:lineRule="auto"/>
        <w:tabs>
          <w:tab w:leader="none" w:pos="2041"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39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6" w:name="page17"/>
    <w:bookmarkEnd w:id="16"/>
    <w:p>
      <w:pPr>
        <w:jc w:val="both"/>
        <w:ind w:left="-540" w:firstLine="1293"/>
        <w:spacing w:after="0" w:line="270" w:lineRule="auto"/>
        <w:tabs>
          <w:tab w:leader="none" w:pos="1668"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Environmental Laws</w:t>
      </w:r>
      <w:r>
        <w:rPr>
          <w:rFonts w:ascii="Arial" w:cs="Arial" w:eastAsia="Arial" w:hAnsi="Arial"/>
          <w:sz w:val="17"/>
          <w:szCs w:val="17"/>
          <w:color w:val="auto"/>
        </w:rPr>
        <w:t>. Except as disclosed in the Time of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has no knowledge of any pending investigation which would reasonably be expected to lead to such a claim. Neither the Company nor any of its subsidiaries anticipates incurring any material capital expenditures relating to compliance with Environmental Laws.</w:t>
      </w:r>
    </w:p>
    <w:p>
      <w:pPr>
        <w:spacing w:after="0" w:line="181" w:lineRule="exact"/>
        <w:rPr>
          <w:rFonts w:ascii="Arial" w:cs="Arial" w:eastAsia="Arial" w:hAnsi="Arial"/>
          <w:sz w:val="17"/>
          <w:szCs w:val="17"/>
          <w:color w:val="auto"/>
        </w:rPr>
      </w:pPr>
    </w:p>
    <w:p>
      <w:pPr>
        <w:jc w:val="both"/>
        <w:ind w:left="-540" w:firstLine="1293"/>
        <w:spacing w:after="0" w:line="270" w:lineRule="auto"/>
        <w:tabs>
          <w:tab w:leader="none" w:pos="1561"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Occupational Laws</w:t>
      </w:r>
      <w:r>
        <w:rPr>
          <w:rFonts w:ascii="Arial" w:cs="Arial" w:eastAsia="Arial" w:hAnsi="Arial"/>
          <w:sz w:val="17"/>
          <w:szCs w:val="17"/>
          <w:color w:val="auto"/>
        </w:rPr>
        <w:t>. The Company and each of its subsidiaries (A) is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7"/>
          <w:szCs w:val="17"/>
          <w:b w:val="1"/>
          <w:bCs w:val="1"/>
          <w:i w:val="1"/>
          <w:iCs w:val="1"/>
          <w:color w:val="auto"/>
        </w:rPr>
        <w:t>“Occupational Laws”</w:t>
      </w:r>
      <w:r>
        <w:rPr>
          <w:rFonts w:ascii="Arial" w:cs="Arial" w:eastAsia="Arial" w:hAnsi="Arial"/>
          <w:sz w:val="17"/>
          <w:szCs w:val="17"/>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material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3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7" w:name="page18"/>
    <w:bookmarkEnd w:id="17"/>
    <w:p>
      <w:pPr>
        <w:jc w:val="both"/>
        <w:ind w:left="-540" w:firstLine="1293"/>
        <w:spacing w:after="0" w:line="284"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“Employee Benefit Plan”</w:t>
      </w:r>
      <w:r>
        <w:rPr>
          <w:rFonts w:ascii="Arial" w:cs="Arial" w:eastAsia="Arial" w:hAnsi="Arial"/>
          <w:sz w:val="16"/>
          <w:szCs w:val="16"/>
          <w:color w:val="auto"/>
        </w:rPr>
        <w:t xml:space="preserve">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means the Employee Retirement Income Security Act of 1974, as amended;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xml:space="preserve"> means any member of the company’s controlled group as defined in Code Section 414(b), (c), (m) or (o); and </w:t>
      </w:r>
      <w:r>
        <w:rPr>
          <w:rFonts w:ascii="Arial" w:cs="Arial" w:eastAsia="Arial" w:hAnsi="Arial"/>
          <w:sz w:val="16"/>
          <w:szCs w:val="16"/>
          <w:b w:val="1"/>
          <w:bCs w:val="1"/>
          <w:i w:val="1"/>
          <w:iCs w:val="1"/>
          <w:color w:val="auto"/>
        </w:rPr>
        <w:t>“Foreign Benefit Plan”</w:t>
      </w:r>
      <w:r>
        <w:rPr>
          <w:rFonts w:ascii="Arial" w:cs="Arial" w:eastAsia="Arial" w:hAnsi="Arial"/>
          <w:sz w:val="16"/>
          <w:szCs w:val="16"/>
          <w:color w:val="auto"/>
        </w:rPr>
        <w:t xml:space="preserve"> means any Employee Benefit Plan established, maintained or contributed to outside of the United States of America or which covers any employee working or residing outside of the United States.</w:t>
      </w:r>
    </w:p>
    <w:p>
      <w:pPr>
        <w:spacing w:after="0" w:line="170" w:lineRule="exact"/>
        <w:rPr>
          <w:rFonts w:ascii="Arial" w:cs="Arial" w:eastAsia="Arial" w:hAnsi="Arial"/>
          <w:sz w:val="16"/>
          <w:szCs w:val="16"/>
          <w:color w:val="auto"/>
        </w:rPr>
      </w:pPr>
    </w:p>
    <w:p>
      <w:pPr>
        <w:jc w:val="both"/>
        <w:ind w:left="-540" w:firstLine="1293"/>
        <w:spacing w:after="0" w:line="279" w:lineRule="auto"/>
        <w:tabs>
          <w:tab w:leader="none" w:pos="1445"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neither the Company nor any of its subsidiaries has granted rights to develop, manufacture, produce, assemble, distribute, license, market or sell its products to any other person and is not bound by any agreement that affects the exclusive right of the Company or such subsidiary to develop, manufacture, produce, assemble, distribute, license, market or sell its products.</w:t>
      </w:r>
    </w:p>
    <w:p>
      <w:pPr>
        <w:spacing w:after="0" w:line="171" w:lineRule="exact"/>
        <w:rPr>
          <w:rFonts w:ascii="Arial" w:cs="Arial" w:eastAsia="Arial" w:hAnsi="Arial"/>
          <w:sz w:val="17"/>
          <w:szCs w:val="17"/>
          <w:color w:val="auto"/>
        </w:rPr>
      </w:pPr>
    </w:p>
    <w:p>
      <w:pPr>
        <w:jc w:val="both"/>
        <w:ind w:left="-540" w:firstLine="1293"/>
        <w:spacing w:after="0" w:line="312" w:lineRule="auto"/>
        <w:tabs>
          <w:tab w:leader="none" w:pos="1421" w:val="left"/>
        </w:tabs>
        <w:numPr>
          <w:ilvl w:val="0"/>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Labor Matters</w:t>
      </w:r>
      <w:r>
        <w:rPr>
          <w:rFonts w:ascii="Arial" w:cs="Arial" w:eastAsia="Arial" w:hAnsi="Arial"/>
          <w:sz w:val="16"/>
          <w:szCs w:val="16"/>
          <w:color w:val="auto"/>
        </w:rPr>
        <w:t>. No labor problem or dispute with the employees of the Company or any of its subsidiaries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threatened, and the Company has no knowledge of any existing or imminent labor disturbance by the employees of any of its or its subsidiaries’ principal suppliers, contractors or customers, that would reasonably be expected to result in a Material Adverse Effect.</w:t>
      </w:r>
    </w:p>
    <w:p>
      <w:pPr>
        <w:spacing w:after="0" w:line="36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8" w:name="page19"/>
    <w:bookmarkEnd w:id="18"/>
    <w:p>
      <w:pPr>
        <w:jc w:val="both"/>
        <w:ind w:firstLine="1293"/>
        <w:spacing w:after="0" w:line="257" w:lineRule="auto"/>
        <w:tabs>
          <w:tab w:leader="none" w:pos="1983"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Subsidiary Payments to the Company</w:t>
      </w:r>
      <w:r>
        <w:rPr>
          <w:rFonts w:ascii="Arial" w:cs="Arial" w:eastAsia="Arial" w:hAnsi="Arial"/>
          <w:sz w:val="18"/>
          <w:szCs w:val="18"/>
          <w:color w:val="auto"/>
        </w:rPr>
        <w:t>. No subsidiary of the Company is currently prohibited,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Disclosure Package and the Prospectus.</w:t>
      </w:r>
    </w:p>
    <w:p>
      <w:pPr>
        <w:spacing w:after="0" w:line="188" w:lineRule="exact"/>
        <w:rPr>
          <w:rFonts w:ascii="Arial" w:cs="Arial" w:eastAsia="Arial" w:hAnsi="Arial"/>
          <w:sz w:val="18"/>
          <w:szCs w:val="18"/>
          <w:color w:val="auto"/>
        </w:rPr>
      </w:pPr>
    </w:p>
    <w:p>
      <w:pPr>
        <w:jc w:val="both"/>
        <w:ind w:firstLine="1293"/>
        <w:spacing w:after="0" w:line="264" w:lineRule="auto"/>
        <w:tabs>
          <w:tab w:leader="none" w:pos="2029"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Sale Disclosure Package and the Prospectus are based on or derived from sources that the Company believes to be reliable and accurate in all material respects.</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061"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21E of the Exchange Act) contained in the Registration Statement, the Pricing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ind w:left="2000" w:hanging="707"/>
        <w:spacing w:after="0"/>
        <w:tabs>
          <w:tab w:leader="none" w:pos="2000"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Emerging Growth Company</w:t>
      </w:r>
      <w:r>
        <w:rPr>
          <w:rFonts w:ascii="Arial" w:cs="Arial" w:eastAsia="Arial" w:hAnsi="Arial"/>
          <w:sz w:val="17"/>
          <w:szCs w:val="17"/>
          <w:color w:val="auto"/>
        </w:rPr>
        <w:t>. The Company is an “emerging growth company,” as defined in Section 2(a)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firstLine="1293"/>
        <w:spacing w:after="0" w:line="277" w:lineRule="auto"/>
        <w:tabs>
          <w:tab w:leader="none" w:pos="2078"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Agent for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validly appointed Alcobra Inc., 600 West Germantown Pike, Suite 400, Plymouth</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PA, 19462, as its authorized agent for service of process in the United States.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u w:val="single" w:color="auto"/>
          <w:color w:val="auto"/>
        </w:rPr>
        <w:t>No Immunity</w:t>
      </w:r>
      <w:r>
        <w:rPr>
          <w:rFonts w:ascii="Arial" w:cs="Arial" w:eastAsia="Arial" w:hAnsi="Arial"/>
          <w:sz w:val="18"/>
          <w:szCs w:val="18"/>
          <w:color w:val="auto"/>
        </w:rPr>
        <w:t>. Neither the Company nor any of its properties or assets has any immunity from the jurisdiction of any court or from any legal process (whether through service or notice, attachment prior to judgment, attachment in aid of execution or otherwise) under the laws of the State of Israel.</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u w:val="single" w:color="auto"/>
          <w:color w:val="auto"/>
        </w:rPr>
        <w:t>No Israeli Consent</w:t>
      </w:r>
      <w:r>
        <w:rPr>
          <w:rFonts w:ascii="Arial" w:cs="Arial" w:eastAsia="Arial" w:hAnsi="Arial"/>
          <w:sz w:val="18"/>
          <w:szCs w:val="18"/>
          <w:color w:val="auto"/>
        </w:rPr>
        <w:t>. No consent, approval, authorization or order of, or filing, qualification or registration with, any Israeli court or governmental agency or body, which has not been made, obtained or taken and is not in full force and effect, is required for the execution, delivery and performance of this Agreement by the Company, the offer or sale of the Securities or the consummation of the transactions contemplated hereby or thereby, other than (A) the obligation to file certain information in connection with the First Closing and the Second Closing with the Israeli Investment Center and the Chief Scientist and (B) the filing of certain notices with the Registrar of Companies in the State of Israel regarding the issuance of shares.</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i w:val="1"/>
          <w:iCs w:val="1"/>
          <w:u w:val="single" w:color="auto"/>
          <w:color w:val="auto"/>
        </w:rPr>
        <w:t>Tax</w:t>
      </w:r>
      <w:r>
        <w:rPr>
          <w:rFonts w:ascii="Arial" w:cs="Arial" w:eastAsia="Arial" w:hAnsi="Arial"/>
          <w:sz w:val="18"/>
          <w:szCs w:val="18"/>
          <w:color w:val="auto"/>
        </w:rPr>
        <w:t>. Assuming one of the Underwriters maintains a permanent establishment in the State of Israel, or is either not subject to taxation in Israel or are exempt from such taxation pursuant to the Israeli Income Tax Ordinance, 1961, or pursuant to the U.S. Israel Income Tax Treaty, then the issuance, delivery and sale of the Securities are not subject to any tax imposed by the State of Israel or any political subdivision thereof.</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19" w:name="page20"/>
    <w:bookmarkEnd w:id="19"/>
    <w:p>
      <w:pPr>
        <w:jc w:val="both"/>
        <w:ind w:firstLine="1297"/>
        <w:spacing w:after="0" w:line="259"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u w:val="single" w:color="auto"/>
          <w:color w:val="auto"/>
        </w:rPr>
        <w:t>No Solicitation</w:t>
      </w:r>
      <w:r>
        <w:rPr>
          <w:rFonts w:ascii="Arial" w:cs="Arial" w:eastAsia="Arial" w:hAnsi="Arial"/>
          <w:sz w:val="18"/>
          <w:szCs w:val="18"/>
          <w:color w:val="auto"/>
        </w:rPr>
        <w:t>. The Company has not engaged in any form of solicitation, advertising or any other action constituting an offer of securities under the Israeli Securities Law 5728-1968, as amended, and the regulations promulgated thereunder (collectively, the “Israeli Securities Law”) in connection with the transactions contemplated hereby which would require the Company to publish a prospectus in the State of Israel under the laws of the State of Israel.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1300"/>
              <w:spacing w:after="0"/>
              <w:rPr>
                <w:sz w:val="20"/>
                <w:szCs w:val="20"/>
                <w:color w:val="auto"/>
              </w:rPr>
            </w:pPr>
            <w:r>
              <w:rPr>
                <w:rFonts w:ascii="Arial" w:cs="Arial" w:eastAsia="Arial" w:hAnsi="Arial"/>
                <w:sz w:val="18"/>
                <w:szCs w:val="18"/>
                <w:color w:val="auto"/>
              </w:rPr>
              <w:t>(xliv)</w:t>
            </w: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rPr>
              <w:t>Stamp Duty.</w:t>
            </w:r>
          </w:p>
        </w:tc>
        <w:tc>
          <w:tcPr>
            <w:tcW w:w="7720" w:type="dxa"/>
            <w:vAlign w:val="bottom"/>
          </w:tcPr>
          <w:p>
            <w:pPr>
              <w:ind w:left="220"/>
              <w:spacing w:after="0"/>
              <w:rPr>
                <w:sz w:val="20"/>
                <w:szCs w:val="20"/>
                <w:color w:val="auto"/>
              </w:rPr>
            </w:pPr>
            <w:r>
              <w:rPr>
                <w:rFonts w:ascii="Arial" w:cs="Arial" w:eastAsia="Arial" w:hAnsi="Arial"/>
                <w:sz w:val="18"/>
                <w:szCs w:val="18"/>
                <w:color w:val="auto"/>
                <w:w w:val="92"/>
              </w:rPr>
              <w:t>No stamp duty or similar tax or duty is payable under applicable laws or regulations in connection with</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40" w:type="dxa"/>
            <w:vAlign w:val="bottom"/>
            <w:tcBorders>
              <w:left w:val="single" w:sz="8" w:color="auto"/>
            </w:tcBorders>
            <w:gridSpan w:val="2"/>
          </w:tcPr>
          <w:p>
            <w:pPr>
              <w:spacing w:after="0" w:line="20" w:lineRule="exact"/>
              <w:rPr>
                <w:sz w:val="1"/>
                <w:szCs w:val="1"/>
                <w:color w:val="auto"/>
              </w:rPr>
            </w:pPr>
          </w:p>
        </w:tc>
      </w:tr>
      <w:tr>
        <w:trPr>
          <w:trHeight w:val="237"/>
        </w:trPr>
        <w:tc>
          <w:tcPr>
            <w:tcW w:w="10760" w:type="dxa"/>
            <w:vAlign w:val="bottom"/>
            <w:gridSpan w:val="4"/>
          </w:tcPr>
          <w:p>
            <w:pPr>
              <w:spacing w:after="0"/>
              <w:rPr>
                <w:sz w:val="20"/>
                <w:szCs w:val="20"/>
                <w:color w:val="auto"/>
              </w:rPr>
            </w:pPr>
            <w:r>
              <w:rPr>
                <w:rFonts w:ascii="Arial" w:cs="Arial" w:eastAsia="Arial" w:hAnsi="Arial"/>
                <w:sz w:val="18"/>
                <w:szCs w:val="18"/>
                <w:color w:val="auto"/>
              </w:rPr>
              <w:t>the creation, issuance or delivery of the Securities.</w:t>
            </w:r>
          </w:p>
        </w:tc>
      </w:tr>
      <w:tr>
        <w:trPr>
          <w:trHeight w:val="392"/>
        </w:trPr>
        <w:tc>
          <w:tcPr>
            <w:tcW w:w="1960" w:type="dxa"/>
            <w:vAlign w:val="bottom"/>
          </w:tcPr>
          <w:p>
            <w:pPr>
              <w:ind w:left="1300"/>
              <w:spacing w:after="0"/>
              <w:rPr>
                <w:sz w:val="20"/>
                <w:szCs w:val="20"/>
                <w:color w:val="auto"/>
              </w:rPr>
            </w:pPr>
            <w:r>
              <w:rPr>
                <w:rFonts w:ascii="Arial" w:cs="Arial" w:eastAsia="Arial" w:hAnsi="Arial"/>
                <w:sz w:val="18"/>
                <w:szCs w:val="18"/>
                <w:color w:val="auto"/>
              </w:rPr>
              <w:t>(xlv)</w:t>
            </w: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rPr>
              <w:t>Judgments.</w:t>
            </w:r>
          </w:p>
        </w:tc>
        <w:tc>
          <w:tcPr>
            <w:tcW w:w="7720" w:type="dxa"/>
            <w:vAlign w:val="bottom"/>
          </w:tcPr>
          <w:p>
            <w:pPr>
              <w:ind w:left="220"/>
              <w:spacing w:after="0"/>
              <w:rPr>
                <w:sz w:val="20"/>
                <w:szCs w:val="20"/>
                <w:color w:val="auto"/>
              </w:rPr>
            </w:pPr>
            <w:r>
              <w:rPr>
                <w:rFonts w:ascii="Arial" w:cs="Arial" w:eastAsia="Arial" w:hAnsi="Arial"/>
                <w:sz w:val="18"/>
                <w:szCs w:val="18"/>
                <w:color w:val="auto"/>
                <w:w w:val="92"/>
              </w:rPr>
              <w:t>Subject to the conditions and qualifications set forth in the Registration Statement, in the Time of Sale</w:t>
            </w:r>
          </w:p>
        </w:tc>
      </w:tr>
      <w:tr>
        <w:trPr>
          <w:trHeight w:val="20"/>
        </w:trPr>
        <w:tc>
          <w:tcPr>
            <w:tcW w:w="1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Disclosure Package and in the Prospectus, a final and conclusive judgment against the Company for a definitive sum of money entered by any court in the United States may be enforced by an Israeli court.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(xlvi) </w:t>
      </w:r>
      <w:r>
        <w:rPr>
          <w:rFonts w:ascii="Arial" w:cs="Arial" w:eastAsia="Arial" w:hAnsi="Arial"/>
          <w:sz w:val="18"/>
          <w:szCs w:val="18"/>
          <w:i w:val="1"/>
          <w:iCs w:val="1"/>
          <w:u w:val="single" w:color="auto"/>
          <w:color w:val="auto"/>
        </w:rPr>
        <w:t>Securities Issuances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described in the Registration Statement, in the Time of Sale Disclosure Package and in the Prospectus, for a period of 12 months prior to and including the date of the Closing, the Company has not offered or sold any of its securities in Israel, except for the issuance of the Ordinary Shares, options to purchase Ordinary Shares exercisable under the Company’s equity incentive plans and preferred shares, which are exempt from prospectus requirements under the Israeli Securities Law or otherwise as described in the Registration Statement.</w:t>
      </w:r>
    </w:p>
    <w:p>
      <w:pPr>
        <w:spacing w:after="0" w:line="18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(xlvii)</w:t>
      </w:r>
      <w:r>
        <w:rPr>
          <w:sz w:val="20"/>
          <w:szCs w:val="20"/>
          <w:color w:val="auto"/>
        </w:rPr>
        <w:tab/>
      </w:r>
      <w:r>
        <w:rPr>
          <w:rFonts w:ascii="Arial" w:cs="Arial" w:eastAsia="Arial" w:hAnsi="Arial"/>
          <w:sz w:val="16"/>
          <w:szCs w:val="16"/>
          <w:i w:val="1"/>
          <w:iCs w:val="1"/>
          <w:u w:val="single" w:color="auto"/>
          <w:color w:val="auto"/>
        </w:rPr>
        <w:t>Dissolution</w:t>
      </w:r>
      <w:r>
        <w:rPr>
          <w:rFonts w:ascii="Arial" w:cs="Arial" w:eastAsia="Arial" w:hAnsi="Arial"/>
          <w:sz w:val="16"/>
          <w:szCs w:val="16"/>
          <w:color w:val="auto"/>
        </w:rPr>
        <w:t>. No proceedings have been instituted in the State of Israel for the dissolution of the Company.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(xlviii) </w:t>
      </w:r>
      <w:r>
        <w:rPr>
          <w:rFonts w:ascii="Arial" w:cs="Arial" w:eastAsia="Arial" w:hAnsi="Arial"/>
          <w:sz w:val="18"/>
          <w:szCs w:val="18"/>
          <w:i w:val="1"/>
          <w:iCs w:val="1"/>
          <w:u w:val="single" w:color="auto"/>
          <w:color w:val="auto"/>
        </w:rPr>
        <w:t>Israeli Investors</w:t>
      </w:r>
      <w:r>
        <w:rPr>
          <w:rFonts w:ascii="Arial" w:cs="Arial" w:eastAsia="Arial" w:hAnsi="Arial"/>
          <w:sz w:val="18"/>
          <w:szCs w:val="18"/>
          <w:color w:val="auto"/>
        </w:rPr>
        <w:t>. The Company acknowledges, understands and agrees that Public Securities may be sold in Israel only by the Underwriters and only to such Israeli investors listed in the First Addendum to the Israeli Securities Law.</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6"/>
          <w:szCs w:val="16"/>
          <w:color w:val="auto"/>
        </w:rPr>
        <w:t>(xlix)</w:t>
      </w:r>
      <w:r>
        <w:rPr>
          <w:sz w:val="20"/>
          <w:szCs w:val="20"/>
          <w:color w:val="auto"/>
        </w:rPr>
        <w:tab/>
      </w:r>
      <w:r>
        <w:rPr>
          <w:rFonts w:ascii="Arial" w:cs="Arial" w:eastAsia="Arial" w:hAnsi="Arial"/>
          <w:sz w:val="16"/>
          <w:szCs w:val="16"/>
          <w:i w:val="1"/>
          <w:iCs w:val="1"/>
          <w:u w:val="single" w:color="auto"/>
          <w:color w:val="auto"/>
        </w:rPr>
        <w:t>Foreign Private Issuer</w:t>
      </w:r>
      <w:r>
        <w:rPr>
          <w:rFonts w:ascii="Arial" w:cs="Arial" w:eastAsia="Arial" w:hAnsi="Arial"/>
          <w:sz w:val="16"/>
          <w:szCs w:val="16"/>
          <w:color w:val="auto"/>
        </w:rPr>
        <w:t>. The Company is a “foreign private issuer” within the meaning of Rule 405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1293"/>
        <w:spacing w:after="0" w:line="259" w:lineRule="auto"/>
        <w:tabs>
          <w:tab w:leader="none" w:pos="1997"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PFIC Status</w:t>
      </w:r>
      <w:r>
        <w:rPr>
          <w:rFonts w:ascii="Arial" w:cs="Arial" w:eastAsia="Arial" w:hAnsi="Arial"/>
          <w:sz w:val="18"/>
          <w:szCs w:val="18"/>
          <w:color w:val="auto"/>
        </w:rPr>
        <w:t>. Based on the nature of the Company’s business, the projected composition of its income and the projected</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and estimated fair market values of the Company’s assets, the Company cannot rule out that it will be a passive foreign investment company within the meaning of Section 1297 of the United States Internal Revenue Code of 1986, as amended or the regulations promulgated thereunder in 2013, 2014 or a subsequent year.</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20" w:name="page21"/>
    <w:bookmarkEnd w:id="20"/>
    <w:p>
      <w:pPr>
        <w:ind w:left="1280" w:hanging="624"/>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2176" w:val="left"/>
        </w:tabs>
        <w:numPr>
          <w:ilvl w:val="1"/>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Firm Shares</w:t>
      </w:r>
      <w:r>
        <w:rPr>
          <w:rFonts w:ascii="Arial" w:cs="Arial" w:eastAsia="Arial" w:hAnsi="Arial"/>
          <w:sz w:val="17"/>
          <w:szCs w:val="17"/>
          <w:color w:val="auto"/>
        </w:rPr>
        <w:t>. 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herein set forth, the Company agrees to issue and sell the Firm Shares to the several Underwriters, and each Underwriter agrees, severally and not jointly, to purchase from the Company the number of Firm Shares set forth opposite the name of such Underwriter in Schedule I hereto. The purchase price for each Firm Share shall be $3.76 per share. The obligation of each Underwriter to the Company shall be to purchase from the Company that number of Firm Shares (to be adjusted by the Representatives to avoid fractional shares) which represents the same proportion of the number of Firm Shares to be sold by the Company pursuant to this Agreement as the number of Firm Shares set forth opposite the name of such Underwriter in Schedule II hereto represents to the total number of Firm Shares to be purchased by all Underwriters pursuant to this Agreement. In making this Agreement, each Underwriter is contracting severally and not jointly; except as provided in paragraph (c) of this Section 3 and in Section 8 hereof, the agreement of each Underwriter is to purchase only the respective number of Firm Shares specified in Schedule I.</w:t>
      </w:r>
    </w:p>
    <w:p>
      <w:pPr>
        <w:spacing w:after="0" w:line="18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The Firm Shares will be delivered by the Company to you for the accounts of the several Underwriters against payment of the purchase price therefor by wire transfer of same day funds payable to the order of the Company at the offices of Piper Jaffray &amp; Co., U.S. Bancorp Center, 800 Nicollet Mall, Minneapolis, Minnesota, or such other location as may be mutually acceptable, at 9:00 a.m. Central time on the third (or if the Securities are priced, as contemplated by Rule 15c6-1(c) under the Exchange Act, after 4:30 p.m. Eastern time, the fourth) full business day following the date hereof, or at such other time and date as you and the Company determine pursuant to Rule 15c6-1(a) under the Exchange Act, such time and date of delivery being herein referred to as the </w:t>
      </w:r>
      <w:r>
        <w:rPr>
          <w:rFonts w:ascii="Arial" w:cs="Arial" w:eastAsia="Arial" w:hAnsi="Arial"/>
          <w:sz w:val="18"/>
          <w:szCs w:val="18"/>
          <w:b w:val="1"/>
          <w:bCs w:val="1"/>
          <w:i w:val="1"/>
          <w:iCs w:val="1"/>
          <w:color w:val="auto"/>
        </w:rPr>
        <w:t>“First Closing Date.”</w:t>
      </w:r>
    </w:p>
    <w:p>
      <w:pPr>
        <w:spacing w:after="0" w:line="193" w:lineRule="exact"/>
        <w:rPr>
          <w:sz w:val="20"/>
          <w:szCs w:val="20"/>
          <w:color w:val="auto"/>
        </w:rPr>
      </w:pPr>
    </w:p>
    <w:p>
      <w:pPr>
        <w:jc w:val="both"/>
        <w:ind w:firstLine="1305"/>
        <w:spacing w:after="0" w:line="286" w:lineRule="auto"/>
        <w:tabs>
          <w:tab w:leader="none" w:pos="2145"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herein set forth, the Company, with respect to 975,000 of the Option Shares, hereby grant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not more than once) within 30 days after the effective date of this Agreement upon notice (confirmed in writing) by the Representative to the Company setting forth the aggregate number of Option Shares as to which the several Underwriters are exercising the option, the names and denominations in which the certificates for the Option Shares are to be registered and the date and time, as determined by you, when the Option Shares are to be delivered, such time and date being herein referred to as the </w:t>
      </w:r>
      <w:r>
        <w:rPr>
          <w:rFonts w:ascii="Arial" w:cs="Arial" w:eastAsia="Arial" w:hAnsi="Arial"/>
          <w:sz w:val="16"/>
          <w:szCs w:val="16"/>
          <w:b w:val="1"/>
          <w:bCs w:val="1"/>
          <w:i w:val="1"/>
          <w:iCs w:val="1"/>
          <w:color w:val="auto"/>
        </w:rPr>
        <w:t xml:space="preserve">“Second Closing”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“Second Closing Date”</w:t>
      </w:r>
      <w:r>
        <w:rPr>
          <w:rFonts w:ascii="Arial" w:cs="Arial" w:eastAsia="Arial" w:hAnsi="Arial"/>
          <w:sz w:val="16"/>
          <w:szCs w:val="16"/>
          <w:color w:val="auto"/>
        </w:rPr>
        <w:t>, respectively; provided, however, that the Second Closing Date shall not be earlier than the First Closing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 earlier than the second business day after the date on which the option shall have been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 in such manner as the Representative deems advisable to avoid fractional shares. No Option Shares shall be sold and delivered unless the Firm Shares previously have been, or simultaneously are, sold and delivered.</w:t>
      </w:r>
    </w:p>
    <w:p>
      <w:pPr>
        <w:spacing w:after="0" w:line="17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Option Shares will be delivered by the Company to you for the accounts of the several Underwriters against payment of the purchase price therefor by wire transfer of same day funds payable to the order of the Company, as appropriate, at the offices of Piper Jaffray &amp; Co., U.S. Bancorp Center, 800 Nicollet Mall, Minneapolis, Minnesota, or such other location as may be mutually acceptable at 9:00 a.m., Central time, on the Second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left="-20" w:firstLine="1305"/>
        <w:spacing w:after="0" w:line="276" w:lineRule="auto"/>
        <w:tabs>
          <w:tab w:leader="none" w:pos="1953" w:val="left"/>
        </w:tabs>
        <w:numPr>
          <w:ilvl w:val="1"/>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Delivery</w:t>
      </w:r>
      <w:r>
        <w:rPr>
          <w:rFonts w:ascii="Arial" w:cs="Arial" w:eastAsia="Arial" w:hAnsi="Arial"/>
          <w:sz w:val="17"/>
          <w:szCs w:val="17"/>
          <w:color w:val="auto"/>
        </w:rPr>
        <w:t>. If the Representative so elects, delivery of the Firm Shares or the Option Shares may be made by credit through full fast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to the accounts at DTC designated by the Representative. Certificates representing the Firm Shares and the Option Shares in definitive form and in such denominations and registered in such names as you have set forth in your notice of option exercise, or evidence of their issuance, will be made available for checking at a reasonable time preceding the First Closing Date or the Second Closing Date, as applicable, at the office of Piper Jaffray &amp; Co., 800 Nicollet Mall, Minneapolis, Minnesota, or such other location as may be mutually acceptable.</w:t>
      </w:r>
    </w:p>
    <w:p>
      <w:pPr>
        <w:spacing w:after="0" w:line="172" w:lineRule="exact"/>
        <w:rPr>
          <w:rFonts w:ascii="Arial" w:cs="Arial" w:eastAsia="Arial" w:hAnsi="Arial"/>
          <w:sz w:val="17"/>
          <w:szCs w:val="17"/>
          <w:color w:val="auto"/>
        </w:rPr>
      </w:pPr>
    </w:p>
    <w:p>
      <w:pPr>
        <w:jc w:val="both"/>
        <w:ind w:left="-20" w:firstLine="1305"/>
        <w:spacing w:after="0" w:line="259" w:lineRule="auto"/>
        <w:tabs>
          <w:tab w:leader="none" w:pos="2058"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Purchase by Representative on Behalf of Underwriters</w:t>
      </w:r>
      <w:r>
        <w:rPr>
          <w:rFonts w:ascii="Arial" w:cs="Arial" w:eastAsia="Arial" w:hAnsi="Arial"/>
          <w:sz w:val="18"/>
          <w:szCs w:val="18"/>
          <w:color w:val="auto"/>
        </w:rPr>
        <w:t>. It is understood that you, individually and not as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86" w:lineRule="exact"/>
        <w:rPr>
          <w:rFonts w:ascii="Arial" w:cs="Arial" w:eastAsia="Arial" w:hAnsi="Arial"/>
          <w:sz w:val="18"/>
          <w:szCs w:val="18"/>
          <w:color w:val="auto"/>
        </w:rPr>
      </w:pPr>
    </w:p>
    <w:p>
      <w:pPr>
        <w:ind w:left="1260" w:hanging="62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1"/>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Covenants of the Company</w:t>
      </w:r>
      <w:r>
        <w:rPr>
          <w:rFonts w:ascii="Arial" w:cs="Arial" w:eastAsia="Arial" w:hAnsi="Arial"/>
          <w:sz w:val="18"/>
          <w:szCs w:val="18"/>
          <w:color w:val="auto"/>
        </w:rPr>
        <w:t>. The Company covenants and agrees with the several Underwriters as follows:</w:t>
      </w:r>
    </w:p>
    <w:p>
      <w:pPr>
        <w:spacing w:after="0" w:line="225" w:lineRule="exact"/>
        <w:rPr>
          <w:rFonts w:ascii="Arial" w:cs="Arial" w:eastAsia="Arial" w:hAnsi="Arial"/>
          <w:sz w:val="18"/>
          <w:szCs w:val="18"/>
          <w:color w:val="auto"/>
        </w:rPr>
      </w:pPr>
    </w:p>
    <w:p>
      <w:pPr>
        <w:jc w:val="both"/>
        <w:ind w:left="640" w:firstLine="1293"/>
        <w:spacing w:after="0" w:line="269" w:lineRule="auto"/>
        <w:tabs>
          <w:tab w:leader="none" w:pos="2637" w:val="left"/>
        </w:tabs>
        <w:numPr>
          <w:ilvl w:val="2"/>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Required Filings</w:t>
      </w:r>
      <w:r>
        <w:rPr>
          <w:rFonts w:ascii="Arial" w:cs="Arial" w:eastAsia="Arial" w:hAnsi="Arial"/>
          <w:sz w:val="17"/>
          <w:szCs w:val="17"/>
          <w:color w:val="auto"/>
        </w:rPr>
        <w:t>. During the period beginning on the date hereof and ending on the later of the Second Closing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date, as in the opinion of counsel for the Underwriters, the Prospectus is no longer required by law to be delivered (assuming the absence of Rule 172 under the Securities Act), in connection with sales by an Underwriter or dealer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prior to amending or supplementing the Registration Statement including any Rule 462(b) Registration Statement), the Time of Sale Disclosure Package or the Prospectus, the Company shall furnish to the Representative for review a copy of each such proposed amendment or supplement, and the Company shall not file any such proposed amendment or supplement to which the Representative or counsel to the Underwriters reasonably object. Subject to this Section 4(a)(i), immediately following execution of this Agreement, the Company will prepare the Prospectus containing the Rule 430B Information and other selling terms of the Securities, the plan of distribution thereof and such other information as may be required by the Securities Act or the Rules and Regulations or as the Representative and the Company may deem appropriate, and if requested by the Representative, an issuer free writing prospectus containing the selling terms of the Securities and such other information as the Company and the Representative may deem appropriate, and will file or transmit for filing with the Commission, in accordance with Rule 424(b) or Rule 433, as the case may be, copies of the Prospectus and each issuer free writing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22" w:name="page23"/>
    <w:bookmarkEnd w:id="22"/>
    <w:p>
      <w:pPr>
        <w:jc w:val="both"/>
        <w:ind w:left="4" w:firstLine="1293"/>
        <w:spacing w:after="0" w:line="291" w:lineRule="auto"/>
        <w:tabs>
          <w:tab w:leader="none" w:pos="1979" w:val="left"/>
        </w:tabs>
        <w:numPr>
          <w:ilvl w:val="1"/>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Notification of Certain Commission Actions</w:t>
      </w:r>
      <w:r>
        <w:rPr>
          <w:rFonts w:ascii="Arial" w:cs="Arial" w:eastAsia="Arial" w:hAnsi="Arial"/>
          <w:sz w:val="16"/>
          <w:szCs w:val="16"/>
          <w:color w:val="auto"/>
        </w:rPr>
        <w:t>. During the Prospectus Delivery Period, the Company shall promptly advise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 in writing (A) of the receipt of any comments of, or requests for additional or supplemental information from, the Commission,</w:t>
      </w:r>
    </w:p>
    <w:p>
      <w:pPr>
        <w:jc w:val="both"/>
        <w:ind w:left="4" w:hanging="4"/>
        <w:spacing w:after="0" w:line="267"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of the time and date of any filing of any post-effective amendment to the Registration Statement or any amendment or supplement to any Preliminary Prospectus, the Time of Sale Disclosure Package or the Prospectus, (C) of the time and date that any post-effective amendment to the Registration Statement becomes effective, (D)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(E) of any proceedings to remove, suspend or terminate from listing or quotation the Ordinary Shares from any securities exchange upon which it is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186" w:lineRule="exact"/>
        <w:rPr>
          <w:rFonts w:ascii="Arial" w:cs="Arial" w:eastAsia="Arial" w:hAnsi="Arial"/>
          <w:sz w:val="17"/>
          <w:szCs w:val="17"/>
          <w:color w:val="auto"/>
        </w:rPr>
      </w:pPr>
    </w:p>
    <w:p>
      <w:pPr>
        <w:jc w:val="both"/>
        <w:ind w:left="4" w:firstLine="1293"/>
        <w:spacing w:after="0" w:line="268" w:lineRule="auto"/>
        <w:tabs>
          <w:tab w:leader="none" w:pos="1944" w:val="left"/>
        </w:tabs>
        <w:numPr>
          <w:ilvl w:val="1"/>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(A) During the Prospectus Delivery Period, the Company will comply as far</w:t>
      </w:r>
      <w:r>
        <w:rPr>
          <w:rFonts w:ascii="Arial" w:cs="Arial" w:eastAsia="Arial" w:hAnsi="Arial"/>
          <w:sz w:val="17"/>
          <w:szCs w:val="17"/>
          <w:i w:val="1"/>
          <w:iCs w:val="1"/>
          <w:color w:val="auto"/>
        </w:rPr>
        <w:t xml:space="preserve"> </w:t>
      </w:r>
      <w:r>
        <w:rPr>
          <w:rFonts w:ascii="Arial" w:cs="Arial" w:eastAsia="Arial" w:hAnsi="Arial"/>
          <w:sz w:val="17"/>
          <w:szCs w:val="17"/>
          <w:color w:val="auto"/>
        </w:rPr>
        <w:t>as it is 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promptly will (x) notify you of such untrue statement or omission, (y)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399"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23" w:name="page24"/>
    <w:bookmarkEnd w:id="23"/>
    <w:p>
      <w:pPr>
        <w:jc w:val="both"/>
        <w:ind w:left="-540" w:firstLine="1293"/>
        <w:spacing w:after="0" w:line="254" w:lineRule="auto"/>
        <w:tabs>
          <w:tab w:leader="none" w:pos="14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 of such conflict, untrue statement or omission, (y) has promptly amended or will promptly amend or supplement, at its own expense, such issuer free writing prospectus to eliminate or correct such conflict, untrue statement or omission, and (2) has notified or promptly will notify you when such amendment or supplement was or is filed with the Commission where so required to be filed.</w:t>
      </w:r>
    </w:p>
    <w:p>
      <w:pPr>
        <w:spacing w:after="0" w:line="192" w:lineRule="exact"/>
        <w:rPr>
          <w:sz w:val="20"/>
          <w:szCs w:val="20"/>
          <w:color w:val="auto"/>
        </w:rPr>
      </w:pPr>
    </w:p>
    <w:p>
      <w:pPr>
        <w:jc w:val="both"/>
        <w:ind w:left="-540" w:firstLine="1293"/>
        <w:spacing w:after="0" w:line="259" w:lineRule="auto"/>
        <w:tabs>
          <w:tab w:leader="none" w:pos="1376"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laws of such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w:t>
      </w:r>
    </w:p>
    <w:p>
      <w:pPr>
        <w:spacing w:after="0" w:line="186" w:lineRule="exact"/>
        <w:rPr>
          <w:rFonts w:ascii="Arial" w:cs="Arial" w:eastAsia="Arial" w:hAnsi="Arial"/>
          <w:sz w:val="18"/>
          <w:szCs w:val="18"/>
          <w:color w:val="auto"/>
        </w:rPr>
      </w:pPr>
    </w:p>
    <w:p>
      <w:pPr>
        <w:jc w:val="both"/>
        <w:ind w:left="-540" w:firstLine="1293"/>
        <w:spacing w:after="0" w:line="259" w:lineRule="auto"/>
        <w:tabs>
          <w:tab w:leader="none" w:pos="1641"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Provision of Documents</w:t>
      </w:r>
      <w:r>
        <w:rPr>
          <w:rFonts w:ascii="Arial" w:cs="Arial" w:eastAsia="Arial" w:hAnsi="Arial"/>
          <w:sz w:val="18"/>
          <w:szCs w:val="18"/>
          <w:color w:val="auto"/>
        </w:rPr>
        <w:t>. The Company will furnish, at its own expense, to the Underwriters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copies of the Registration Statement,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86" w:lineRule="exact"/>
        <w:rPr>
          <w:rFonts w:ascii="Arial" w:cs="Arial" w:eastAsia="Arial" w:hAnsi="Arial"/>
          <w:sz w:val="18"/>
          <w:szCs w:val="18"/>
          <w:color w:val="auto"/>
        </w:rPr>
      </w:pPr>
    </w:p>
    <w:p>
      <w:pPr>
        <w:jc w:val="both"/>
        <w:ind w:left="-540" w:firstLine="1293"/>
        <w:spacing w:after="0" w:line="286" w:lineRule="auto"/>
        <w:tabs>
          <w:tab w:leader="none" w:pos="1430" w:val="left"/>
        </w:tabs>
        <w:numPr>
          <w:ilvl w:val="0"/>
          <w:numId w:val="27"/>
        </w:numPr>
        <w:rPr>
          <w:rFonts w:ascii="Arial" w:cs="Arial" w:eastAsia="Arial" w:hAnsi="Arial"/>
          <w:sz w:val="17"/>
          <w:szCs w:val="17"/>
          <w:color w:val="auto"/>
        </w:rPr>
      </w:pPr>
      <w:r>
        <w:rPr>
          <w:rFonts w:ascii="Arial" w:cs="Arial" w:eastAsia="Arial" w:hAnsi="Arial"/>
          <w:sz w:val="17"/>
          <w:szCs w:val="17"/>
          <w:i w:val="1"/>
          <w:iCs w:val="1"/>
          <w:u w:val="single" w:color="auto"/>
          <w:color w:val="auto"/>
        </w:rPr>
        <w:t>Rule 158</w:t>
      </w:r>
      <w:r>
        <w:rPr>
          <w:rFonts w:ascii="Arial" w:cs="Arial" w:eastAsia="Arial" w:hAnsi="Arial"/>
          <w:sz w:val="17"/>
          <w:szCs w:val="17"/>
          <w:color w:val="auto"/>
        </w:rPr>
        <w:t>. The Company will make generally available to its security holders as soon as practicable, but in no event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15 months after the end of the Company’s current fiscal quarter, an earning statement (which need not be audited) covering a 12-month period that shall satisfy the provisions of Section 11(a) of the Securities Act and Rule 158 of the Rules and Regulations.</w:t>
      </w:r>
    </w:p>
    <w:p>
      <w:pPr>
        <w:spacing w:after="0" w:line="3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24" w:name="page25"/>
    <w:bookmarkEnd w:id="24"/>
    <w:p>
      <w:pPr>
        <w:jc w:val="both"/>
        <w:ind w:left="-540" w:firstLine="1293"/>
        <w:spacing w:after="0" w:line="285" w:lineRule="auto"/>
        <w:tabs>
          <w:tab w:leader="none" w:pos="1503" w:val="left"/>
        </w:tabs>
        <w:numPr>
          <w:ilvl w:val="0"/>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Company, whether or not the transactions contemplated hereunder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but, except as otherwise provided below, not including fees of the Underwriters’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reasonable fees and disbursements of the Underwriters’ counsel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the filing fees and reasonable fees and disbursements of Underwriters’ counsel incident to any required review and approval by FINRA of the terms of the sale of the Securities, (F) listing fees, if any, (G) the cost and expenses of the Company relating to investor presentations or any “road show” undertaken in connection with marketing of the Securities, and (H) all other costs and expenses of the Company incident to the performance of its obligations hereunder that are not otherwise specifically provided for herein. If the transactions contemplated hereunder are consummated or this Agreement is terminated by the Representative pursuant to Section 9 hereof or if the sale of the Securities provided for herein is not consummated by reason of any failure, refusal or inability on the part of the Company to perform any agreement on its or their part to be performed, or because any other condition of the Underwriters’ obligations hereunder required to be fulfilled by the Company is not fulfilled, the Company will reimburse the several Underwriters up to $100,000 for all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384" w:lineRule="exact"/>
        <w:rPr>
          <w:rFonts w:ascii="Arial" w:cs="Arial" w:eastAsia="Arial" w:hAnsi="Arial"/>
          <w:sz w:val="16"/>
          <w:szCs w:val="16"/>
          <w:color w:val="auto"/>
        </w:rPr>
      </w:pPr>
    </w:p>
    <w:p>
      <w:pPr>
        <w:ind w:left="-540" w:firstLine="1293"/>
        <w:spacing w:after="0" w:line="277" w:lineRule="auto"/>
        <w:tabs>
          <w:tab w:leader="none" w:pos="1427"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Use of Proceeds</w:t>
      </w:r>
      <w:r>
        <w:rPr>
          <w:rFonts w:ascii="Arial" w:cs="Arial" w:eastAsia="Arial" w:hAnsi="Arial"/>
          <w:sz w:val="18"/>
          <w:szCs w:val="18"/>
          <w:color w:val="auto"/>
        </w:rPr>
        <w:t>. The Company will apply the net proceeds from the sale of the Securities to be sold by it hereunder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purposes set forth in the Time of Sale Disclosure Package and in the Prospectus.</w:t>
      </w:r>
    </w:p>
    <w:p>
      <w:pPr>
        <w:spacing w:after="0" w:line="170" w:lineRule="exact"/>
        <w:rPr>
          <w:rFonts w:ascii="Arial" w:cs="Arial" w:eastAsia="Arial" w:hAnsi="Arial"/>
          <w:sz w:val="18"/>
          <w:szCs w:val="18"/>
          <w:color w:val="auto"/>
        </w:rPr>
      </w:pPr>
    </w:p>
    <w:p>
      <w:pPr>
        <w:jc w:val="both"/>
        <w:ind w:left="-540" w:firstLine="1293"/>
        <w:spacing w:after="0" w:line="286" w:lineRule="auto"/>
        <w:tabs>
          <w:tab w:leader="none" w:pos="1543" w:val="left"/>
        </w:tabs>
        <w:numPr>
          <w:ilvl w:val="0"/>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Company Lock Up</w:t>
      </w:r>
      <w:r>
        <w:rPr>
          <w:rFonts w:ascii="Arial" w:cs="Arial" w:eastAsia="Arial" w:hAnsi="Arial"/>
          <w:sz w:val="16"/>
          <w:szCs w:val="16"/>
          <w:color w:val="auto"/>
        </w:rPr>
        <w:t>. The Company will not, without the prior written consent of Piper Jaffray &amp; Co.,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execution of this Agreement and continuing to and including the date 90 days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Ordinary Share or any securities convertible into or exercisable or exchangeable for Ordinary Shares or (B) enter into any swap or other agreement that transfers, in whole or in part, any of the economic consequences of ownership of the Ordinary Shares, whether any such transaction described in clause (A) or (B) above is to be settled by delivery of Ordinary Shares or such other securities, in cash or otherwise, except to the Underwriters pursuant to this Agreement. The Company agrees not to accelerate the vesting of any option or warrant or the lapse of any repurchase right prior to the expiration of the Lock-Up Period. If (1) during the last 17 days of the Lock-Up Period, (a) the Company issues an earnings release, (b) the Company publicly announces material news or (c) a material event relating to the Company occurs; or (2) prior to the expiration of the Lock-Up Period, the Company announces that it will release earnings results during the 16-day period beginning on the last day of the Lock-Up Period, then the restrictions in this Agreement, unless otherwise waived by Piper Jaffray &amp; Co. in writing, shall continue to apply until the expiration of the date that is 18 calendar days after the date on which (a) the Company issues the earnings release, (b) the Company publicly announces material news or (c) a material event relating to the Company occurs. The Company will provide the Representative, any co-managers and each shareholder subject to the Lock-Up Agreement (as defined below) with prior notice of any such announcement that gives rise to the extension of the Lock-Up Period.</w:t>
      </w:r>
    </w:p>
    <w:p>
      <w:pPr>
        <w:spacing w:after="0" w:line="3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25" w:name="page26"/>
    <w:bookmarkEnd w:id="25"/>
    <w:p>
      <w:pPr>
        <w:jc w:val="both"/>
        <w:ind w:firstLine="1293"/>
        <w:spacing w:after="0" w:line="271" w:lineRule="auto"/>
        <w:tabs>
          <w:tab w:leader="none" w:pos="1983"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form of Exhibit 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IV. The Company will enforce the terms of each Lock-Up Agreement and issue stop-transfer instructions to the transfer agent for the Ordinary Shares with respect to any transaction or contemplated transaction that would constitute a breach of or default under the applicable Lock-Up Agreement. If Piper Jaffray, in its sole discretion, agrees to release or waive the restrictions of any Lock-Up Agreement between an officer or director of the Company and Piper Jaffray and provides the Company with notice of the impending release or waiver at least three business days before the effective date of such release or waiver, the Company agrees to announce the impending release or waiver by means of a press release substantially in the form of Exhibit B hereto, issued through a major news service, at least two business days before the effective date of the release or waiver.</w:t>
      </w:r>
    </w:p>
    <w:p>
      <w:pPr>
        <w:spacing w:after="0" w:line="178" w:lineRule="exact"/>
        <w:rPr>
          <w:rFonts w:ascii="Arial" w:cs="Arial" w:eastAsia="Arial" w:hAnsi="Arial"/>
          <w:sz w:val="17"/>
          <w:szCs w:val="17"/>
          <w:color w:val="auto"/>
        </w:rPr>
      </w:pPr>
    </w:p>
    <w:p>
      <w:pPr>
        <w:jc w:val="both"/>
        <w:ind w:firstLine="1293"/>
        <w:spacing w:after="0" w:line="264" w:lineRule="auto"/>
        <w:tabs>
          <w:tab w:leader="none" w:pos="1988"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Market Stabilization or Manipulation</w:t>
      </w:r>
      <w:r>
        <w:rPr>
          <w:rFonts w:ascii="Arial" w:cs="Arial" w:eastAsia="Arial" w:hAnsi="Arial"/>
          <w:sz w:val="18"/>
          <w:szCs w:val="18"/>
          <w:color w:val="auto"/>
        </w:rPr>
        <w:t>. The Company has not taken and will not take, directly or indirectly,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which would reasonably be expected to cause or result in, or which has constituted, the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firstLine="1293"/>
        <w:spacing w:after="0" w:line="277" w:lineRule="auto"/>
        <w:tabs>
          <w:tab w:leader="none" w:pos="1993"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SEC Reports</w:t>
      </w:r>
      <w:r>
        <w:rPr>
          <w:rFonts w:ascii="Arial" w:cs="Arial" w:eastAsia="Arial" w:hAnsi="Arial"/>
          <w:sz w:val="18"/>
          <w:szCs w:val="18"/>
          <w:color w:val="auto"/>
        </w:rPr>
        <w:t>. During the Prospectus Delivery Period, the Company will file on a timely basis with the Commission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special reports as required by the Rules and Regulations.</w:t>
      </w:r>
    </w:p>
    <w:p>
      <w:pPr>
        <w:spacing w:after="0" w:line="170" w:lineRule="exact"/>
        <w:rPr>
          <w:rFonts w:ascii="Arial" w:cs="Arial" w:eastAsia="Arial" w:hAnsi="Arial"/>
          <w:sz w:val="18"/>
          <w:szCs w:val="18"/>
          <w:color w:val="auto"/>
        </w:rPr>
      </w:pPr>
    </w:p>
    <w:p>
      <w:pPr>
        <w:jc w:val="both"/>
        <w:ind w:firstLine="1293"/>
        <w:spacing w:after="0" w:line="271" w:lineRule="auto"/>
        <w:tabs>
          <w:tab w:leader="none" w:pos="1998"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Internal Controls</w:t>
      </w:r>
      <w:r>
        <w:rPr>
          <w:rFonts w:ascii="Arial" w:cs="Arial" w:eastAsia="Arial" w:hAnsi="Arial"/>
          <w:sz w:val="17"/>
          <w:szCs w:val="17"/>
          <w:color w:val="auto"/>
        </w:rPr>
        <w:t>. The Company and its subsidiaries will maintain such controls and other procedures,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those applicable to it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178" w:lineRule="exact"/>
        <w:rPr>
          <w:rFonts w:ascii="Arial" w:cs="Arial" w:eastAsia="Arial" w:hAnsi="Arial"/>
          <w:sz w:val="17"/>
          <w:szCs w:val="17"/>
          <w:color w:val="auto"/>
        </w:rPr>
      </w:pPr>
    </w:p>
    <w:p>
      <w:pPr>
        <w:ind w:left="1920" w:hanging="627"/>
        <w:spacing w:after="0"/>
        <w:tabs>
          <w:tab w:leader="none" w:pos="1920"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Sarbanes-Oxley</w:t>
      </w:r>
      <w:r>
        <w:rPr>
          <w:rFonts w:ascii="Arial" w:cs="Arial" w:eastAsia="Arial" w:hAnsi="Arial"/>
          <w:sz w:val="16"/>
          <w:szCs w:val="16"/>
          <w:color w:val="auto"/>
        </w:rPr>
        <w:t>. The Company and its subsidiaries will comply with the provisions applicable to it of the Sarbanes-Oxley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26" w:name="page27"/>
    <w:bookmarkEnd w:id="26"/>
    <w:p>
      <w:pPr>
        <w:jc w:val="both"/>
        <w:ind w:left="660" w:firstLine="1293"/>
        <w:spacing w:after="0" w:line="291" w:lineRule="auto"/>
        <w:tabs>
          <w:tab w:leader="none" w:pos="2639" w:val="left"/>
        </w:tabs>
        <w:numPr>
          <w:ilvl w:val="1"/>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Piper</w:t>
      </w:r>
      <w:r>
        <w:rPr>
          <w:rFonts w:ascii="Arial" w:cs="Arial" w:eastAsia="Arial" w:hAnsi="Arial"/>
          <w:sz w:val="16"/>
          <w:szCs w:val="16"/>
          <w:i w:val="1"/>
          <w:iCs w:val="1"/>
          <w:color w:val="auto"/>
        </w:rPr>
        <w:t xml:space="preserve"> </w:t>
      </w:r>
      <w:r>
        <w:rPr>
          <w:rFonts w:ascii="Arial" w:cs="Arial" w:eastAsia="Arial" w:hAnsi="Arial"/>
          <w:sz w:val="16"/>
          <w:szCs w:val="16"/>
          <w:color w:val="auto"/>
        </w:rPr>
        <w:t>Jaffray &amp; Co., and each Underwriter severally represents and agrees that, unless it obtains the prior written consent of the Company and Piper Jaffray</w:t>
      </w:r>
    </w:p>
    <w:p>
      <w:pPr>
        <w:jc w:val="both"/>
        <w:ind w:left="660" w:hanging="4"/>
        <w:spacing w:after="0" w:line="270" w:lineRule="auto"/>
        <w:tabs>
          <w:tab w:leader="none" w:pos="8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Co.,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 Any such free writing prospectus consented to by the Company and Piper Jaffray &amp; Co.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and has complied and will comply with the requirements of Rule 164 and Rule 433 applicable to any Permitted Free Writing Prospectus.</w:t>
      </w:r>
    </w:p>
    <w:p>
      <w:pPr>
        <w:spacing w:after="0" w:line="179" w:lineRule="exact"/>
        <w:rPr>
          <w:sz w:val="20"/>
          <w:szCs w:val="20"/>
          <w:color w:val="auto"/>
        </w:rPr>
      </w:pPr>
    </w:p>
    <w:p>
      <w:pPr>
        <w:jc w:val="both"/>
        <w:ind w:firstLine="656"/>
        <w:spacing w:after="0" w:line="259" w:lineRule="auto"/>
        <w:tabs>
          <w:tab w:leader="none" w:pos="1332"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at each of the First Closing Date and the Second Closing Date (as if made at such Closing Date), of and compliance with all representations, warranties and agreements of the Company contained herein, to the performance by the Company of its obligations hereunder and to the following additional conditions:</w:t>
      </w:r>
    </w:p>
    <w:p>
      <w:pPr>
        <w:spacing w:after="0" w:line="186" w:lineRule="exact"/>
        <w:rPr>
          <w:rFonts w:ascii="Arial" w:cs="Arial" w:eastAsia="Arial" w:hAnsi="Arial"/>
          <w:sz w:val="18"/>
          <w:szCs w:val="18"/>
          <w:color w:val="auto"/>
        </w:rPr>
      </w:pPr>
    </w:p>
    <w:p>
      <w:pPr>
        <w:jc w:val="both"/>
        <w:ind w:firstLine="1305"/>
        <w:spacing w:after="0" w:line="290"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If filing of the Prospectus, or any amendment or supplement thereto, or</w:t>
      </w:r>
      <w:r>
        <w:rPr>
          <w:rFonts w:ascii="Arial" w:cs="Arial" w:eastAsia="Arial" w:hAnsi="Arial"/>
          <w:sz w:val="16"/>
          <w:szCs w:val="16"/>
          <w:i w:val="1"/>
          <w:iCs w:val="1"/>
          <w:color w:val="auto"/>
        </w:rPr>
        <w:t xml:space="preserve"> </w:t>
      </w:r>
      <w:r>
        <w:rPr>
          <w:rFonts w:ascii="Arial" w:cs="Arial" w:eastAsia="Arial" w:hAnsi="Arial"/>
          <w:sz w:val="16"/>
          <w:szCs w:val="16"/>
          <w:color w:val="auto"/>
        </w:rPr>
        <w:t>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Time of Sale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166" w:lineRule="exact"/>
        <w:rPr>
          <w:rFonts w:ascii="Arial" w:cs="Arial" w:eastAsia="Arial" w:hAnsi="Arial"/>
          <w:sz w:val="16"/>
          <w:szCs w:val="16"/>
          <w:color w:val="auto"/>
        </w:rPr>
      </w:pPr>
    </w:p>
    <w:p>
      <w:pPr>
        <w:jc w:val="both"/>
        <w:ind w:firstLine="1305"/>
        <w:spacing w:after="0" w:line="273" w:lineRule="auto"/>
        <w:tabs>
          <w:tab w:leader="none" w:pos="2010" w:val="left"/>
        </w:tabs>
        <w:numPr>
          <w:ilvl w:val="1"/>
          <w:numId w:val="31"/>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No Underwriter shall have advised the Company that (i) the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any 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or the Prospectus, or any amendment thereof or supplement thereto, or any issuer free writing prospectus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1305"/>
        <w:spacing w:after="0" w:line="287" w:lineRule="auto"/>
        <w:tabs>
          <w:tab w:leader="none" w:pos="2014" w:val="left"/>
        </w:tabs>
        <w:numPr>
          <w:ilvl w:val="0"/>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dates as of which information is given in the Time of Sale Disclosure Package,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Ordinary Shares due to the issuance of shares upon the exercise of outstanding options or warrants or conversion of convertible securities), or any material change in the short-term or long-term debt of the Company (other than as a result of the conversion of convertible securities), or any issuance of options, warrants, convertible securities or other rights to purchase the capital stock of the Company or any of its subsidiaries, or any Material Adverse Change or any development that would reasonably likely to have a Material Adverse Change (whether or not arising in the ordinary course of business), or any loss by strike, fire, flood, earthquake, accident or other calamity, whether or not covered by insurance, incurred by the Company or any subsidiary, the effect of which, in any such case described above, in your judgment, makes it impractical or inadvisable to offer or deliver the Securities on the terms and in the manner contemplated in the Time of Sale Disclosure Package and in the Prospectus.</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73"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U.S. Company Counsel</w:t>
      </w:r>
      <w:r>
        <w:rPr>
          <w:rFonts w:ascii="Arial" w:cs="Arial" w:eastAsia="Arial" w:hAnsi="Arial"/>
          <w:sz w:val="18"/>
          <w:szCs w:val="18"/>
          <w:color w:val="auto"/>
        </w:rPr>
        <w:t>. On each Closing Date, there shall have been furnished to you, as Representative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the opinion of Zysman, Aharoni, Gayer and Sullivan &amp; Worcester LLP, U.S.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88"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Israeli Company Counsel</w:t>
      </w:r>
      <w:r>
        <w:rPr>
          <w:rFonts w:ascii="Arial" w:cs="Arial" w:eastAsia="Arial" w:hAnsi="Arial"/>
          <w:sz w:val="18"/>
          <w:szCs w:val="18"/>
          <w:color w:val="auto"/>
        </w:rPr>
        <w:t>. On each Closing Date, there shall have been furnished to you, as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Underwriters, the opinion of Zysman, Aharoni, Gayer &amp; Co., Israeli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335"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Intellectual Property Company Counsel</w:t>
      </w:r>
      <w:r>
        <w:rPr>
          <w:rFonts w:ascii="Arial" w:cs="Arial" w:eastAsia="Arial" w:hAnsi="Arial"/>
          <w:sz w:val="18"/>
          <w:szCs w:val="18"/>
          <w:color w:val="auto"/>
        </w:rPr>
        <w:t>. On each Closing Date, there shall have been furnished to you, as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the several Underwriters, the opinion of Cooley LLP, intellectual property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082"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Opinion of U.S. Underwriters’ Counsel</w:t>
      </w:r>
      <w:r>
        <w:rPr>
          <w:rFonts w:ascii="Arial" w:cs="Arial" w:eastAsia="Arial" w:hAnsi="Arial"/>
          <w:sz w:val="17"/>
          <w:szCs w:val="17"/>
          <w:color w:val="auto"/>
        </w:rPr>
        <w:t>. On each Closing Date, there shall have been furnished to you, as Representative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Underwriters, such opinion or opinions from Troutman Sanders LLP, U.S. counsel for the several Underwriters, dated such Closing Date and addressed to you, with respect the Registration Statement, the Time of Sale Disclosure Package, the Prospectus and other related matters as you reasonably may request, and such counsel shall have received such papers and information as they request to enable them to pass upon such matters.</w:t>
      </w:r>
    </w:p>
    <w:p>
      <w:pPr>
        <w:spacing w:after="0" w:line="171" w:lineRule="exact"/>
        <w:rPr>
          <w:rFonts w:ascii="Arial" w:cs="Arial" w:eastAsia="Arial" w:hAnsi="Arial"/>
          <w:sz w:val="17"/>
          <w:szCs w:val="17"/>
          <w:color w:val="auto"/>
        </w:rPr>
      </w:pPr>
    </w:p>
    <w:p>
      <w:pPr>
        <w:jc w:val="both"/>
        <w:ind w:firstLine="1305"/>
        <w:spacing w:after="0" w:line="279" w:lineRule="auto"/>
        <w:tabs>
          <w:tab w:leader="none" w:pos="1970"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Opinion of Israeli Underwriters’ Counsel</w:t>
      </w:r>
      <w:r>
        <w:rPr>
          <w:rFonts w:ascii="Arial" w:cs="Arial" w:eastAsia="Arial" w:hAnsi="Arial"/>
          <w:sz w:val="17"/>
          <w:szCs w:val="17"/>
          <w:color w:val="auto"/>
        </w:rPr>
        <w:t>. On each Closing Date, there shall have been furnished to you, as Representative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Underwriters, such opinion or opinions from Yigal Arnon &amp; Co., Israeli counsel for the several Underwriters, dated such Closing Date and addressed to you, with respect to the formation of the Company and the validity of the Securities and other related matters as you reasonably may request, and such counsel shall have received such papers and information as they request to enable them to pass upon such matters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1305"/>
        <w:spacing w:after="0" w:line="312" w:lineRule="auto"/>
        <w:tabs>
          <w:tab w:leader="none" w:pos="1988"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Comfort Letter</w:t>
      </w:r>
      <w:r>
        <w:rPr>
          <w:rFonts w:ascii="Arial" w:cs="Arial" w:eastAsia="Arial" w:hAnsi="Arial"/>
          <w:sz w:val="16"/>
          <w:szCs w:val="16"/>
          <w:color w:val="auto"/>
        </w:rPr>
        <w:t>. On the date hereof, on the effective date of any post-effective amendment to the Registration Statement filed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hereof and on each Closing Date you, as Representative of the several Underwriters, shall have received an accountant’s “comfort” letter of Kost Forer Gabbay &amp; Kasierer (a Member of Ernst &amp; Young Global), dated such date and addressed to you, in form and substance satisfactory to you.</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132"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Officers’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 On each Closing Date, there shall have been furnished to you, as Representative of the Underwriters,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6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8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 and</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Affirms the accuracy of the matters set forth in subsection (c) of this Section 5.</w:t>
      </w:r>
    </w:p>
    <w:p>
      <w:pPr>
        <w:spacing w:after="0" w:line="225" w:lineRule="exact"/>
        <w:rPr>
          <w:rFonts w:ascii="Arial" w:cs="Arial" w:eastAsia="Arial" w:hAnsi="Arial"/>
          <w:sz w:val="18"/>
          <w:szCs w:val="18"/>
          <w:color w:val="auto"/>
        </w:rPr>
      </w:pPr>
    </w:p>
    <w:p>
      <w:pPr>
        <w:ind w:firstLine="1305"/>
        <w:spacing w:after="0" w:line="277" w:lineRule="auto"/>
        <w:tabs>
          <w:tab w:leader="none" w:pos="201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Underwriters shall have received all of the Lock-Up Agreements referenced in Section 4 and the Lock-Up Agreements shall remain in full force and effect.</w:t>
      </w:r>
    </w:p>
    <w:p>
      <w:pPr>
        <w:spacing w:after="0" w:line="170" w:lineRule="exact"/>
        <w:rPr>
          <w:rFonts w:ascii="Arial" w:cs="Arial" w:eastAsia="Arial" w:hAnsi="Arial"/>
          <w:sz w:val="18"/>
          <w:szCs w:val="18"/>
          <w:color w:val="auto"/>
        </w:rPr>
      </w:pPr>
    </w:p>
    <w:p>
      <w:pPr>
        <w:ind w:left="2100" w:hanging="795"/>
        <w:spacing w:after="0"/>
        <w:tabs>
          <w:tab w:leader="none" w:pos="2100"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FINRA No Objections</w:t>
      </w:r>
      <w:r>
        <w:rPr>
          <w:rFonts w:ascii="Arial" w:cs="Arial" w:eastAsia="Arial" w:hAnsi="Arial"/>
          <w:sz w:val="16"/>
          <w:szCs w:val="16"/>
          <w:color w:val="auto"/>
        </w:rPr>
        <w:t>. FINRA shall have raised no objection to the fairness and reasonableness of the underwriting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arrangements.</w:t>
      </w:r>
    </w:p>
    <w:p>
      <w:pPr>
        <w:spacing w:after="0" w:line="210" w:lineRule="exact"/>
        <w:rPr>
          <w:rFonts w:ascii="Arial" w:cs="Arial" w:eastAsia="Arial" w:hAnsi="Arial"/>
          <w:sz w:val="16"/>
          <w:szCs w:val="16"/>
          <w:color w:val="auto"/>
        </w:rPr>
      </w:pPr>
    </w:p>
    <w:p>
      <w:pPr>
        <w:ind w:right="20" w:firstLine="1305"/>
        <w:spacing w:after="0" w:line="277" w:lineRule="auto"/>
        <w:tabs>
          <w:tab w:leader="none" w:pos="2199"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Documents</w:t>
      </w:r>
      <w:r>
        <w:rPr>
          <w:rFonts w:ascii="Arial" w:cs="Arial" w:eastAsia="Arial" w:hAnsi="Arial"/>
          <w:sz w:val="18"/>
          <w:szCs w:val="18"/>
          <w:color w:val="auto"/>
        </w:rPr>
        <w:t>. The Company shall have furnished to you and counsel for the Underwriters such additional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and evidence as you or they may have reasonably requested.</w:t>
      </w:r>
    </w:p>
    <w:p>
      <w:pPr>
        <w:spacing w:after="0" w:line="170" w:lineRule="exact"/>
        <w:rPr>
          <w:rFonts w:ascii="Arial" w:cs="Arial" w:eastAsia="Arial" w:hAnsi="Arial"/>
          <w:sz w:val="18"/>
          <w:szCs w:val="18"/>
          <w:color w:val="auto"/>
        </w:rPr>
      </w:pPr>
    </w:p>
    <w:p>
      <w:pPr>
        <w:ind w:firstLine="1305"/>
        <w:spacing w:after="0" w:line="277" w:lineRule="auto"/>
        <w:tabs>
          <w:tab w:leader="none" w:pos="2105"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have been approved for listing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and counsel for the Underwriters. The Company will furnish you with such conformed copies of such opinions, certificates, letters and other documents as you shall reasonably request.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027" w:val="left"/>
        </w:tabs>
        <w:numPr>
          <w:ilvl w:val="1"/>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Indemnification by the Company</w:t>
      </w:r>
      <w:r>
        <w:rPr>
          <w:rFonts w:ascii="Arial" w:cs="Arial" w:eastAsia="Arial" w:hAnsi="Arial"/>
          <w:sz w:val="16"/>
          <w:szCs w:val="16"/>
          <w:color w:val="auto"/>
        </w:rPr>
        <w:t>. The Company agrees to indemnify and hold harmless each Underwriter, its affiliates,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arise out of or are based upon an untrue statement or alleged untrue statement of a material fact contained in the Registration Statement, including the 430A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or any issuer information that the Company has filed or is required to file pursuant to Rule 433(d) of the Rules and Regulations,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Company will not be liable in any such case to the extent that any such loss, claim, damage, liability or action arises out of or is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information described as such in Section 6(f).</w:t>
      </w:r>
    </w:p>
    <w:p>
      <w:pPr>
        <w:spacing w:after="0" w:line="168" w:lineRule="exact"/>
        <w:rPr>
          <w:rFonts w:ascii="Arial" w:cs="Arial" w:eastAsia="Arial" w:hAnsi="Arial"/>
          <w:sz w:val="16"/>
          <w:szCs w:val="16"/>
          <w:color w:val="auto"/>
        </w:rPr>
      </w:pPr>
    </w:p>
    <w:p>
      <w:pPr>
        <w:jc w:val="both"/>
        <w:ind w:firstLine="1305"/>
        <w:spacing w:after="0" w:line="286" w:lineRule="auto"/>
        <w:tabs>
          <w:tab w:leader="none" w:pos="1983" w:val="left"/>
        </w:tabs>
        <w:numPr>
          <w:ilvl w:val="1"/>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Indemnification by the Underwriters</w:t>
      </w:r>
      <w:r>
        <w:rPr>
          <w:rFonts w:ascii="Arial" w:cs="Arial" w:eastAsia="Arial" w:hAnsi="Arial"/>
          <w:sz w:val="16"/>
          <w:szCs w:val="16"/>
          <w:color w:val="auto"/>
        </w:rPr>
        <w:t>. Each Underwriter will, severally and not jointly, indemnify and hold harmless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its affiliates, directors and officers and each person, if any, who controls the Company within the meaning of Section 15 of the Act and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any issuer information that the Company has filed or is required to file pursuant to Rule 433(d) of the Rules and Regulations,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you, or by such Underwriter through you, specifically for use in the preparation thereof (it being understood and agreed that the only information furnished by an Underwriter consists of the information described as such in Section 6(e)), and will reimburse the Company for any legal or other expenses reasonably incurred by the Company in connection with investigating or defending against any such loss, claim, damage, liability or action as such expenses are incurred.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1305"/>
        <w:spacing w:after="0" w:line="284" w:lineRule="auto"/>
        <w:tabs>
          <w:tab w:leader="none" w:pos="2216" w:val="left"/>
        </w:tabs>
        <w:numPr>
          <w:ilvl w:val="0"/>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or (b)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 the sole judgment of the Representative, it is advisable for the Underwriters to be represented as a group by separate counsel, the Representative shall have the right to employ a single counsel (in addition to local counsel) to represent the Representative and all Underwriters who may be subject to liability arising from any claim in respect of which indemnity may be sought by the Underwriters under subsection (a) or (b) of this Section 6, in which event the reasonable fees and expenses of such separate counsel shall be borne by the indemnifying party or parties and reimbursed to the Underwriters as incurred.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1305"/>
        <w:spacing w:after="0" w:line="286" w:lineRule="auto"/>
        <w:tabs>
          <w:tab w:leader="none" w:pos="1983" w:val="left"/>
        </w:tabs>
        <w:numPr>
          <w:ilvl w:val="2"/>
          <w:numId w:val="36"/>
        </w:numPr>
        <w:rPr>
          <w:rFonts w:ascii="Arial" w:cs="Arial" w:eastAsia="Arial" w:hAnsi="Arial"/>
          <w:sz w:val="16"/>
          <w:szCs w:val="16"/>
          <w:color w:val="auto"/>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6 is unavailable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w:t>
      </w:r>
    </w:p>
    <w:p>
      <w:pPr>
        <w:spacing w:after="0" w:line="1" w:lineRule="exact"/>
        <w:rPr>
          <w:rFonts w:ascii="Arial" w:cs="Arial" w:eastAsia="Arial" w:hAnsi="Arial"/>
          <w:sz w:val="16"/>
          <w:szCs w:val="16"/>
          <w:color w:val="auto"/>
        </w:rPr>
      </w:pPr>
    </w:p>
    <w:p>
      <w:pPr>
        <w:jc w:val="both"/>
        <w:ind w:firstLine="8"/>
        <w:spacing w:after="0" w:line="284" w:lineRule="auto"/>
        <w:tabs>
          <w:tab w:leader="none" w:pos="2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bears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(even if the Underwriters were treated as one entity for such purpose)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with respect to the Securities purchased by it hereunder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386" w:lineRule="exact"/>
        <w:rPr>
          <w:rFonts w:ascii="Arial" w:cs="Arial" w:eastAsia="Arial" w:hAnsi="Arial"/>
          <w:sz w:val="16"/>
          <w:szCs w:val="16"/>
          <w:color w:val="auto"/>
        </w:rPr>
      </w:pPr>
    </w:p>
    <w:p>
      <w:pPr>
        <w:jc w:val="both"/>
        <w:ind w:firstLine="1305"/>
        <w:spacing w:after="0" w:line="257" w:lineRule="auto"/>
        <w:tabs>
          <w:tab w:leader="none" w:pos="2270" w:val="left"/>
        </w:tabs>
        <w:numPr>
          <w:ilvl w:val="2"/>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Information Provided by the Underwriters</w:t>
      </w:r>
      <w:r>
        <w:rPr>
          <w:rFonts w:ascii="Arial" w:cs="Arial" w:eastAsia="Arial" w:hAnsi="Arial"/>
          <w:sz w:val="18"/>
          <w:szCs w:val="18"/>
          <w:color w:val="auto"/>
        </w:rPr>
        <w:t>. The Underwriters severally confirm and the Company acknowledges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with respect to the public offering of the Securities by the Underwriters set forth in paragraphs 14 and 15 under the caption “Underwriting” in the Time of Sale Disclosure Package and in the Prospectus are correct and constitute the only information concerning such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535"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certificates delivered pursuant hereto, including but not limited to the agreements of the several Underwriters,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1280" w:hanging="624"/>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Substitution of Underwriters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5"/>
        <w:spacing w:after="0" w:line="255" w:lineRule="auto"/>
        <w:tabs>
          <w:tab w:leader="none" w:pos="2068" w:val="left"/>
        </w:tabs>
        <w:numPr>
          <w:ilvl w:val="1"/>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Obligation to Purchase Under Certain Circumstances</w:t>
      </w:r>
      <w:r>
        <w:rPr>
          <w:rFonts w:ascii="Arial" w:cs="Arial" w:eastAsia="Arial" w:hAnsi="Arial"/>
          <w:sz w:val="18"/>
          <w:szCs w:val="18"/>
          <w:color w:val="auto"/>
        </w:rPr>
        <w:t>. If any Underwriter or Underwriters shall fail to take up and pay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Firm Shares agreed by such Underwriter or Underwriters to be purchased hereunder, upon tender of such Firm Shares in accordance with the terms hereof, and the amount of Firm Shares not purchased does not aggregate more than 10% of the total amount of Firm Shares set forth in Schedule I hereto, the remaining Underwriters shall be obligated to take up and pay for (in proportion to their respective underwriting obligations hereunder as set forth in Schedule I hereto except as may otherwise be determined by you) the Firm Shares that the withdrawing or defaulting Underwriters agreed but failed to purchase.</w:t>
      </w:r>
    </w:p>
    <w:p>
      <w:pPr>
        <w:spacing w:after="0" w:line="193" w:lineRule="exact"/>
        <w:rPr>
          <w:rFonts w:ascii="Arial" w:cs="Arial" w:eastAsia="Arial" w:hAnsi="Arial"/>
          <w:sz w:val="18"/>
          <w:szCs w:val="18"/>
          <w:color w:val="auto"/>
        </w:rPr>
      </w:pPr>
    </w:p>
    <w:p>
      <w:pPr>
        <w:jc w:val="both"/>
        <w:ind w:firstLine="1305"/>
        <w:spacing w:after="0" w:line="271" w:lineRule="auto"/>
        <w:tabs>
          <w:tab w:leader="none" w:pos="1956" w:val="left"/>
        </w:tabs>
        <w:numPr>
          <w:ilvl w:val="1"/>
          <w:numId w:val="38"/>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 Under Certain Circumstances</w:t>
      </w:r>
      <w:r>
        <w:rPr>
          <w:rFonts w:ascii="Arial" w:cs="Arial" w:eastAsia="Arial" w:hAnsi="Arial"/>
          <w:sz w:val="17"/>
          <w:szCs w:val="17"/>
          <w:color w:val="auto"/>
        </w:rPr>
        <w:t>. If any Underwriter or Underwriters shall fail to take up and pay for the amount of Firm</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agreed by such Underwriter or Underwriters to be purchased hereunder, upon tender of such Firm Shares in accordance with the terms hereof, and the amount of Firm Shares not purchased aggregates more than 10% of the total amount of Firm Shares set forth in Schedule I hereto, and arrangements satisfactory to you for the purchase of such Firm Shares by other persons are not made within 36 hours thereafter, this Agreement shall terminate. In the event of any such termination the Company shall not be under any liability to any Underwriter (except to the extent provided in Section 4(a)(vii) and Section 6 hereof) nor shall any Underwriter (other than an Underwriter who shall have failed, otherwise than for some reason permitted under this Agreement, to purchase the amount of Firm Shares agreed by such Underwriter to be purchased hereunder) be under any liability to the Company (except to the extent provided in Section 6 hereof).</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2014" w:val="left"/>
        </w:tabs>
        <w:numPr>
          <w:ilvl w:val="1"/>
          <w:numId w:val="38"/>
        </w:numPr>
        <w:rPr>
          <w:rFonts w:ascii="Arial" w:cs="Arial" w:eastAsia="Arial" w:hAnsi="Arial"/>
          <w:sz w:val="16"/>
          <w:szCs w:val="16"/>
          <w:color w:val="auto"/>
        </w:rPr>
      </w:pPr>
      <w:r>
        <w:rPr>
          <w:rFonts w:ascii="Arial" w:cs="Arial" w:eastAsia="Arial" w:hAnsi="Arial"/>
          <w:sz w:val="16"/>
          <w:szCs w:val="16"/>
          <w:i w:val="1"/>
          <w:iCs w:val="1"/>
          <w:u w:val="single" w:color="auto"/>
          <w:color w:val="auto"/>
        </w:rPr>
        <w:t>Postponement of Closing</w:t>
      </w:r>
      <w:r>
        <w:rPr>
          <w:rFonts w:ascii="Arial" w:cs="Arial" w:eastAsia="Arial" w:hAnsi="Arial"/>
          <w:sz w:val="16"/>
          <w:szCs w:val="16"/>
          <w:color w:val="auto"/>
        </w:rPr>
        <w:t>. If Firm Shares to which a default relates are to be purchased by the non-defaulting Underwriters or by</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party or parties, the Representative or the Company shall have the right to postpone the First Closing Date for not more than seven business days in order that the necessary changes in the Registration Statement, in the Time of Sale Disclosure Package, in the Prospectus or in any other documents, as well as any other arrangements, may be effected. As used herein, the term “Underwriter” includes any person substituted for an Underwriter under this Section 8.</w:t>
      </w:r>
    </w:p>
    <w:p>
      <w:pPr>
        <w:spacing w:after="0" w:line="154" w:lineRule="exact"/>
        <w:rPr>
          <w:rFonts w:ascii="Arial" w:cs="Arial" w:eastAsia="Arial" w:hAnsi="Arial"/>
          <w:sz w:val="16"/>
          <w:szCs w:val="16"/>
          <w:color w:val="auto"/>
        </w:rPr>
      </w:pPr>
    </w:p>
    <w:p>
      <w:pPr>
        <w:ind w:left="2000" w:hanging="695"/>
        <w:spacing w:after="0"/>
        <w:tabs>
          <w:tab w:leader="none" w:pos="2000" w:val="left"/>
        </w:tabs>
        <w:numPr>
          <w:ilvl w:val="1"/>
          <w:numId w:val="38"/>
        </w:numPr>
        <w:rPr>
          <w:rFonts w:ascii="Arial" w:cs="Arial" w:eastAsia="Arial" w:hAnsi="Arial"/>
          <w:sz w:val="16"/>
          <w:szCs w:val="16"/>
          <w:color w:val="auto"/>
        </w:rPr>
      </w:pPr>
      <w:r>
        <w:rPr>
          <w:rFonts w:ascii="Arial" w:cs="Arial" w:eastAsia="Arial" w:hAnsi="Arial"/>
          <w:sz w:val="16"/>
          <w:szCs w:val="16"/>
          <w:i w:val="1"/>
          <w:iCs w:val="1"/>
          <w:u w:val="single" w:color="auto"/>
          <w:color w:val="auto"/>
        </w:rPr>
        <w:t>No Relief from Liability</w:t>
      </w:r>
      <w:r>
        <w:rPr>
          <w:rFonts w:ascii="Arial" w:cs="Arial" w:eastAsia="Arial" w:hAnsi="Arial"/>
          <w:sz w:val="16"/>
          <w:szCs w:val="16"/>
          <w:color w:val="auto"/>
        </w:rPr>
        <w:t>. No action taken pursuant to this Section shall relieve any defaulting Underwriter from liability, if any,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such default.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ind w:left="1280" w:hanging="624"/>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this Agreement.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987" w:val="left"/>
        </w:tabs>
        <w:numPr>
          <w:ilvl w:val="1"/>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Terminate</w:t>
      </w:r>
      <w:r>
        <w:rPr>
          <w:rFonts w:ascii="Arial" w:cs="Arial" w:eastAsia="Arial" w:hAnsi="Arial"/>
          <w:sz w:val="16"/>
          <w:szCs w:val="16"/>
          <w:color w:val="auto"/>
        </w:rPr>
        <w:t>. You, as Representative of the several Underwriters, shall have the right to terminate this Agreement by giving</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to the Company as hereinafter specified at any time at or prior to the First Closing Date, and the option referred to in Section 3(b), if exercised, may be cancelled at any time prior to the Second Closing Date, if (i) the Company shall have failed, refused or been unable, at or prior to such Closing Date, to perform any agreement on its or their part to be performed hereunder, (ii) any condition of the Underwriters’ obligations hereunder is not fulfilled, (iii) trading in the Company’s Ordinary Shares shall have been wholly suspended by the Commission or The NASDAQ Stock Market or trading in securities generally on the NASDAQ Stock Market or New York Stock Exchange shall have been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having jurisdiction, (v) a banking moratorium shall have been declared by federal or New York state authorities or a material disruption in commercial banking or securities settlement or clearance services in the United States, or (vi) there shall have occurred any attack on, outbreak or escalation of hostilities or act of terrorism in the United States, any declaration by the United States of a national emergency or war, any substantial change in financial markets, any substantial change in United States or international political, financial or economic conditions, or any other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4(a)(vii) and Section 6 hereof shall at all times be effective and shall survive such termination.</w:t>
      </w:r>
    </w:p>
    <w:p>
      <w:pPr>
        <w:spacing w:after="0" w:line="171" w:lineRule="exact"/>
        <w:rPr>
          <w:rFonts w:ascii="Arial" w:cs="Arial" w:eastAsia="Arial" w:hAnsi="Arial"/>
          <w:sz w:val="16"/>
          <w:szCs w:val="16"/>
          <w:color w:val="auto"/>
        </w:rPr>
      </w:pPr>
    </w:p>
    <w:p>
      <w:pPr>
        <w:ind w:right="20" w:firstLine="1305"/>
        <w:spacing w:after="0" w:line="277" w:lineRule="auto"/>
        <w:tabs>
          <w:tab w:leader="none" w:pos="2186" w:val="left"/>
        </w:tabs>
        <w:numPr>
          <w:ilvl w:val="1"/>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shall be notified</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by you by telephone, confirmed by letter.</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35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Except as otherwise provided herein, all communications hereunder shall be in writing and, if to the Underwriters, shall be mailed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via overnight delivery service or hand delivered via courier to the Representative c/o Piper Jaffray &amp; Co., U.S. Bancorp Center, 800 Nicollet Mall, Minneapolis, Minnesota 55402, Attention: Equity Capital Markets, with a copy to General Counsel; and if to the Company, shall be mailed or delivered to it</w:t>
      </w:r>
    </w:p>
    <w:p>
      <w:pPr>
        <w:jc w:val="both"/>
        <w:spacing w:after="0" w:line="217" w:lineRule="auto"/>
        <w:rPr>
          <w:sz w:val="20"/>
          <w:szCs w:val="20"/>
          <w:color w:val="auto"/>
        </w:rPr>
      </w:pPr>
      <w:r>
        <w:rPr>
          <w:rFonts w:ascii="Arial" w:cs="Arial" w:eastAsia="Arial" w:hAnsi="Arial"/>
          <w:sz w:val="18"/>
          <w:szCs w:val="18"/>
          <w:color w:val="auto"/>
        </w:rPr>
        <w:t>at Amot Investment 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Attention: Tomer Berkovitz) with a copy to Zysman, Aharoni, Gayer and Sullivan &amp; Worcester LLP, 1633 Broadway, New York, NY 10019, Attention: Shy Baranov, Esq.; Any party to this Agreement may change such address for notices by sending to the parties to this Agreement written notice of a new address for such purpose.</w:t>
      </w:r>
    </w:p>
    <w:p>
      <w:pPr>
        <w:spacing w:after="0" w:line="204" w:lineRule="exact"/>
        <w:rPr>
          <w:sz w:val="20"/>
          <w:szCs w:val="20"/>
          <w:color w:val="auto"/>
        </w:rPr>
      </w:pPr>
    </w:p>
    <w:p>
      <w:pPr>
        <w:jc w:val="both"/>
        <w:ind w:firstLine="656"/>
        <w:spacing w:after="0" w:line="257" w:lineRule="auto"/>
        <w:tabs>
          <w:tab w:leader="none" w:pos="14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56"/>
        <w:spacing w:after="0" w:line="268" w:lineRule="auto"/>
        <w:tabs>
          <w:tab w:leader="none" w:pos="1364"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Absence of Fiduciary Relationship</w:t>
      </w:r>
      <w:r>
        <w:rPr>
          <w:rFonts w:ascii="Arial" w:cs="Arial" w:eastAsia="Arial" w:hAnsi="Arial"/>
          <w:sz w:val="17"/>
          <w:szCs w:val="17"/>
          <w:color w:val="auto"/>
        </w:rPr>
        <w:t>. The Company acknowledges and agrees that: (a) the Representative has been retained solely to act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underwriter in connection with the sale of the Securities and that no fiduciary, advisory or agency relationship between the Company and the Representative have been created in respect of any of the transactions contemplated by this Agreement, irrespective of whether the Representative has have advised or are advising the Company on other matters; (b) the price and other terms of the Securities set forth in this Agreement were established by the Company following discussions and arms-length negotiations with the Representative and the Company is capable of evaluating and understanding and understands and accepts the terms, risks and conditions of the transactions contemplated by this Agreement; (c) it has been advised that the Representative and its affiliates are engaged in a broad range of transactions which may involve interests that differ from those of the Company and that the Representative has no obligation to disclose such interest and transactions to the Company by virtue of any fiduciary, advisory or agency relationship; (d) it has been advised that the Representative is acting, in respect of the transactions contemplated by this Agreement, solely for the benefit of the Representative and the other Underwriters, and not on behalf of the Company; (e) it, he or she waives to the fullest extent permitted by law, any claims it may have against the Representative for breach of fiduciary duty or alleged breach of fiduciary duty in respect of any of the transactions contemplated by this Agreement and agrees that the Representative shall have no liability (whether direct or indirect) to the Company in respect of such a fiduciary duty claim on behalf of or in right of the Company, including stockholders, employees or creditors of the Company.</w:t>
      </w:r>
    </w:p>
    <w:p>
      <w:pPr>
        <w:spacing w:after="0" w:line="187" w:lineRule="exact"/>
        <w:rPr>
          <w:rFonts w:ascii="Arial" w:cs="Arial" w:eastAsia="Arial" w:hAnsi="Arial"/>
          <w:sz w:val="17"/>
          <w:szCs w:val="17"/>
          <w:color w:val="auto"/>
        </w:rPr>
      </w:pPr>
    </w:p>
    <w:p>
      <w:pPr>
        <w:jc w:val="both"/>
        <w:ind w:firstLine="656"/>
        <w:spacing w:after="0" w:line="259"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Waiver of Jury Trial</w:t>
      </w:r>
      <w:r>
        <w:rPr>
          <w:rFonts w:ascii="Arial" w:cs="Arial" w:eastAsia="Arial" w:hAnsi="Arial"/>
          <w:sz w:val="18"/>
          <w:szCs w:val="18"/>
          <w:color w:val="auto"/>
        </w:rPr>
        <w:t>. This Agreement shall be governed by and construed in accordance with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Agent for Service, Submission to Jurisdiction; Trial by Jury; Waiver of Immunities.</w:t>
      </w:r>
    </w:p>
    <w:p>
      <w:pPr>
        <w:spacing w:after="0" w:line="225" w:lineRule="exact"/>
        <w:rPr>
          <w:rFonts w:ascii="Arial" w:cs="Arial" w:eastAsia="Arial" w:hAnsi="Arial"/>
          <w:sz w:val="18"/>
          <w:szCs w:val="18"/>
          <w:color w:val="auto"/>
        </w:rPr>
      </w:pPr>
    </w:p>
    <w:p>
      <w:pPr>
        <w:jc w:val="both"/>
        <w:ind w:firstLine="1305"/>
        <w:spacing w:after="0" w:line="284" w:lineRule="auto"/>
        <w:tabs>
          <w:tab w:leader="none" w:pos="1991" w:val="left"/>
        </w:tabs>
        <w:numPr>
          <w:ilvl w:val="1"/>
          <w:numId w:val="41"/>
        </w:numPr>
        <w:rPr>
          <w:rFonts w:ascii="Arial" w:cs="Arial" w:eastAsia="Arial" w:hAnsi="Arial"/>
          <w:sz w:val="16"/>
          <w:szCs w:val="16"/>
          <w:color w:val="auto"/>
        </w:rPr>
      </w:pPr>
      <w:r>
        <w:rPr>
          <w:rFonts w:ascii="Arial" w:cs="Arial" w:eastAsia="Arial" w:hAnsi="Arial"/>
          <w:sz w:val="16"/>
          <w:szCs w:val="16"/>
          <w:color w:val="auto"/>
        </w:rPr>
        <w:t>By the execution and delivery of this Agreement, the Company hereby irrevocably designates and appoints Alcobra Inc., 600 West Germantown Pike, Suite 400, Plymouth Meeting, PA, 19462, as its authorized agent upon whom process may be served in any suit, proceeding or other action against it instituted by any Underwriter or by any person controlling an Underwriter as to which such Underwriter or any such controlling person is a party and based upon this Agreement, or in any other action against the Company in the New York Supreme Court, County of New York and the United States District Court for the Southern District of New York, arising out of the offering made by the Prospectus or any purchase or sale of Securities in connection therewith. The Company expressly accepts jurisdiction of any such court in respect of any such suit, proceeding or other action and, without limiting other methods of obtaining jurisdiction, expressly submits to nonexclusive personal jurisdiction of any such court in respect of any such suit, proceeding or other action. Such designation and appointment shall be irrevocable, unless and until a successor authorized agent in the County and State of New York reasonably acceptable to the Representative shall have been appointed by the Company, such successor shall have accepted such appointment and written notice thereof shall have been given to the Underwriters. The Company further agrees that service of process upon its authorized agent or successor shall be deemed in every respect personal service of process upon the Company in any such suit, proceeding or other action. In the event that service of any process or notice of motion or other application to any such court in connection with any such motion in connection with any such action or proceeding cannot be made in the manner described above, such service may be made in the manner set forth in conformance with the Hague Convention on the Service Abroad of Judicial and Extrajudicial Documents on Civil and Commercial Matters or any successor convention or treaty. The Company hereby irrevocably waives any objection that it may have or hereafter have to the laying of venue of any such action or proceeding arising out of or based on the Securities, or this Agreement or otherwise relating to the offering, issuance and sale of the Securities in any Federal or state court sitting in the County of New York and hereby further irrevocably waives any claim that any such action or proceeding in any such court has been brought in an inconvenient forum. The Company agrees that any final judgment after exhaustion of all appeals or the expiration of time to appeal in any such action or proceeding arising out of the sale of the Securities or this Agreement rendered by any such Federal court or state court shall be conclusive and may be enforced in any other jurisdiction by suit on the judgment or in any other manner provided by law. Nothing contained in this Agreement shall affect or limit the right of the Underwriters or any person controlling an Underwriter to serve any process or notice of motion or other application in any other manner permitted by law or limit or affect the right of the Underwriters or any person controlling an Underwriter to bring any action or proceeding against the Company or any of its properties in the courts of any other jurisdiction. The Company further agrees to take any and all action, including the execution and filing of all such instruments and documents, as may be necessary to continue such designations and appointments or such substitute designations and appointments in full force and effect. The Company hereby agrees with the Underwriters to the nonexclusive jurisdiction of the New York Supreme Court, County of New York or the United States District Court for the Southern District of New York in connection with any action or proceeding arising from the sale of the Securitas or this Agreement brought by the Company, the Underwriters or any person controlling an Underwriter.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1305"/>
        <w:spacing w:after="0" w:line="286" w:lineRule="auto"/>
        <w:tabs>
          <w:tab w:leader="none" w:pos="211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agrees that in any suit (whether in a court in the United States, Israel or elsewhere) seeking enforcement of this Agreement or provisions of this Agreement (i) if the plaintiffs therein seek a judgment in either United States dollars or Israeli currency, subject to Israeli foreign currency control regulations, the Company will not interpose any defense or objection to or otherwise oppose judgment, if any, being awarded in such currencies except to the extent that such a judgment would violate the laws of the State of Israel, and (ii) if the plaintiffs therein seek to have any judgment (or any aspect thereof) awarded in New Israeli Shekels linked, for the period from entry of such judgment until actual payment thereof in full has been made, to either or both of the consumer price index of Israel or changes in the New Israeli Shekel-United States dollar exchange rate, the Company will not interpose any defense or objection to or otherwise oppose inclusion of such linkage in any such judgment except to the extent that such a judgment would violate the laws of the State of Israel. The Company agrees that it will not initiate or seek to initiate any action, suit or proceeding, in Israel or in any other jurisdiction other than in the United States, seeking damages in respect of or for the purpose of obtaining any injunction or declaratory judgment against the enforcement of, or a declaratory judgment concerning any alleged breach by the Company or other claim by the Underwriters, or any person controlling an Underwriter in respect of this Agreement or any of the Underwriters’ rights under this Agreement, including without limitation any action, suit or proceeding challenging the enforceability of or seeking to invalidate in any respect the submission by the Company hereunder to the jurisdiction of the courts or the designation of the laws as the law applicable to this Agreement, in each case as set forth herein.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left="-20" w:firstLine="1305"/>
        <w:spacing w:after="0" w:line="290" w:lineRule="auto"/>
        <w:tabs>
          <w:tab w:leader="none" w:pos="2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agrees that if any payment of any sum due under this Agreement from the Company is made to or received by the Underwriters or any controlling person of any Underwriter in a currency other than freely transferable United States dollars, whether by judicial judgment or otherwise, the obligations of the Company under this Agreement shall be discharged only to the extent of the net amount of freely transferable United States dollars that the Underwriters or such controlling persons, as the case may be, in accordance with normal bank procedures, are able to lawfully purchase with such amount of such other currency. To the extent that the Underwriters or such controlling persons are not able to purchase sufficient United States dollars with such amount of such other currency to discharge the obligations of the Company to the Underwriters or such controlling persons, the obligations of the Company shall not be discharged with respect to such difference, and any such undischarged amount will be due as a separate obligation and shall not be affected by payment of or judgment being obtained for any other sums due under or in respect of this Agreement.</w:t>
      </w:r>
    </w:p>
    <w:p>
      <w:pPr>
        <w:spacing w:after="0" w:line="166" w:lineRule="exact"/>
        <w:rPr>
          <w:rFonts w:ascii="Arial" w:cs="Arial" w:eastAsia="Arial" w:hAnsi="Arial"/>
          <w:sz w:val="16"/>
          <w:szCs w:val="16"/>
          <w:color w:val="auto"/>
        </w:rPr>
      </w:pPr>
    </w:p>
    <w:p>
      <w:pPr>
        <w:ind w:left="-20" w:firstLine="656"/>
        <w:spacing w:after="0" w:line="308" w:lineRule="auto"/>
        <w:tabs>
          <w:tab w:leader="none" w:pos="1384"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one or more counterparts and, if executed in more than one counterpart, the executed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counterparts shall each be deemed to be an original and all such counterparts shall together constitute one and the same instrument.</w:t>
      </w:r>
    </w:p>
    <w:p>
      <w:pPr>
        <w:spacing w:after="0" w:line="146" w:lineRule="exact"/>
        <w:rPr>
          <w:rFonts w:ascii="Arial" w:cs="Arial" w:eastAsia="Arial" w:hAnsi="Arial"/>
          <w:sz w:val="17"/>
          <w:szCs w:val="17"/>
          <w:color w:val="auto"/>
        </w:rPr>
      </w:pPr>
    </w:p>
    <w:p>
      <w:pPr>
        <w:jc w:val="both"/>
        <w:ind w:left="-20" w:firstLine="656"/>
        <w:spacing w:after="0" w:line="257" w:lineRule="auto"/>
        <w:tabs>
          <w:tab w:leader="none" w:pos="1384"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Provisions. </w:t>
      </w:r>
      <w:r>
        <w:rPr>
          <w:rFonts w:ascii="Arial" w:cs="Arial" w:eastAsia="Arial" w:hAnsi="Arial"/>
          <w:sz w:val="18"/>
          <w:szCs w:val="18"/>
          <w:color w:val="auto"/>
        </w:rPr>
        <w:t>This Agreement constitutes the entire agreement of the parties to this Agreement and supersedes all prior written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37" w:name="page38"/>
    <w:bookmarkEnd w:id="37"/>
    <w:p>
      <w:pPr>
        <w:ind w:firstLine="1297"/>
        <w:spacing w:after="0" w:line="277" w:lineRule="auto"/>
        <w:rPr>
          <w:sz w:val="20"/>
          <w:szCs w:val="20"/>
          <w:color w:val="auto"/>
        </w:rPr>
      </w:pPr>
      <w:r>
        <w:rPr>
          <w:rFonts w:ascii="Arial" w:cs="Arial" w:eastAsia="Arial" w:hAnsi="Arial"/>
          <w:sz w:val="18"/>
          <w:szCs w:val="18"/>
          <w:color w:val="auto"/>
        </w:rPr>
        <w:t>Please sign and return to the Company the enclosed duplicates of this letter whereupon this letter will become a binding agreement between the Company and the several Underwriters in accordance with its terms.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LCOBRA</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CEO &amp; President</w:t>
      </w:r>
    </w:p>
    <w:p>
      <w:pPr>
        <w:sectPr>
          <w:pgSz w:w="11900" w:h="16838" w:orient="portrait"/>
          <w:cols w:equalWidth="0" w:num="1">
            <w:col w:w="11360"/>
          </w:cols>
          <w:pgMar w:left="240" w:top="88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themselves and the other several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named in Schedule 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IPER</w:t>
      </w:r>
      <w:r>
        <w:rPr>
          <w:rFonts w:ascii="Arial" w:cs="Arial" w:eastAsia="Arial" w:hAnsi="Arial"/>
          <w:sz w:val="18"/>
          <w:szCs w:val="18"/>
          <w:color w:val="auto"/>
        </w:rPr>
        <w:t xml:space="preserve"> J</w:t>
      </w:r>
      <w:r>
        <w:rPr>
          <w:rFonts w:ascii="Arial" w:cs="Arial" w:eastAsia="Arial" w:hAnsi="Arial"/>
          <w:sz w:val="12"/>
          <w:szCs w:val="12"/>
          <w:color w:val="auto"/>
        </w:rPr>
        <w:t>AFFRAY</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Dr. Tomer Berkovitz</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-116205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CFO</w:t>
      </w:r>
    </w:p>
    <w:p>
      <w:pPr>
        <w:spacing w:after="0" w:line="1914" w:lineRule="exact"/>
        <w:rPr>
          <w:sz w:val="20"/>
          <w:szCs w:val="20"/>
          <w:color w:val="auto"/>
        </w:rPr>
      </w:pPr>
    </w:p>
    <w:p>
      <w:pPr>
        <w:sectPr>
          <w:pgSz w:w="11900" w:h="16838" w:orient="portrait"/>
          <w:cols w:equalWidth="0" w:num="2">
            <w:col w:w="5000" w:space="720"/>
            <w:col w:w="5640"/>
          </w:cols>
          <w:pgMar w:left="240" w:top="881" w:right="299" w:bottom="1440" w:gutter="0" w:footer="0" w:header="0"/>
          <w:type w:val="continuous"/>
        </w:sectPr>
      </w:pPr>
    </w:p>
    <w:p>
      <w:pPr>
        <w:spacing w:after="0" w:line="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Stadinski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Name: David Stadinski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-123190</wp:posOffset>
            </wp:positionV>
            <wp:extent cx="3336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8160" w:type="dxa"/>
            <w:vAlign w:val="bottom"/>
            <w:gridSpan w:val="4"/>
          </w:tcPr>
          <w:p>
            <w:pPr>
              <w:ind w:left="1900"/>
              <w:spacing w:after="0"/>
              <w:rPr>
                <w:sz w:val="20"/>
                <w:szCs w:val="20"/>
                <w:color w:val="auto"/>
              </w:rPr>
            </w:pPr>
            <w:r>
              <w:rPr>
                <w:rFonts w:ascii="Arial" w:cs="Arial" w:eastAsia="Arial" w:hAnsi="Arial"/>
                <w:sz w:val="18"/>
                <w:szCs w:val="18"/>
                <w:b w:val="1"/>
                <w:bCs w:val="1"/>
                <w:color w:val="auto"/>
              </w:rPr>
              <w:t>SCHEDULE I</w:t>
            </w:r>
          </w:p>
        </w:tc>
      </w:tr>
      <w:tr>
        <w:trPr>
          <w:trHeight w:val="446"/>
        </w:trPr>
        <w:tc>
          <w:tcPr>
            <w:tcW w:w="3260" w:type="dxa"/>
            <w:vAlign w:val="bottom"/>
          </w:tcPr>
          <w:p>
            <w:pPr>
              <w:spacing w:after="0"/>
              <w:rPr>
                <w:sz w:val="20"/>
                <w:szCs w:val="20"/>
                <w:color w:val="auto"/>
              </w:rPr>
            </w:pPr>
            <w:r>
              <w:rPr>
                <w:rFonts w:ascii="Arial" w:cs="Arial" w:eastAsia="Arial" w:hAnsi="Arial"/>
                <w:sz w:val="18"/>
                <w:szCs w:val="18"/>
                <w:color w:val="auto"/>
              </w:rPr>
              <w:t>Underwriter</w:t>
            </w: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gridSpan w:val="2"/>
          </w:tcPr>
          <w:p>
            <w:pPr>
              <w:ind w:left="1020"/>
              <w:spacing w:after="0"/>
              <w:rPr>
                <w:sz w:val="20"/>
                <w:szCs w:val="20"/>
                <w:color w:val="auto"/>
              </w:rPr>
            </w:pPr>
            <w:r>
              <w:rPr>
                <w:rFonts w:ascii="Arial" w:cs="Arial" w:eastAsia="Arial" w:hAnsi="Arial"/>
                <w:sz w:val="18"/>
                <w:szCs w:val="18"/>
                <w:color w:val="auto"/>
              </w:rPr>
              <w:t>Number of Firm Shares (1)</w:t>
            </w:r>
          </w:p>
        </w:tc>
      </w:tr>
      <w:tr>
        <w:trPr>
          <w:trHeight w:val="223"/>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0" w:type="dxa"/>
            <w:vAlign w:val="bottom"/>
            <w:tcBorders>
              <w:top w:val="single" w:sz="8" w:color="auto"/>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rPr>
              <w:t>6,500,000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color w:val="auto"/>
              </w:rPr>
              <w:t>6,500,000</w:t>
            </w:r>
          </w:p>
        </w:tc>
        <w:tc>
          <w:tcPr>
            <w:tcW w:w="1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line="277" w:lineRule="auto"/>
        <w:tabs>
          <w:tab w:leader="none" w:pos="7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975,000 Option Shares, to the extent the option described in Section 3(b) of the Agreement is exercised, in the proportions and in the manner described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ind w:right="-122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to be Issued: 6,500,000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to be Issued: 975,000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$4.00 per Ordinary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6.0%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director of the Company may transfer up to 250,000 Ordinary Shares beginning 30 days after the date of the final prospectus at a price per share greater than the public offering price per Ordinary Share sold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8" w:right="379" w:bottom="1440" w:gutter="0" w:footer="0" w:header="0"/>
        </w:sectPr>
      </w:pPr>
    </w:p>
    <w:bookmarkStart w:id="41" w:name="page42"/>
    <w:bookmarkEnd w:id="41"/>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Yaron Daniely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Tomer Berkovitz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Rubin,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Howard B.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Arieh Ben Yosef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E. Geffken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Hadas Gelander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Ehud (Udi) Gilboa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 Mor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Aharon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  Ÿ  ]</w:t>
      </w:r>
      <w:r>
        <w:rPr>
          <w:rFonts w:ascii="Arial" w:cs="Arial" w:eastAsia="Arial" w:hAnsi="Arial"/>
          <w:sz w:val="18"/>
          <w:szCs w:val="18"/>
          <w:color w:val="auto"/>
        </w:rPr>
        <w:t>,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to the Purchase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800 Nicollet Mall, Suite 800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an inducement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to execute a purchase agreement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xml:space="preserve">) providing for a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of Ordinary Shares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xml:space="preserve">) of Alcobra Ltd., corporation incorporated under the laws of the State of Israel and any successor (by merger or otherwise) thereto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undersigned hereby agrees that without, in each case, the prior written consent of Piper Jaffray &amp; Co. (</w:t>
      </w:r>
      <w:r>
        <w:rPr>
          <w:rFonts w:ascii="Arial" w:cs="Arial" w:eastAsia="Arial" w:hAnsi="Arial"/>
          <w:sz w:val="16"/>
          <w:szCs w:val="16"/>
          <w:b w:val="1"/>
          <w:bCs w:val="1"/>
          <w:i w:val="1"/>
          <w:iCs w:val="1"/>
          <w:color w:val="auto"/>
        </w:rPr>
        <w:t>“Piper Jaffray”</w:t>
      </w:r>
      <w:r>
        <w:rPr>
          <w:rFonts w:ascii="Arial" w:cs="Arial" w:eastAsia="Arial" w:hAnsi="Arial"/>
          <w:sz w:val="16"/>
          <w:szCs w:val="16"/>
          <w:color w:val="auto"/>
        </w:rPr>
        <w:t xml:space="preserve">) during the period specified in the second succeeding paragraph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the undersigned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Ordinary Shares or any securities convertible into, exercisable or exchangeable for or that represent the right to receive Ordinary Shares (including without limitation, Ordinary Shares which may be deemed to be beneficially owned by the undersigned in accordance with the rules and regulations of the Securities and Exchange Commission and securities which may be issued upon exercise of a stock option or warrant) whether now owned or hereafter acquired (the </w:t>
      </w:r>
      <w:r>
        <w:rPr>
          <w:rFonts w:ascii="Arial" w:cs="Arial" w:eastAsia="Arial" w:hAnsi="Arial"/>
          <w:sz w:val="16"/>
          <w:szCs w:val="16"/>
          <w:b w:val="1"/>
          <w:bCs w:val="1"/>
          <w:i w:val="1"/>
          <w:iCs w:val="1"/>
          <w:color w:val="auto"/>
        </w:rPr>
        <w:t>“Undersigned’s Securities”</w:t>
      </w:r>
      <w:r>
        <w:rPr>
          <w:rFonts w:ascii="Arial" w:cs="Arial" w:eastAsia="Arial" w:hAnsi="Arial"/>
          <w:sz w:val="16"/>
          <w:szCs w:val="16"/>
          <w:color w:val="auto"/>
        </w:rPr>
        <w:t>); (2) enter into any swap or other agreement that transfers, in whole or in part, any of the economic consequences of ownership of the Undersigned’s Securities, whether any such transaction described in clause (1) or (2) above is to be settled by delivery of Ordinary Shares or such other securities, in cash or otherwise; (3) make any demand for or exercise any right with respect to, the registration of any Ordinary Shares or any security convertible into or exercisable or exchangeable for Ordinary Shares; or (4) publicly disclose the intention to do any of the foregoing.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agrees that the foregoing restrictions preclude the undersigned from engaging in any hedging or other transaction which is designed to or which reasonably could be expected to lead to or result in a sale or disposition of the Undersigned’s Securities even if such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such Securities.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firstLine="648"/>
        <w:spacing w:after="0" w:line="255" w:lineRule="auto"/>
        <w:rPr>
          <w:sz w:val="20"/>
          <w:szCs w:val="20"/>
          <w:color w:val="auto"/>
        </w:rPr>
      </w:pPr>
      <w:r>
        <w:rPr>
          <w:rFonts w:ascii="Arial" w:cs="Arial" w:eastAsia="Arial" w:hAnsi="Arial"/>
          <w:sz w:val="18"/>
          <w:szCs w:val="18"/>
          <w:color w:val="auto"/>
        </w:rPr>
        <w:t>The initial Lock-Up Period will commence on the date of this Agreement and continue and include the date 90 days after the date of the final prospectus used to sell Ordinary Shares in the Offering pursuant to the Purchase Agreement, to which you are or expect to become parties; provided, however, that if (1) during the last 17 days of the initial Lock-Up Period, the Company releases earnings results or material news or a material event relating to the Company occurs or (2) prior to the expiration of the initial Lock-Up Period, the Company announces that it will release earnings results during the 16-day period beginning on the last day of the initial Lock-Up Period, then in each case the initial Lock-Up Period will be extended until the expiration of the 18-day period beginning on the date of release of such earnings results or material news, or the occurrence of such material event, as applicable, unless Piper Jaffray, waives, in writing, such extension.</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undersigned hereby acknowledges that the Company will be requested to agree in the Purchase Agreement to provide written notice to the undersigned of any event that would result in an extension of the Lock-Up Period pursuant to the previous paragraph and agrees that any such notice properly delivered will be deemed to have been given to, and received by, the undersigned. The undersigned further agrees that, prior to engaging in any transaction or</w:t>
      </w:r>
    </w:p>
    <w:p>
      <w:pPr>
        <w:jc w:val="both"/>
        <w:spacing w:after="0" w:line="224" w:lineRule="auto"/>
        <w:rPr>
          <w:sz w:val="20"/>
          <w:szCs w:val="20"/>
          <w:color w:val="auto"/>
        </w:rPr>
      </w:pPr>
      <w:r>
        <w:rPr>
          <w:rFonts w:ascii="Arial" w:cs="Arial" w:eastAsia="Arial" w:hAnsi="Arial"/>
          <w:sz w:val="18"/>
          <w:szCs w:val="18"/>
          <w:color w:val="auto"/>
        </w:rPr>
        <w:t>taking any other action that is subject to the terms of this Agreement during the period from the date of this Agreement to and including the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expiration of the initial Lock-Up Period, it will give notice thereof to the Company and will not consummate such transaction or take any such action unless it has received written confirmation from the Company that the Lock-Up Period (as may have been extended pursuant to the previous paragraph) has expired.</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(i) Piper Jaffray agrees that, at least three business days before the effective date of any release or waiver of the foregoing restrictions in connection with a transfer of Ordinary Shares Piper Jaffray will notify the Company of the impending release or waiver, and (ii) the Company has agreed in the Purchase Agreement to announce the impending release or waiver by issuing a press release through a major news service at least two business days before the effective date of the release or waiver. Any release or waiver granted by Piper Jaffray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648"/>
        <w:spacing w:after="0" w:line="286" w:lineRule="auto"/>
        <w:rPr>
          <w:sz w:val="20"/>
          <w:szCs w:val="20"/>
          <w:color w:val="auto"/>
        </w:rPr>
      </w:pPr>
      <w:r>
        <w:rPr>
          <w:rFonts w:ascii="Arial" w:cs="Arial" w:eastAsia="Arial" w:hAnsi="Arial"/>
          <w:sz w:val="16"/>
          <w:szCs w:val="16"/>
          <w:color w:val="auto"/>
        </w:rPr>
        <w:t xml:space="preserve">Notwithstanding the foregoing, the undersigned may transfer the Undersigned’s Securities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 immediate family member of the undersigned or any trust for the direct or indirect benefit of the undersigned or the immediate family of the undersigned or to any corporation, partnership, limited liability company, or other business entity all of the equity holders of which consist of the undersigned and/or one or more members of such undersigned’s immediate family, (iii) if the undersigned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Ordinary Shares or any security convertible into or exercisable for Ordinary Shares to limited partners, limited liability company members or stockholders of the undersigned, (iv) if the undersigned is a trust, transfers to the beneficiary of such trust, (v) transfers by testate succession or intestate succession, (vi) that are acquired in open market transactions after the completion of the Offering, or (vii) pursuant to the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clauses (i)-(v), that (x) such transfer shall not involve a disposition for value, (y) the transferee agrees in writing with the Underwriters to be bound by the terms of this Lock-Up Agreement that are applicable to the transferor, to the extent and for the duration that such terms remain in effect at the time of the transfer, and (z) no filing by any party under 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be required or shall be made voluntarily in connection with such transfer. For purposes of this Agreement, “immediate family” shall mean any relationship by blood, marriage or adoption, nor more remote than first cousin.</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In addition, the foregoing restrictions shall not apply to (i) the exercise of stock options granted pursuant to the Company’s equity incentive plans;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it shall apply to any of the Undersigned’s Securities issued upon such exercise, or (ii) the establishment of any contract, instruction or plan (a</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that satisfies all of the requirements of Rule 10b5-1(c)(1)(i)(B) under the Exchange Act;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no sales of the Undersigned’s Securities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made pursuant to such a Plan prior to the expiration of the Lock-Up Period (as such may have been extended pursuant to the provisions hereof),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 (as such may have been extended pursuant to the provisions hereof).</w:t>
      </w:r>
      <w:r>
        <w:rPr>
          <w:rFonts w:ascii="Arial" w:cs="Arial" w:eastAsia="Arial" w:hAnsi="Arial"/>
          <w:sz w:val="28"/>
          <w:szCs w:val="28"/>
          <w:color w:val="auto"/>
          <w:vertAlign w:val="superscript"/>
        </w:rPr>
        <w:t>1</w:t>
      </w:r>
    </w:p>
    <w:p>
      <w:pPr>
        <w:spacing w:after="0" w:line="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Ordinary Shares if such transfer would constitute a violation or breach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Agreement and that upon request, the undersigned will execute and additional documents necessary to ensure the validity or enforcement of this Agreement. All authority herein conferred or agreed to be conferred and any obligations of the undersigned shall be binding upon the successors, assigns, heirs or personal representatives of the undersigned.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understands that the undersigned shall be released from all obligations under this Agreement if (i) the Company notifies the Underwriters that it does not intend to proceed with the Offering, (ii) Piper Jaffray, on behalf of the Underwriters, notifies the Company that the Underwriters do not intend to proceed with the Offering, (iii) the Purchase Agreement does not become effective, or if the Purchase Agreement (other than the provisions thereof which survive termination) shall terminate or be terminated prior to payment for and delivery of the Ordinary Shares to be sold thereunder, or (iv) the Offering is not completed by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0"/>
          <w:szCs w:val="20"/>
          <w:color w:val="auto"/>
        </w:rPr>
      </w:pPr>
    </w:p>
    <w:p>
      <w:pPr>
        <w:ind w:right="80" w:firstLine="8"/>
        <w:spacing w:after="0" w:line="194" w:lineRule="auto"/>
        <w:tabs>
          <w:tab w:leader="none" w:pos="12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Additionally one director of the Company may transfer up to 250,000 Ordinary Shares beginning 30 days after the date of the final prospectus at a price per share greater than the public offering price per Ordinary Share sold in the Offering.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The undersigned understands that the Underwriters are entering into the Purchase Agreement and proceeding with the Offering in reliance upon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(and indicate capacity of person signing if</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signing as custodian, trustee, or on behalf of an entity)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Company Press Release for Waivers or Releases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Officer/Director Lock-Up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Alcobra Ltd. (the “Company”) announced today that Piper Jaffray as the representative of the underwriters is [waiving] [releasing] [a] lock-up restriction[s] with respect to an aggregate of **[# of ordinary shares] held by certain [officers] [directors] of the Company. These [officers] [directors] entered into lock-up agreements with Piper Jaffray in connection with the Company’s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[waiver] [release] will take effect on [date that is at least 2 business days following date of this press release].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Zysman, Aharoni, Gayer &amp; Co., Law Offices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have acted as counsel for Alcobra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underwritten public offering of up to 7,475,000 of the Company’s ordinary shares, par value NIS 0.01 per share (the “</w:t>
      </w:r>
      <w:r>
        <w:rPr>
          <w:rFonts w:ascii="Arial" w:cs="Arial" w:eastAsia="Arial" w:hAnsi="Arial"/>
          <w:sz w:val="17"/>
          <w:szCs w:val="17"/>
          <w:b w:val="1"/>
          <w:bCs w:val="1"/>
          <w:color w:val="auto"/>
        </w:rPr>
        <w:t>Shares</w:t>
      </w:r>
      <w:r>
        <w:rPr>
          <w:rFonts w:ascii="Arial" w:cs="Arial" w:eastAsia="Arial" w:hAnsi="Arial"/>
          <w:sz w:val="17"/>
          <w:szCs w:val="17"/>
          <w:color w:val="auto"/>
        </w:rPr>
        <w:t>”) (which amount includes 975,000 Shares for which the Representative (as defined below) has been granted an overallotment option), pursuant to the registration statement on Form F-3 (Registration No. 333-197411) (such registration statement, as it may be amended from time to time, is herein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base prospectus which forms a part of and is included in the Registration Statement and the related prospectus supplement dated August 1, 2014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together with the base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Piper Jaffray &amp; Co. (the “</w:t>
      </w:r>
      <w:r>
        <w:rPr>
          <w:rFonts w:ascii="Arial" w:cs="Arial" w:eastAsia="Arial" w:hAnsi="Arial"/>
          <w:sz w:val="17"/>
          <w:szCs w:val="17"/>
          <w:b w:val="1"/>
          <w:bCs w:val="1"/>
          <w:color w:val="auto"/>
        </w:rPr>
        <w:t>Representative</w:t>
      </w:r>
      <w:r>
        <w:rPr>
          <w:rFonts w:ascii="Arial" w:cs="Arial" w:eastAsia="Arial" w:hAnsi="Arial"/>
          <w:sz w:val="17"/>
          <w:szCs w:val="17"/>
          <w:color w:val="auto"/>
        </w:rPr>
        <w:t>”) will be acting as representative to the underwriters for the offering pursuant to a certain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dated January 9, 2015, by and between the Company and the Representative.</w:t>
      </w:r>
    </w:p>
    <w:p>
      <w:pPr>
        <w:spacing w:after="0" w:line="17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this opinion, we have examined and relied upon the Registration Statement, the Prospectus, the Company’s Amended and Restated Articles of Association, and such statutes, regulations, corporate records, documents, certificates and such other instruments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corporate records, documents, certificates and instruments we have reviewed; (iv) the due execution and delivery of all documents where due execution and delivery are a prerequisite to the effectiveness thereof; and (v) the legal capacity of all natural persons.</w:t>
      </w:r>
    </w:p>
    <w:p>
      <w:pPr>
        <w:spacing w:after="0" w:line="18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w:t>
      </w:r>
    </w:p>
    <w:p>
      <w:pPr>
        <w:spacing w:after="0" w:line="12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sold or to be sold by the Company to the Representative as described in the Registration Statement and the Prospectus Supplement have been duly authorized and have been, or upon delivery of such Shares and payment therefor in accordance with the Underwriting Agreement will be, validly issued, fully paid and non-assessable.</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6-K dated January 9, 2015, which is incorporated by reference into the Registration Statement and to the use of our name wherever it appears in the Registration Statement and the Prospectus. In giving such consent, we do not believe that we are “experts”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Zysman, Aharoni, Gayer &amp; Co., Law Offices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9,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 Prices Public Offering of Ordinary Shares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Tel Aviv, Israel –January 9, 2015– </w:t>
      </w:r>
      <w:r>
        <w:rPr>
          <w:rFonts w:ascii="Arial" w:cs="Arial" w:eastAsia="Arial" w:hAnsi="Arial"/>
          <w:sz w:val="18"/>
          <w:szCs w:val="18"/>
          <w:color w:val="auto"/>
        </w:rPr>
        <w:t>Alcobra Ltd. (NasdaqGM: ADHD) announced the pricing of its previously announced underwritten public offering of</w:t>
      </w:r>
      <w:r>
        <w:rPr>
          <w:rFonts w:ascii="Arial" w:cs="Arial" w:eastAsia="Arial" w:hAnsi="Arial"/>
          <w:sz w:val="18"/>
          <w:szCs w:val="18"/>
          <w:b w:val="1"/>
          <w:bCs w:val="1"/>
          <w:color w:val="auto"/>
        </w:rPr>
        <w:t xml:space="preserve"> </w:t>
      </w:r>
      <w:r>
        <w:rPr>
          <w:rFonts w:ascii="Arial" w:cs="Arial" w:eastAsia="Arial" w:hAnsi="Arial"/>
          <w:sz w:val="18"/>
          <w:szCs w:val="18"/>
          <w:color w:val="auto"/>
        </w:rPr>
        <w:t>6,500,000 ordinary shares at an offering price of $4 per share. Gross proceeds from the sale of the shares by Alcobra before underwriting discounts and commissions and other offering expenses are expected to be approximately $26 million. The offering is expected to close on January 14, 2015, subject to customary closing conditions. In connection with the offering, Alcobra has also granted the underwriters a 30-day option to purchase up to an additional 15% of the ordinary shares offered to the public to cover over-allotments, if 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Alcobra is developing MDX, a proprietary non-stimulant for the treatment of Attention Deficit Hyperactivity Disorder (ADHD) and other cognitive disorders.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Alcobra plans to use the net proceeds from the offering to fund its future clinical development program and for general corporate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 is acting as the sole manager.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shares are being offered pursuant to a shelf registration statement on Form F-3 (File No. 333-197411) filed pursuant to the Securities Act of 1933, as amended, which was previously filed with, and declared effective by, the Securities and Exchange Commission (SEC). A prospectus supplement related to the filing will be filed with the SEC and will be available on the SEC's website at http://www.sec.gov.</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Copies of the preliminary prospectus supplement and the accompanying prospectus relating to these securities may be obtained by contacting Piper Jaffray &amp; Co., Attention: Prospectus Department, 800 Nicollet Mall, J12S03, Minneapolis, MN 55402, or by telephone at 800-747-3924 or by e-mail at prospectus@pjc.com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to treat cognitive disorders including Attention Deficit Hyperactivity Disorder (ADHD) and Fragile X Syndrome. MDX has completed multiple Phase II studies and a Phase III study in adults with ADHD. The company is conducting separate Phase IIb trials in pediatric ADHD and Fragile X Syndrome. For more information please visit the Company's website, www.alcobra-pharma.com, the content of which is not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Company’s public offering, its anticipated closing date and planned use of the net proceeds from the offering. In addition, historic results of scientific research do not guarantee that the conclusions of future research would not suggest different conclusions or that historic results referred to in this press release would be interpreted differently in light of additional research or otherwise. The forward-looking statements contained or implied in this press release are subject to other risks and uncertainties, including market conditions and the satisfaction of customary closing conditions related to the proposed offering, and other risk factors discussed in Alcobra’s prospectus supplement and in Alcobra's Annual Report on Form 20-F for the fiscal year ended December 31, 2013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lvl w:ilvl="1">
      <w:lvlJc w:val="left"/>
      <w:lvlText w:val="(%2)"/>
      <w:numFmt w:val="lowerLetter"/>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lowerRoman"/>
      <w:start w:val="3"/>
    </w:lvl>
  </w:abstractNum>
  <w:abstractNum w:abstractNumId="4">
    <w:nsid w:val="4353D0CD"/>
    <w:multiLevelType w:val="hybridMultilevel"/>
    <w:lvl w:ilvl="0">
      <w:lvlJc w:val="left"/>
      <w:lvlText w:val="(%1)"/>
      <w:numFmt w:val="upperLetter"/>
      <w:start w:val="2"/>
    </w:lvl>
  </w:abstractNum>
  <w:abstractNum w:abstractNumId="5">
    <w:nsid w:val="B03E0C6"/>
    <w:multiLevelType w:val="hybridMultilevel"/>
    <w:lvl w:ilvl="0">
      <w:lvlJc w:val="left"/>
      <w:lvlText w:val="(%1)"/>
      <w:numFmt w:val="lowerRoman"/>
      <w:start w:val="4"/>
    </w:lvl>
  </w:abstractNum>
  <w:abstractNum w:abstractNumId="6">
    <w:nsid w:val="189A769B"/>
    <w:multiLevelType w:val="hybridMultilevel"/>
    <w:lvl w:ilvl="0">
      <w:lvlJc w:val="left"/>
      <w:lvlText w:val="(%1)"/>
      <w:numFmt w:val="lowerRoman"/>
      <w:start w:val="5"/>
    </w:lvl>
  </w:abstractNum>
  <w:abstractNum w:abstractNumId="7">
    <w:nsid w:val="54E49EB4"/>
    <w:multiLevelType w:val="hybridMultilevel"/>
    <w:lvl w:ilvl="0">
      <w:lvlJc w:val="left"/>
      <w:lvlText w:val="(%1)"/>
      <w:numFmt w:val="lowerRoman"/>
      <w:start w:val="7"/>
    </w:lvl>
  </w:abstractNum>
  <w:abstractNum w:abstractNumId="8">
    <w:nsid w:val="71F32454"/>
    <w:multiLevelType w:val="hybridMultilevel"/>
    <w:lvl w:ilvl="0">
      <w:lvlJc w:val="left"/>
      <w:lvlText w:val="(%1)"/>
      <w:numFmt w:val="lowerRoman"/>
      <w:start w:val="10"/>
    </w:lvl>
  </w:abstractNum>
  <w:abstractNum w:abstractNumId="9">
    <w:nsid w:val="2CA88611"/>
    <w:multiLevelType w:val="hybridMultilevel"/>
    <w:lvl w:ilvl="0">
      <w:lvlJc w:val="left"/>
      <w:lvlText w:val="(%1)"/>
      <w:numFmt w:val="lowerRoman"/>
      <w:start w:val="12"/>
    </w:lvl>
  </w:abstractNum>
  <w:abstractNum w:abstractNumId="10">
    <w:nsid w:val="836C40E"/>
    <w:multiLevelType w:val="hybridMultilevel"/>
    <w:lvl w:ilvl="0">
      <w:lvlJc w:val="left"/>
      <w:lvlText w:val="(%1)"/>
      <w:numFmt w:val="lowerRoman"/>
      <w:start w:val="14"/>
    </w:lvl>
  </w:abstractNum>
  <w:abstractNum w:abstractNumId="11">
    <w:nsid w:val="2901D82"/>
    <w:multiLevelType w:val="hybridMultilevel"/>
    <w:lvl w:ilvl="0">
      <w:lvlJc w:val="left"/>
      <w:lvlText w:val="(%1)"/>
      <w:numFmt w:val="lowerRoman"/>
      <w:start w:val="16"/>
    </w:lvl>
  </w:abstractNum>
  <w:abstractNum w:abstractNumId="12">
    <w:nsid w:val="3A95F874"/>
    <w:multiLevelType w:val="hybridMultilevel"/>
    <w:lvl w:ilvl="0">
      <w:lvlJc w:val="left"/>
      <w:lvlText w:val="(%1)"/>
      <w:numFmt w:val="lowerRoman"/>
      <w:start w:val="20"/>
    </w:lvl>
  </w:abstractNum>
  <w:abstractNum w:abstractNumId="13">
    <w:nsid w:val="8138641"/>
    <w:multiLevelType w:val="hybridMultilevel"/>
    <w:lvl w:ilvl="0">
      <w:lvlJc w:val="left"/>
      <w:lvlText w:val="(%1)"/>
      <w:numFmt w:val="lowerRoman"/>
      <w:start w:val="25"/>
    </w:lvl>
  </w:abstractNum>
  <w:abstractNum w:abstractNumId="14">
    <w:nsid w:val="1E7FF521"/>
    <w:multiLevelType w:val="hybridMultilevel"/>
    <w:lvl w:ilvl="0">
      <w:lvlJc w:val="left"/>
      <w:lvlText w:val="(%1)"/>
      <w:numFmt w:val="lowerRoman"/>
      <w:start w:val="29"/>
    </w:lvl>
    <w:lvl w:ilvl="1">
      <w:lvlJc w:val="left"/>
      <w:lvlText w:val="(%2)"/>
      <w:numFmt w:val="upperLetter"/>
      <w:start w:val="1"/>
    </w:lvl>
    <w:lvl w:ilvl="2">
      <w:lvlJc w:val="left"/>
      <w:lvlText w:val="(%3)"/>
      <w:numFmt w:val="decimal"/>
      <w:start w:val="1"/>
    </w:lvl>
  </w:abstractNum>
  <w:abstractNum w:abstractNumId="15">
    <w:nsid w:val="7C3DBD3D"/>
    <w:multiLevelType w:val="hybridMultilevel"/>
    <w:lvl w:ilvl="0">
      <w:lvlJc w:val="left"/>
      <w:lvlText w:val="(%1)"/>
      <w:numFmt w:val="lowerRoman"/>
      <w:start w:val="30"/>
    </w:lvl>
  </w:abstractNum>
  <w:abstractNum w:abstractNumId="16">
    <w:nsid w:val="737B8DDC"/>
    <w:multiLevelType w:val="hybridMultilevel"/>
    <w:lvl w:ilvl="0">
      <w:lvlJc w:val="left"/>
      <w:lvlText w:val="(%1)"/>
      <w:numFmt w:val="lowerRoman"/>
      <w:start w:val="32"/>
    </w:lvl>
  </w:abstractNum>
  <w:abstractNum w:abstractNumId="17">
    <w:nsid w:val="6CEAF087"/>
    <w:multiLevelType w:val="hybridMultilevel"/>
    <w:lvl w:ilvl="0">
      <w:lvlJc w:val="left"/>
      <w:lvlText w:val="(%1)"/>
      <w:numFmt w:val="lowerRoman"/>
      <w:start w:val="35"/>
    </w:lvl>
  </w:abstractNum>
  <w:abstractNum w:abstractNumId="18">
    <w:nsid w:val="22221A70"/>
    <w:multiLevelType w:val="hybridMultilevel"/>
    <w:lvl w:ilvl="0">
      <w:lvlJc w:val="left"/>
      <w:lvlText w:val="(%1)"/>
      <w:numFmt w:val="lowerLetter"/>
      <w:start w:val="12"/>
    </w:lvl>
  </w:abstractNum>
  <w:abstractNum w:abstractNumId="19">
    <w:nsid w:val="4516DDE9"/>
    <w:multiLevelType w:val="hybridMultilevel"/>
    <w:lvl w:ilvl="0">
      <w:lvlJc w:val="left"/>
      <w:lvlText w:val="%1."/>
      <w:numFmt w:val="decimal"/>
      <w:start w:val="3"/>
    </w:lvl>
    <w:lvl w:ilvl="1">
      <w:lvlJc w:val="left"/>
      <w:lvlText w:val="(%2)"/>
      <w:numFmt w:val="lowerLetter"/>
      <w:start w:val="1"/>
    </w:lvl>
  </w:abstractNum>
  <w:abstractNum w:abstractNumId="20">
    <w:nsid w:val="3006C83E"/>
    <w:multiLevelType w:val="hybridMultilevel"/>
    <w:lvl w:ilvl="0">
      <w:lvlJc w:val="left"/>
      <w:lvlText w:val="(%1)"/>
      <w:numFmt w:val="lowerLetter"/>
      <w:start w:val="2"/>
    </w:lvl>
  </w:abstractNum>
  <w:abstractNum w:abstractNumId="21">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2">
    <w:nsid w:val="419AC24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3">
    <w:nsid w:val="5577F8E1"/>
    <w:multiLevelType w:val="hybridMultilevel"/>
    <w:lvl w:ilvl="0">
      <w:lvlJc w:val="left"/>
      <w:lvlText w:val="%1"/>
      <w:numFmt w:val="upperLetter"/>
      <w:start w:val="1"/>
    </w:lvl>
    <w:lvl w:ilvl="1">
      <w:lvlJc w:val="left"/>
      <w:lvlText w:val="(%2)"/>
      <w:numFmt w:val="lowerRoman"/>
      <w:start w:val="2"/>
    </w:lvl>
  </w:abstractNum>
  <w:abstractNum w:abstractNumId="24">
    <w:nsid w:val="440BADFC"/>
    <w:multiLevelType w:val="hybridMultilevel"/>
    <w:lvl w:ilvl="0">
      <w:lvlJc w:val="left"/>
      <w:lvlText w:val="(%1)"/>
      <w:numFmt w:val="upperLetter"/>
      <w:start w:val="2"/>
    </w:lvl>
    <w:lvl w:ilvl="1">
      <w:lvlJc w:val="left"/>
      <w:lvlText w:val="(%2)"/>
      <w:numFmt w:val="lowerRoman"/>
      <w:start w:val="3"/>
    </w:lvl>
  </w:abstractNum>
  <w:abstractNum w:abstractNumId="25">
    <w:nsid w:val="5072367"/>
    <w:multiLevelType w:val="hybridMultilevel"/>
    <w:lvl w:ilvl="0">
      <w:lvlJc w:val="left"/>
      <w:lvlText w:val="(%1)"/>
      <w:numFmt w:val="upperLetter"/>
      <w:start w:val="2"/>
    </w:lvl>
  </w:abstractNum>
  <w:abstractNum w:abstractNumId="26">
    <w:nsid w:val="3804823E"/>
    <w:multiLevelType w:val="hybridMultilevel"/>
    <w:lvl w:ilvl="0">
      <w:lvlJc w:val="left"/>
      <w:lvlText w:val="(%1)"/>
      <w:numFmt w:val="lowerRoman"/>
      <w:start w:val="4"/>
    </w:lvl>
  </w:abstractNum>
  <w:abstractNum w:abstractNumId="27">
    <w:nsid w:val="77465F01"/>
    <w:multiLevelType w:val="hybridMultilevel"/>
    <w:lvl w:ilvl="0">
      <w:lvlJc w:val="left"/>
      <w:lvlText w:val="(%1)"/>
      <w:numFmt w:val="lowerRoman"/>
      <w:start w:val="7"/>
    </w:lvl>
  </w:abstractNum>
  <w:abstractNum w:abstractNumId="28">
    <w:nsid w:val="7724C67E"/>
    <w:multiLevelType w:val="hybridMultilevel"/>
    <w:lvl w:ilvl="0">
      <w:lvlJc w:val="left"/>
      <w:lvlText w:val="(%1)"/>
      <w:numFmt w:val="lowerRoman"/>
      <w:start w:val="10"/>
    </w:lvl>
  </w:abstractNum>
  <w:abstractNum w:abstractNumId="29">
    <w:nsid w:val="5C482A97"/>
    <w:multiLevelType w:val="hybridMultilevel"/>
    <w:lvl w:ilvl="0">
      <w:lvlJc w:val="left"/>
      <w:lvlText w:val="&amp;"/>
      <w:numFmt w:val="bullet"/>
      <w:start w:val="1"/>
    </w:lvl>
    <w:lvl w:ilvl="1">
      <w:lvlJc w:val="left"/>
      <w:lvlText w:val="(%2)"/>
      <w:numFmt w:val="lowerRoman"/>
      <w:start w:val="15"/>
    </w:lvl>
  </w:abstractNum>
  <w:abstractNum w:abstractNumId="30">
    <w:nsid w:val="2463B9EA"/>
    <w:multiLevelType w:val="hybridMultilevel"/>
    <w:lvl w:ilvl="0">
      <w:lvlJc w:val="left"/>
      <w:lvlText w:val="%1."/>
      <w:numFmt w:val="decimal"/>
      <w:start w:val="5"/>
    </w:lvl>
    <w:lvl w:ilvl="1">
      <w:lvlJc w:val="left"/>
      <w:lvlText w:val="(%2)"/>
      <w:numFmt w:val="lowerLetter"/>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lowerLetter"/>
      <w:start w:val="10"/>
    </w:lvl>
    <w:lvl w:ilvl="1">
      <w:lvlJc w:val="left"/>
      <w:lvlText w:val="(%2)"/>
      <w:numFmt w:val="lowerRoman"/>
      <w:start w:val="1"/>
    </w:lvl>
  </w:abstractNum>
  <w:abstractNum w:abstractNumId="33">
    <w:nsid w:val="2D517796"/>
    <w:multiLevelType w:val="hybridMultilevel"/>
    <w:lvl w:ilvl="0">
      <w:lvlJc w:val="left"/>
      <w:lvlText w:val="%1."/>
      <w:numFmt w:val="decimal"/>
      <w:start w:val="6"/>
    </w:lvl>
    <w:lvl w:ilvl="1">
      <w:lvlJc w:val="left"/>
      <w:lvlText w:val="(%2)"/>
      <w:numFmt w:val="lowerLetter"/>
      <w:start w:val="1"/>
    </w:lvl>
  </w:abstractNum>
  <w:abstractNum w:abstractNumId="34">
    <w:nsid w:val="580BD78F"/>
    <w:multiLevelType w:val="hybridMultilevel"/>
    <w:lvl w:ilvl="0">
      <w:lvlJc w:val="left"/>
      <w:lvlText w:val="(%1)"/>
      <w:numFmt w:val="lowerLetter"/>
      <w:start w:val="3"/>
    </w:lvl>
  </w:abstractNum>
  <w:abstractNum w:abstractNumId="35">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6">
    <w:nsid w:val="3855585C"/>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5"/>
    </w:lvl>
  </w:abstractNum>
  <w:abstractNum w:abstractNumId="37">
    <w:nsid w:val="70A64E2A"/>
    <w:multiLevelType w:val="hybridMultilevel"/>
    <w:lvl w:ilvl="0">
      <w:lvlJc w:val="left"/>
      <w:lvlText w:val="%1."/>
      <w:numFmt w:val="decimal"/>
      <w:start w:val="8"/>
    </w:lvl>
    <w:lvl w:ilvl="1">
      <w:lvlJc w:val="left"/>
      <w:lvlText w:val="(%2)"/>
      <w:numFmt w:val="lowerLetter"/>
      <w:start w:val="1"/>
    </w:lvl>
  </w:abstractNum>
  <w:abstractNum w:abstractNumId="38">
    <w:nsid w:val="6A2342EC"/>
    <w:multiLevelType w:val="hybridMultilevel"/>
    <w:lvl w:ilvl="0">
      <w:lvlJc w:val="left"/>
      <w:lvlText w:val="%1."/>
      <w:numFmt w:val="decimal"/>
      <w:start w:val="9"/>
    </w:lvl>
    <w:lvl w:ilvl="1">
      <w:lvlJc w:val="left"/>
      <w:lvlText w:val="(%2)"/>
      <w:numFmt w:val="lowerLetter"/>
      <w:start w:val="1"/>
    </w:lvl>
  </w:abstractNum>
  <w:abstractNum w:abstractNumId="39">
    <w:nsid w:val="2A487CB0"/>
    <w:multiLevelType w:val="hybridMultilevel"/>
    <w:lvl w:ilvl="0">
      <w:lvlJc w:val="left"/>
      <w:lvlText w:val="%1."/>
      <w:numFmt w:val="decimal"/>
      <w:start w:val="11"/>
    </w:lvl>
  </w:abstractNum>
  <w:abstractNum w:abstractNumId="40">
    <w:nsid w:val="1D4ED43B"/>
    <w:multiLevelType w:val="hybridMultilevel"/>
    <w:lvl w:ilvl="0">
      <w:lvlJc w:val="left"/>
      <w:lvlText w:val="%1."/>
      <w:numFmt w:val="decimal"/>
      <w:start w:val="12"/>
    </w:lvl>
    <w:lvl w:ilvl="1">
      <w:lvlJc w:val="left"/>
      <w:lvlText w:val="(%2)"/>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decimal"/>
      <w:start w:val="1"/>
    </w:lvl>
    <w:lvl w:ilvl="1">
      <w:lvlJc w:val="left"/>
      <w:lvlText w:val="(%2)"/>
      <w:numFmt w:val="lowerLetter"/>
      <w:start w:val="3"/>
    </w:lvl>
  </w:abstractNum>
  <w:abstractNum w:abstractNumId="43">
    <w:nsid w:val="57E4CCAF"/>
    <w:multiLevelType w:val="hybridMultilevel"/>
    <w:lvl w:ilvl="0">
      <w:lvlJc w:val="left"/>
      <w:lvlText w:val="%1."/>
      <w:numFmt w:val="decimal"/>
      <w:start w:val="15"/>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2019-12-09T03:15:03Z</dcterms:created>
  <dcterms:modified xsi:type="dcterms:W3CDTF">2019-12-09T03:15:03Z</dcterms:modified>
</cp:coreProperties>
</file>