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474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4472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tcPr>
          <w:p>
            <w:pPr>
              <w:spacing w:after="0"/>
              <w:rPr>
                <w:rFonts w:ascii="Times New Roman" w:cs="Times New Roman" w:eastAsia="Times New Roman" w:hAnsi="Times New Roman"/>
                <w:sz w:val="20"/>
                <w:szCs w:val="20"/>
                <w:color w:val="0000EE"/>
                <w:w w:val="99"/>
              </w:rPr>
            </w:pPr>
            <w:hyperlink r:id="rId12">
              <w:r>
                <w:rPr>
                  <w:rFonts w:ascii="Times New Roman" w:cs="Times New Roman" w:eastAsia="Times New Roman" w:hAnsi="Times New Roman"/>
                  <w:sz w:val="20"/>
                  <w:szCs w:val="20"/>
                  <w:color w:val="0000EE"/>
                  <w:w w:val="99"/>
                </w:rPr>
                <w:t>Kurata Lance</w:t>
              </w:r>
            </w:hyperlink>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Arcturus Therapeutics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ARCT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Borders>
              <w:bottom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Borders>
              <w:bottom w:val="single" w:sz="8" w:color="0000EE"/>
            </w:tcBorders>
            <w:vMerge w:val="continue"/>
          </w:tcPr>
          <w:p>
            <w:pPr>
              <w:spacing w:after="0"/>
              <w:rPr>
                <w:sz w:val="4"/>
                <w:szCs w:val="4"/>
                <w:color w:val="auto"/>
              </w:rPr>
            </w:pPr>
          </w:p>
        </w:tc>
        <w:tc>
          <w:tcPr>
            <w:tcW w:w="6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1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14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line="133"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ARCTURUS THERAPEUTICS HOLDINGS</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3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1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140" w:type="dxa"/>
            <w:vAlign w:val="bottom"/>
            <w:gridSpan w:val="3"/>
            <w:vMerge w:val="continue"/>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10628 SCIENCE CENTER DRIVE, SUITE 250</w:t>
            </w: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6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33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left="331" w:hanging="331"/>
        <w:spacing w:after="0"/>
        <w:tabs>
          <w:tab w:leader="none" w:pos="331"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7"/>
          <w:szCs w:val="17"/>
          <w:color w:val="0000FF"/>
        </w:rPr>
      </w:pPr>
    </w:p>
    <w:p>
      <w:pPr>
        <w:ind w:left="331" w:right="600"/>
        <w:spacing w:after="0" w:line="253"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2" w:lineRule="exact"/>
        <w:rPr>
          <w:sz w:val="20"/>
          <w:szCs w:val="20"/>
          <w:color w:val="auto"/>
        </w:rPr>
      </w:pPr>
    </w:p>
    <w:p>
      <w:pPr>
        <w:sectPr>
          <w:pgSz w:w="11900" w:h="16838" w:orient="portrait"/>
          <w:cols w:equalWidth="0" w:num="2">
            <w:col w:w="7209" w:space="720"/>
            <w:col w:w="3151"/>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2"/>
                <w:szCs w:val="12"/>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34.57</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06/21/2022</w:t>
            </w:r>
          </w:p>
        </w:tc>
        <w:tc>
          <w:tcPr>
            <w:tcW w:w="1060" w:type="dxa"/>
            <w:vAlign w:val="bottom"/>
          </w:tcPr>
          <w:p>
            <w:pPr>
              <w:spacing w:after="0"/>
              <w:rPr>
                <w:sz w:val="12"/>
                <w:szCs w:val="12"/>
                <w:color w:val="auto"/>
              </w:rPr>
            </w:pPr>
          </w:p>
        </w:tc>
        <w:tc>
          <w:tcPr>
            <w:tcW w:w="80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12/10/2031</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1" w:lineRule="exact"/>
              <w:rPr>
                <w:sz w:val="20"/>
                <w:szCs w:val="20"/>
                <w:color w:val="auto"/>
              </w:rPr>
            </w:pPr>
            <w:r>
              <w:rPr>
                <w:rFonts w:ascii="Times New Roman" w:cs="Times New Roman" w:eastAsia="Times New Roman" w:hAnsi="Times New Roman"/>
                <w:sz w:val="13"/>
                <w:szCs w:val="13"/>
                <w:color w:val="0000FF"/>
              </w:rPr>
              <w:t>50,000</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to purchase shares of common stock conditionally approved by the Board of Directors on December 10, 2021, subject to approval of an amendment to the Company's Amended and Restated 2019 Omnibus Equity Incentive Plan by the Company's stockholders, which approval was obtained at the Company's 2022 Annual Meeting of Stockholders held on June 21, 2022.</w:t>
      </w:r>
    </w:p>
    <w:p>
      <w:pPr>
        <w:spacing w:after="0" w:line="20" w:lineRule="exact"/>
        <w:rPr>
          <w:rFonts w:ascii="Times New Roman" w:cs="Times New Roman" w:eastAsia="Times New Roman" w:hAnsi="Times New Roman"/>
          <w:sz w:val="13"/>
          <w:szCs w:val="13"/>
          <w:color w:val="008000"/>
        </w:rPr>
      </w:pPr>
    </w:p>
    <w:p>
      <w:pPr>
        <w:ind w:left="40" w:right="26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25% on December 10, 2022, the first anniversary of the date this award was conditionally approved by the Board of Directors, and the remainder vest in equal increments on each successive one-month anniversary thereafter for the next thirty-six months.</w:t>
      </w:r>
    </w:p>
    <w:p>
      <w:pPr>
        <w:spacing w:after="0" w:line="2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Lance Kurata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06/23/2022</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0961"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2022-06-23T15:20:29Z</dcterms:created>
  <dcterms:modified xsi:type="dcterms:W3CDTF">2022-06-23T15:20:29Z</dcterms:modified>
</cp:coreProperties>
</file>