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70"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5"/>
            <w:vMerge w:val="restart"/>
          </w:tcPr>
          <w:p>
            <w:pPr>
              <w:jc w:val="center"/>
              <w:ind w:left="36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8"/>
            <w:vMerge w:val="restart"/>
          </w:tcPr>
          <w:p>
            <w:pPr>
              <w:jc w:val="center"/>
              <w:ind w:left="46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jc w:val="right"/>
              <w:ind w:right="158"/>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5"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0" w:type="dxa"/>
            <w:vAlign w:val="bottom"/>
            <w:gridSpan w:val="18"/>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0" w:type="dxa"/>
            <w:vAlign w:val="bottom"/>
            <w:gridSpan w:val="18"/>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11"/>
          </w:tcPr>
          <w:p>
            <w:pPr>
              <w:jc w:val="center"/>
              <w:ind w:right="161"/>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1"/>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FARRELL PETER C</w:t>
              </w:r>
            </w:hyperlink>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60" w:type="dxa"/>
            <w:vAlign w:val="bottom"/>
            <w:gridSpan w:val="18"/>
          </w:tcPr>
          <w:p>
            <w:pPr>
              <w:spacing w:after="0" w:line="170" w:lineRule="exact"/>
              <w:rPr>
                <w:rFonts w:ascii="Arial" w:cs="Arial" w:eastAsia="Arial" w:hAnsi="Arial"/>
                <w:sz w:val="16"/>
                <w:szCs w:val="16"/>
                <w:color w:val="0000EE"/>
              </w:rPr>
            </w:pPr>
            <w:hyperlink r:id="rId9">
              <w:r>
                <w:rPr>
                  <w:rFonts w:ascii="Arial" w:cs="Arial" w:eastAsia="Arial" w:hAnsi="Arial"/>
                  <w:sz w:val="16"/>
                  <w:szCs w:val="16"/>
                  <w:color w:val="0000EE"/>
                </w:rPr>
                <w:t xml:space="preserve">Arcturus Therapeutics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ARCT</w:t>
            </w:r>
            <w:r>
              <w:rPr>
                <w:rFonts w:ascii="Arial" w:cs="Arial" w:eastAsia="Arial" w:hAnsi="Arial"/>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gridSpan w:val="6"/>
            <w:vMerge w:val="continue"/>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400" w:type="dxa"/>
            <w:vAlign w:val="bottom"/>
            <w:gridSpan w:val="4"/>
            <w:vMerge w:val="restart"/>
          </w:tcPr>
          <w:p>
            <w:pPr>
              <w:ind w:left="240"/>
              <w:spacing w:after="0" w:line="227" w:lineRule="exact"/>
              <w:rPr>
                <w:sz w:val="20"/>
                <w:szCs w:val="20"/>
                <w:color w:val="auto"/>
              </w:rPr>
            </w:pPr>
            <w:r>
              <w:rPr>
                <w:rFonts w:ascii="Arial" w:cs="Arial" w:eastAsia="Arial" w:hAnsi="Arial"/>
                <w:sz w:val="21"/>
                <w:szCs w:val="21"/>
                <w:color w:val="auto"/>
              </w:rPr>
              <w:t>]</w:t>
            </w: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3"/>
                <w:szCs w:val="3"/>
                <w:color w:val="auto"/>
              </w:rPr>
            </w:pPr>
          </w:p>
        </w:tc>
        <w:tc>
          <w:tcPr>
            <w:tcW w:w="1480" w:type="dxa"/>
            <w:vAlign w:val="bottom"/>
            <w:gridSpan w:val="7"/>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9"/>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w w:val="98"/>
              </w:rPr>
              <w:t>C/O ARCTURUS THERAPEUTICS HOLDINGS</w:t>
            </w:r>
          </w:p>
        </w:tc>
        <w:tc>
          <w:tcPr>
            <w:tcW w:w="1280" w:type="dxa"/>
            <w:vAlign w:val="bottom"/>
            <w:gridSpan w:val="7"/>
          </w:tcPr>
          <w:p>
            <w:pPr>
              <w:ind w:left="240"/>
              <w:spacing w:after="0"/>
              <w:rPr>
                <w:sz w:val="20"/>
                <w:szCs w:val="20"/>
                <w:color w:val="auto"/>
              </w:rPr>
            </w:pPr>
            <w:r>
              <w:rPr>
                <w:rFonts w:ascii="Arial" w:cs="Arial" w:eastAsia="Arial" w:hAnsi="Arial"/>
                <w:sz w:val="17"/>
                <w:szCs w:val="17"/>
                <w:color w:val="0000FF"/>
              </w:rPr>
              <w:t>08/01/2023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20"/>
              <w:spacing w:after="0" w:line="188" w:lineRule="exact"/>
              <w:rPr>
                <w:sz w:val="20"/>
                <w:szCs w:val="20"/>
                <w:color w:val="auto"/>
              </w:rPr>
            </w:pPr>
            <w:r>
              <w:rPr>
                <w:rFonts w:ascii="Arial" w:cs="Arial" w:eastAsia="Arial" w:hAnsi="Arial"/>
                <w:sz w:val="17"/>
                <w:szCs w:val="17"/>
                <w:color w:val="0000FF"/>
              </w:rPr>
              <w:t>INC.</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11"/>
          </w:tcPr>
          <w:p>
            <w:pPr>
              <w:jc w:val="center"/>
              <w:ind w:right="161"/>
              <w:spacing w:after="0"/>
              <w:rPr>
                <w:sz w:val="20"/>
                <w:szCs w:val="20"/>
                <w:color w:val="auto"/>
              </w:rPr>
            </w:pPr>
            <w:r>
              <w:rPr>
                <w:rFonts w:ascii="Arial" w:cs="Arial" w:eastAsia="Arial" w:hAnsi="Arial"/>
                <w:sz w:val="13"/>
                <w:szCs w:val="13"/>
                <w:color w:val="auto"/>
                <w:w w:val="98"/>
              </w:rPr>
              <w:t>4. If Amendment, Date of Original Filed (Month/Day/Year)</w:t>
            </w:r>
          </w:p>
        </w:tc>
        <w:tc>
          <w:tcPr>
            <w:tcW w:w="24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10628 SCIENCE CENTER DRIVE, SUITE 250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60" w:type="dxa"/>
            <w:vAlign w:val="bottom"/>
            <w:gridSpan w:val="1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 DIEGO</w:t>
            </w: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92121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80" w:type="dxa"/>
            <w:vAlign w:val="bottom"/>
            <w:gridSpan w:val="11"/>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8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7"/>
                <w:szCs w:val="1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0" w:type="dxa"/>
            <w:vAlign w:val="bottom"/>
            <w:gridSpan w:val="2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0" w:type="dxa"/>
            <w:vAlign w:val="bottom"/>
            <w:tcBorders>
              <w:top w:val="single" w:sz="8" w:color="2C2C2C"/>
            </w:tcBorders>
            <w:gridSpan w:val="20"/>
          </w:tcPr>
          <w:p>
            <w:pPr>
              <w:ind w:left="3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20" w:type="dxa"/>
            <w:vAlign w:val="bottom"/>
            <w:gridSpan w:val="6"/>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vMerge w:val="restart"/>
          </w:tcPr>
          <w:p>
            <w:pPr>
              <w:ind w:left="14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5"/>
          </w:tcPr>
          <w:p>
            <w:pPr>
              <w:spacing w:after="0"/>
              <w:rPr>
                <w:sz w:val="7"/>
                <w:szCs w:val="7"/>
                <w:color w:val="auto"/>
              </w:rPr>
            </w:pPr>
          </w:p>
        </w:tc>
        <w:tc>
          <w:tcPr>
            <w:tcW w:w="1440" w:type="dxa"/>
            <w:vAlign w:val="bottom"/>
            <w:tcBorders>
              <w:bottom w:val="single" w:sz="8" w:color="2C2C2C"/>
            </w:tcBorders>
            <w:gridSpan w:val="6"/>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6800" w:type="dxa"/>
            <w:vAlign w:val="bottom"/>
            <w:tcBorders>
              <w:top w:val="single" w:sz="8" w:color="2C2C2C"/>
            </w:tcBorders>
            <w:gridSpan w:val="20"/>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0" w:type="dxa"/>
            <w:vAlign w:val="bottom"/>
            <w:gridSpan w:val="18"/>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tcBorders>
              <w:right w:val="single" w:sz="8" w:color="2C2C2C"/>
            </w:tcBorders>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34.92</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08/01/2023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500" w:type="dxa"/>
            <w:vAlign w:val="bottom"/>
          </w:tcPr>
          <w:p>
            <w:pPr>
              <w:jc w:val="right"/>
              <w:ind w:right="20"/>
              <w:spacing w:after="0"/>
              <w:rPr>
                <w:sz w:val="20"/>
                <w:szCs w:val="20"/>
                <w:color w:val="auto"/>
              </w:rPr>
            </w:pPr>
            <w:r>
              <w:rPr>
                <w:rFonts w:ascii="Arial" w:cs="Arial" w:eastAsia="Arial" w:hAnsi="Arial"/>
                <w:sz w:val="13"/>
                <w:szCs w:val="13"/>
                <w:color w:val="0000FF"/>
              </w:rPr>
              <w:t>11,869</w:t>
            </w:r>
          </w:p>
        </w:tc>
        <w:tc>
          <w:tcPr>
            <w:tcW w:w="320" w:type="dxa"/>
            <w:vAlign w:val="bottom"/>
          </w:tcPr>
          <w:p>
            <w:pPr>
              <w:spacing w:after="0"/>
              <w:rPr>
                <w:sz w:val="17"/>
                <w:szCs w:val="17"/>
                <w:color w:val="auto"/>
              </w:rPr>
            </w:pPr>
          </w:p>
        </w:tc>
        <w:tc>
          <w:tcPr>
            <w:tcW w:w="7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00" w:type="dxa"/>
            <w:vAlign w:val="bottom"/>
            <w:gridSpan w:val="2"/>
          </w:tcPr>
          <w:p>
            <w:pPr>
              <w:jc w:val="right"/>
              <w:ind w:right="22"/>
              <w:spacing w:after="0"/>
              <w:rPr>
                <w:sz w:val="20"/>
                <w:szCs w:val="20"/>
                <w:color w:val="auto"/>
              </w:rPr>
            </w:pPr>
            <w:r>
              <w:rPr>
                <w:rFonts w:ascii="Arial" w:cs="Arial" w:eastAsia="Arial" w:hAnsi="Arial"/>
                <w:sz w:val="13"/>
                <w:szCs w:val="13"/>
                <w:color w:val="0000FF"/>
              </w:rPr>
              <w:t>08/01/2033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spacing w:after="0"/>
              <w:rPr>
                <w:sz w:val="20"/>
                <w:szCs w:val="20"/>
                <w:color w:val="auto"/>
              </w:rPr>
            </w:pPr>
            <w:r>
              <w:rPr>
                <w:rFonts w:ascii="Arial" w:cs="Arial" w:eastAsia="Arial" w:hAnsi="Arial"/>
                <w:sz w:val="17"/>
                <w:szCs w:val="17"/>
                <w:color w:val="0000FF"/>
                <w:w w:val="84"/>
              </w:rPr>
              <w:t>11,869</w:t>
            </w:r>
          </w:p>
        </w:tc>
        <w:tc>
          <w:tcPr>
            <w:tcW w:w="16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jc w:val="right"/>
              <w:spacing w:after="0"/>
              <w:rPr>
                <w:sz w:val="20"/>
                <w:szCs w:val="20"/>
                <w:color w:val="auto"/>
              </w:rPr>
            </w:pPr>
            <w:r>
              <w:rPr>
                <w:rFonts w:ascii="Arial" w:cs="Arial" w:eastAsia="Arial" w:hAnsi="Arial"/>
                <w:sz w:val="13"/>
                <w:szCs w:val="13"/>
                <w:color w:val="0000FF"/>
              </w:rPr>
              <w:t>11,869</w:t>
            </w:r>
          </w:p>
        </w:tc>
        <w:tc>
          <w:tcPr>
            <w:tcW w:w="280" w:type="dxa"/>
            <w:vAlign w:val="bottom"/>
          </w:tcPr>
          <w:p>
            <w:pPr>
              <w:spacing w:after="0"/>
              <w:rPr>
                <w:sz w:val="17"/>
                <w:szCs w:val="17"/>
                <w:color w:val="auto"/>
              </w:rPr>
            </w:pPr>
          </w:p>
        </w:tc>
        <w:tc>
          <w:tcPr>
            <w:tcW w:w="640" w:type="dxa"/>
            <w:vAlign w:val="bottom"/>
          </w:tcPr>
          <w:p>
            <w:pPr>
              <w:jc w:val="right"/>
              <w:ind w:right="158"/>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gridSpan w:val="3"/>
          </w:tcPr>
          <w:p>
            <w:pPr>
              <w:ind w:left="60"/>
              <w:spacing w:after="0" w:line="83"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gridSpan w:val="2"/>
          </w:tcPr>
          <w:p>
            <w:pPr>
              <w:ind w:left="140"/>
              <w:spacing w:after="0" w:line="83"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7"/>
              <w:spacing w:after="0"/>
              <w:rPr>
                <w:sz w:val="20"/>
                <w:szCs w:val="20"/>
                <w:color w:val="auto"/>
              </w:rPr>
            </w:pPr>
            <w:r>
              <w:rPr>
                <w:rFonts w:ascii="Arial" w:cs="Arial" w:eastAsia="Arial" w:hAnsi="Arial"/>
                <w:sz w:val="17"/>
                <w:szCs w:val="17"/>
                <w:color w:val="0000FF"/>
                <w:w w:val="93"/>
              </w:rPr>
              <w:t>3,131</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jc w:val="right"/>
              <w:ind w:right="115"/>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6"/>
                <w:szCs w:val="6"/>
                <w:color w:val="auto"/>
              </w:rPr>
            </w:pPr>
          </w:p>
        </w:tc>
        <w:tc>
          <w:tcPr>
            <w:tcW w:w="1040" w:type="dxa"/>
            <w:vAlign w:val="bottom"/>
            <w:gridSpan w:val="2"/>
            <w:vMerge w:val="restart"/>
          </w:tcPr>
          <w:p>
            <w:pPr>
              <w:jc w:val="right"/>
              <w:ind w:right="95"/>
              <w:spacing w:after="0" w:line="144" w:lineRule="exact"/>
              <w:rPr>
                <w:sz w:val="20"/>
                <w:szCs w:val="20"/>
                <w:color w:val="auto"/>
              </w:rPr>
            </w:pPr>
            <w:r>
              <w:rPr>
                <w:rFonts w:ascii="Arial" w:cs="Arial" w:eastAsia="Arial" w:hAnsi="Arial"/>
                <w:sz w:val="13"/>
                <w:szCs w:val="13"/>
                <w:color w:val="0000FF"/>
              </w:rPr>
              <w:t>08/01/2023</w:t>
            </w: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3"/>
            <w:vMerge w:val="restart"/>
          </w:tcPr>
          <w:p>
            <w:pPr>
              <w:ind w:left="40"/>
              <w:spacing w:after="0" w:line="144"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6"/>
                <w:szCs w:val="6"/>
                <w:color w:val="auto"/>
              </w:rPr>
            </w:pPr>
          </w:p>
        </w:tc>
        <w:tc>
          <w:tcPr>
            <w:tcW w:w="500" w:type="dxa"/>
            <w:vAlign w:val="bottom"/>
            <w:vMerge w:val="restart"/>
          </w:tcPr>
          <w:p>
            <w:pPr>
              <w:jc w:val="right"/>
              <w:ind w:right="40"/>
              <w:spacing w:after="0" w:line="144" w:lineRule="exact"/>
              <w:rPr>
                <w:sz w:val="20"/>
                <w:szCs w:val="20"/>
                <w:color w:val="auto"/>
              </w:rPr>
            </w:pPr>
            <w:r>
              <w:rPr>
                <w:rFonts w:ascii="Arial" w:cs="Arial" w:eastAsia="Arial" w:hAnsi="Arial"/>
                <w:sz w:val="13"/>
                <w:szCs w:val="13"/>
                <w:color w:val="0000FF"/>
              </w:rPr>
              <w:t>3,131</w:t>
            </w:r>
          </w:p>
        </w:tc>
        <w:tc>
          <w:tcPr>
            <w:tcW w:w="320" w:type="dxa"/>
            <w:vAlign w:val="bottom"/>
          </w:tcPr>
          <w:p>
            <w:pPr>
              <w:spacing w:after="0"/>
              <w:rPr>
                <w:sz w:val="6"/>
                <w:szCs w:val="6"/>
                <w:color w:val="auto"/>
              </w:rPr>
            </w:pPr>
          </w:p>
        </w:tc>
        <w:tc>
          <w:tcPr>
            <w:tcW w:w="7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6"/>
                <w:szCs w:val="6"/>
                <w:color w:val="auto"/>
              </w:rPr>
            </w:pPr>
          </w:p>
        </w:tc>
        <w:tc>
          <w:tcPr>
            <w:tcW w:w="480" w:type="dxa"/>
            <w:vAlign w:val="bottom"/>
            <w:vMerge w:val="restart"/>
          </w:tcPr>
          <w:p>
            <w:pPr>
              <w:jc w:val="right"/>
              <w:ind w:right="262"/>
              <w:spacing w:after="0"/>
              <w:rPr>
                <w:sz w:val="20"/>
                <w:szCs w:val="20"/>
                <w:color w:val="auto"/>
              </w:rPr>
            </w:pPr>
            <w:r>
              <w:rPr>
                <w:rFonts w:ascii="Arial" w:cs="Arial" w:eastAsia="Arial" w:hAnsi="Arial"/>
                <w:sz w:val="11"/>
                <w:szCs w:val="11"/>
                <w:color w:val="008000"/>
              </w:rPr>
              <w:t>(3)</w:t>
            </w:r>
          </w:p>
        </w:tc>
        <w:tc>
          <w:tcPr>
            <w:tcW w:w="660" w:type="dxa"/>
            <w:vAlign w:val="bottom"/>
            <w:gridSpan w:val="2"/>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vMerge w:val="restart"/>
          </w:tcPr>
          <w:p>
            <w:pPr>
              <w:jc w:val="right"/>
              <w:spacing w:after="0" w:line="144" w:lineRule="exact"/>
              <w:rPr>
                <w:sz w:val="20"/>
                <w:szCs w:val="20"/>
                <w:color w:val="auto"/>
              </w:rPr>
            </w:pPr>
            <w:r>
              <w:rPr>
                <w:rFonts w:ascii="Arial" w:cs="Arial" w:eastAsia="Arial" w:hAnsi="Arial"/>
                <w:sz w:val="13"/>
                <w:szCs w:val="13"/>
                <w:color w:val="0000FF"/>
              </w:rPr>
              <w:t>3,131</w:t>
            </w:r>
          </w:p>
        </w:tc>
        <w:tc>
          <w:tcPr>
            <w:tcW w:w="280" w:type="dxa"/>
            <w:vAlign w:val="bottom"/>
          </w:tcPr>
          <w:p>
            <w:pPr>
              <w:spacing w:after="0"/>
              <w:rPr>
                <w:sz w:val="6"/>
                <w:szCs w:val="6"/>
                <w:color w:val="auto"/>
              </w:rPr>
            </w:pPr>
          </w:p>
        </w:tc>
        <w:tc>
          <w:tcPr>
            <w:tcW w:w="640" w:type="dxa"/>
            <w:vAlign w:val="bottom"/>
            <w:vMerge w:val="restart"/>
          </w:tcPr>
          <w:p>
            <w:pPr>
              <w:jc w:val="right"/>
              <w:ind w:right="158"/>
              <w:spacing w:after="0" w:line="144"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-6256020</wp:posOffset>
            </wp:positionV>
            <wp:extent cx="7045325" cy="6269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2693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28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underlying the option vest monthly over a one year period from the date of grant; provided however, that the remaining unvested balance will vest and become fully exercisable at the Issuer's 2024 annual meeting of stockholders. This represents a portion of the 2023 annual grant to the Reporting Person as a member of the Board of Directors of the Issuer.</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deferred stock unit is economically equivalent to one share of the Issuer's common stock.</w:t>
      </w:r>
    </w:p>
    <w:p>
      <w:pPr>
        <w:spacing w:after="0" w:line="46" w:lineRule="exact"/>
        <w:rPr>
          <w:rFonts w:ascii="Arial" w:cs="Arial" w:eastAsia="Arial" w:hAnsi="Arial"/>
          <w:sz w:val="13"/>
          <w:szCs w:val="13"/>
          <w:color w:val="008000"/>
        </w:rPr>
      </w:pPr>
    </w:p>
    <w:p>
      <w:pPr>
        <w:ind w:left="40" w:right="140" w:firstLine="4"/>
        <w:spacing w:after="0" w:line="239"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underlying the deferred stock units shall vest at the Issuer's 2024 annual meeting of stockholders. The shares underlying the deferred stock units will be issued on (or as soon as reasonably practicable following) the earlier of the Reporting Person's separation from service or a change in ownership of the Issuer or a substantial portion of its assets or a change in effective control of the Issuer within the meaning of regulations issued under Section 409A of the Internal Revenue Code. This represents a portion of the 2023 annual grant to the Reporting Person as a member of the Board of Directors of the Issuer.</w:t>
      </w:r>
    </w:p>
    <w:p>
      <w:pPr>
        <w:spacing w:after="0" w:line="4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w w:val="98"/>
              </w:rPr>
              <w:t>/s/ Ilan Katz, attorney-in-fact</w:t>
            </w:r>
          </w:p>
        </w:tc>
        <w:tc>
          <w:tcPr>
            <w:tcW w:w="880" w:type="dxa"/>
            <w:vAlign w:val="bottom"/>
            <w:gridSpan w:val="2"/>
          </w:tcPr>
          <w:p>
            <w:pPr>
              <w:ind w:left="100"/>
              <w:spacing w:after="0"/>
              <w:rPr>
                <w:sz w:val="20"/>
                <w:szCs w:val="20"/>
                <w:color w:val="auto"/>
              </w:rPr>
            </w:pPr>
            <w:r>
              <w:rPr>
                <w:rFonts w:ascii="Arial" w:cs="Arial" w:eastAsia="Arial" w:hAnsi="Arial"/>
                <w:sz w:val="17"/>
                <w:szCs w:val="17"/>
                <w:color w:val="0000FF"/>
                <w:w w:val="89"/>
              </w:rPr>
              <w:t>08/03/2023</w:t>
            </w:r>
          </w:p>
        </w:tc>
      </w:tr>
      <w:tr>
        <w:trPr>
          <w:trHeight w:val="227"/>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48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6102" TargetMode="External"/><Relationship Id="rId9"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2023-08-03T15:47:15Z</dcterms:created>
  <dcterms:modified xsi:type="dcterms:W3CDTF">2023-08-03T15:47:15Z</dcterms:modified>
</cp:coreProperties>
</file>