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June 26,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6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22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6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22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2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12529"/>
              </w:rPr>
              <w:t>10285 Science Center Drive</w:t>
            </w:r>
          </w:p>
        </w:tc>
        <w:tc>
          <w:tcPr>
            <w:tcW w:w="222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222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22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5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ARCT</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June 26, 2026, Arcturus Therapeutics, Inc. (“</w:t>
      </w:r>
      <w:r>
        <w:rPr>
          <w:rFonts w:ascii="Times New Roman" w:cs="Times New Roman" w:eastAsia="Times New Roman" w:hAnsi="Times New Roman"/>
          <w:sz w:val="18"/>
          <w:szCs w:val="18"/>
          <w:u w:val="single" w:color="auto"/>
          <w:color w:val="auto"/>
        </w:rPr>
        <w:t>Arcturus</w:t>
      </w:r>
      <w:r>
        <w:rPr>
          <w:rFonts w:ascii="Times New Roman" w:cs="Times New Roman" w:eastAsia="Times New Roman" w:hAnsi="Times New Roman"/>
          <w:sz w:val="18"/>
          <w:szCs w:val="18"/>
          <w:color w:val="auto"/>
        </w:rPr>
        <w:t>”), a wholly-owned subsidiary of Arcturus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series of agreements with Thermo Fisher Scientific Inc. (“</w:t>
      </w:r>
      <w:r>
        <w:rPr>
          <w:rFonts w:ascii="Times New Roman" w:cs="Times New Roman" w:eastAsia="Times New Roman" w:hAnsi="Times New Roman"/>
          <w:sz w:val="18"/>
          <w:szCs w:val="18"/>
          <w:u w:val="single" w:color="auto"/>
          <w:color w:val="auto"/>
        </w:rPr>
        <w:t>Thermo Fisher</w:t>
      </w:r>
      <w:r>
        <w:rPr>
          <w:rFonts w:ascii="Times New Roman" w:cs="Times New Roman" w:eastAsia="Times New Roman" w:hAnsi="Times New Roman"/>
          <w:sz w:val="18"/>
          <w:szCs w:val="18"/>
          <w:color w:val="auto"/>
        </w:rPr>
        <w:t>”) and certain of Thermo Fisher’s affiliates to establish a strategic collaboration for the provision of contract development and manufacturing organization (“</w:t>
      </w:r>
      <w:r>
        <w:rPr>
          <w:rFonts w:ascii="Times New Roman" w:cs="Times New Roman" w:eastAsia="Times New Roman" w:hAnsi="Times New Roman"/>
          <w:sz w:val="18"/>
          <w:szCs w:val="18"/>
          <w:u w:val="single" w:color="auto"/>
          <w:color w:val="auto"/>
        </w:rPr>
        <w:t>CDMO</w:t>
      </w:r>
      <w:r>
        <w:rPr>
          <w:rFonts w:ascii="Times New Roman" w:cs="Times New Roman" w:eastAsia="Times New Roman" w:hAnsi="Times New Roman"/>
          <w:sz w:val="18"/>
          <w:szCs w:val="18"/>
          <w:color w:val="auto"/>
        </w:rPr>
        <w:t>”) and contract research organization (“</w:t>
      </w:r>
      <w:r>
        <w:rPr>
          <w:rFonts w:ascii="Times New Roman" w:cs="Times New Roman" w:eastAsia="Times New Roman" w:hAnsi="Times New Roman"/>
          <w:sz w:val="18"/>
          <w:szCs w:val="18"/>
          <w:u w:val="single" w:color="auto"/>
          <w:color w:val="auto"/>
        </w:rPr>
        <w:t>CRO</w:t>
      </w:r>
      <w:r>
        <w:rPr>
          <w:rFonts w:ascii="Times New Roman" w:cs="Times New Roman" w:eastAsia="Times New Roman" w:hAnsi="Times New Roman"/>
          <w:sz w:val="18"/>
          <w:szCs w:val="18"/>
          <w:color w:val="auto"/>
        </w:rPr>
        <w:t>”) services in connection with the development of ARCT-032, the Company’s investigational mRNA therapeutic for cystic fibrosis (“</w:t>
      </w:r>
      <w:r>
        <w:rPr>
          <w:rFonts w:ascii="Times New Roman" w:cs="Times New Roman" w:eastAsia="Times New Roman" w:hAnsi="Times New Roman"/>
          <w:sz w:val="18"/>
          <w:szCs w:val="18"/>
          <w:u w:val="single" w:color="auto"/>
          <w:color w:val="auto"/>
        </w:rPr>
        <w:t>CF</w:t>
      </w:r>
      <w:r>
        <w:rPr>
          <w:rFonts w:ascii="Times New Roman" w:cs="Times New Roman" w:eastAsia="Times New Roman" w:hAnsi="Times New Roman"/>
          <w:sz w:val="18"/>
          <w:szCs w:val="18"/>
          <w:color w:val="auto"/>
        </w:rPr>
        <w:t>”). The collaboration is structured through (i) a Master Services Agreement (the “</w:t>
      </w:r>
      <w:r>
        <w:rPr>
          <w:rFonts w:ascii="Times New Roman" w:cs="Times New Roman" w:eastAsia="Times New Roman" w:hAnsi="Times New Roman"/>
          <w:sz w:val="18"/>
          <w:szCs w:val="18"/>
          <w:u w:val="single" w:color="auto"/>
          <w:color w:val="auto"/>
        </w:rPr>
        <w:t>MSA</w:t>
      </w:r>
      <w:r>
        <w:rPr>
          <w:rFonts w:ascii="Times New Roman" w:cs="Times New Roman" w:eastAsia="Times New Roman" w:hAnsi="Times New Roman"/>
          <w:sz w:val="18"/>
          <w:szCs w:val="18"/>
          <w:color w:val="auto"/>
        </w:rPr>
        <w:t>”) between Thermo Fisher and Arcturus and (ii) a Project Addendum for Development Services between Patheon UK Limited, a Thermo Fisher affiliate (“</w:t>
      </w:r>
      <w:r>
        <w:rPr>
          <w:rFonts w:ascii="Times New Roman" w:cs="Times New Roman" w:eastAsia="Times New Roman" w:hAnsi="Times New Roman"/>
          <w:sz w:val="18"/>
          <w:szCs w:val="18"/>
          <w:u w:val="single" w:color="auto"/>
          <w:color w:val="auto"/>
        </w:rPr>
        <w:t>Patheon</w:t>
      </w:r>
      <w:r>
        <w:rPr>
          <w:rFonts w:ascii="Times New Roman" w:cs="Times New Roman" w:eastAsia="Times New Roman" w:hAnsi="Times New Roman"/>
          <w:sz w:val="18"/>
          <w:szCs w:val="18"/>
          <w:color w:val="auto"/>
        </w:rPr>
        <w:t>”), and Arcturus (the “</w:t>
      </w:r>
      <w:r>
        <w:rPr>
          <w:rFonts w:ascii="Times New Roman" w:cs="Times New Roman" w:eastAsia="Times New Roman" w:hAnsi="Times New Roman"/>
          <w:sz w:val="18"/>
          <w:szCs w:val="18"/>
          <w:u w:val="single" w:color="auto"/>
          <w:color w:val="auto"/>
        </w:rPr>
        <w:t>Project Agreement</w:t>
      </w:r>
      <w:r>
        <w:rPr>
          <w:rFonts w:ascii="Times New Roman" w:cs="Times New Roman" w:eastAsia="Times New Roman" w:hAnsi="Times New Roman"/>
          <w:sz w:val="18"/>
          <w:szCs w:val="18"/>
          <w:color w:val="auto"/>
        </w:rPr>
        <w:t>”, and together with the MSA,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MSA establishes the framework under which Thermo Fisher and its affiliates will provide CRO and CDMO services to Arcturus from time to time pursuant to the Project Agreement and any additional individual project addendums. CRO services will be provided through PPD, Inc., Thermo Fisher’s affiliated contract research organization (“</w:t>
      </w:r>
      <w:r>
        <w:rPr>
          <w:rFonts w:ascii="Times New Roman" w:cs="Times New Roman" w:eastAsia="Times New Roman" w:hAnsi="Times New Roman"/>
          <w:sz w:val="18"/>
          <w:szCs w:val="18"/>
          <w:u w:val="single" w:color="auto"/>
          <w:color w:val="auto"/>
        </w:rPr>
        <w:t>PPD</w:t>
      </w:r>
      <w:r>
        <w:rPr>
          <w:rFonts w:ascii="Times New Roman" w:cs="Times New Roman" w:eastAsia="Times New Roman" w:hAnsi="Times New Roman"/>
          <w:sz w:val="18"/>
          <w:szCs w:val="18"/>
          <w:color w:val="auto"/>
        </w:rPr>
        <w:t>”), and CDMO services will be provided through Thermo Fisher’s Pharma Services division. Under the MSA, Thermo Fisher will contribute up to $40 million of clinical manufacturing services for ARCT-032, and Arcturus will engage PPD for up to $40 million in CRO services. Upon regulatory approval of ARCT-032, Thermo Fisher would receive exclusive commercial manufacturing rights for the product for a specified duration, on terms to be set forth in a definitive commercial supply agreement to be negotiated in good faith by the parties. Arcturus may engage an alternative manufacturer only if Thermo Fisher is unable to supply, limited solely to the quantities and duration necessary to address the supply shortfall. The MSA has an initial term of five years from the effective date and automatically renews for successive one-year periods unless either party provides at least 90 days’ prior written notice of non-renewal.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Agreement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Project Agreement, the services to be provided include technical transfer, engineering batches, manufacture of clinical trial materials, manufacture of process performance qualification batches, open-label extension batches, drug product fill and finish, product release, and stability studies. The Project Agreement remains in effect from its effective date until the completion of all services or earlier termination under the MSA.</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MSA and the Project Agreement, do not purport to be complete and are qualified in their entirety by reference to the full text of each such agreement, copies of which the Company intends to file with the Securities and Exchange Commission (the “SEC”) as exhibits to the Company’s Quarterly Report on Form 10-Q for the quarter ending June 30, 2026.</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July 2, 2026, the Company issued a press release announcing the transactions described herein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 copy of the Press Release is furnished herewith as Exhibit 99.1.</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 except as shall be expressly set forth by specific reference in any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6"/>
                <w:szCs w:val="16"/>
                <w:color w:val="auto"/>
              </w:rPr>
            </w:pP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July 2, 2026</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320" w:type="dxa"/>
            <w:vAlign w:val="bottom"/>
          </w:tcPr>
          <w:p>
            <w:pPr>
              <w:ind w:left="6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3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Arcturus Therapeutics Announces Strategic Collaboration with Thermo Fisher Scientific to Advance ARCT-032 for Cystic Fibrosis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Strategic manufacturing agreement includes Phase 3 clinical supply and commercial manufacturing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 DIEGO, Calif. --(BUSINESS WIRE)--July 2, 2026--</w:t>
      </w:r>
      <w:r>
        <w:rPr>
          <w:rFonts w:ascii="Times New Roman" w:cs="Times New Roman" w:eastAsia="Times New Roman" w:hAnsi="Times New Roman"/>
          <w:sz w:val="18"/>
          <w:szCs w:val="18"/>
          <w:color w:val="333333"/>
        </w:rPr>
        <w:t>Arcturus Therapeutics Holdings Inc. (“Arcturus”, Nasdaq: ARCT), a messenger RNA medicines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company focused on the development of liver and respiratory rare disease therapeutics, today announced </w:t>
      </w:r>
      <w:r>
        <w:rPr>
          <w:rFonts w:ascii="Times New Roman" w:cs="Times New Roman" w:eastAsia="Times New Roman" w:hAnsi="Times New Roman"/>
          <w:sz w:val="18"/>
          <w:szCs w:val="18"/>
          <w:color w:val="000000"/>
        </w:rPr>
        <w:t>a strategic collaboration with Thermo Fisher</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Scientific, the world leader in serving science, to help support the Phase 3 development and potential commercialization of ARCT-032, Arcturus’ investigational mRNA therapy for Cystic Fibrosis.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collaboration will leverage Thermo Fisher's Accelerator™ Drug Development solutions, combining manufacturing and clinical research capabilities to support Phase 3 development through potential commercialization. Thermo Fisher will provide integrated manufacturing, clinical research, and commercial readiness services to help accelerate development of ARCT-032 while Arcturus continues to advance the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collaborate with Thermo Fisher to utilize its impressive CDMO capabilities, global infrastructure, and proven ability to support complex mRNA programs from Phase 3 through potential commercialization,” said Joseph Payne, President and Chief Executive Officer of Arcturus Therapeutics. “Their capabilities are aligned with Arcturus’ goal of efficiently advancing our cystic fibrosis program into Phase 3 and preparing for potential commercial supply.”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innovators increasingly seek strategic collaborators that can support complex development programs across clinical and commercial stages,” said Mike Shafer, Executive Vice President and President, Biopharma Services, Thermo Fisher Scientific. “Through Accelerator™ Drug Development, Thermo Fisher brings together manufacturing, clinical research, and commercialization expertise to help customers simplify development, reduce operational complexity, and accelerate the delivery of innovative therapies to patients. Our collaboration with Arcturus demonstrates the value of this integrated model.”</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agreement, Thermo Fisher will provide Phase 3 manufacturing, clinical research, and related services. If Phase 2 yields positive results, Arcturus expects to conduct its Phase 3 program through Thermo Fisher's PPD™ clinical research business. Subject to regulatory approval of ARCT-032, Thermo Fisher will receive exclusive commercial manufacturing rights under a separate commercial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About Arcturus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33333"/>
        </w:rPr>
        <w:t xml:space="preserve">Founded in 2013 and based in San Diego, California, Arcturus Therapeutics Holdings Inc. (Nasdaq: ARCT) is a messenger RNA medicines company focused on the development of liver and respiratory rare disease therapeutics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with CSL Seqirus, U.S. BARDA for pandemic flu and a joint venture in Japan, ARCALIS, focused on the manufacture of mRNA vaccines and therapeutics. Arcturus’ pipeline includes RNA therapeutic candidates to potentially treat cystic fibrosis (CF) and ornithine transcarbamylase (OTC) deficiency along with its partnered mRNA vaccine programs for SARS-CoV-2 (COVID-19) and influenza. Arcturus’ versatile RNA therapeutics platforms can be applied toward multiple types of nucleic acid medicines including messenger RNA, small interfering RNA (siRNA), circular RNA, antisense RNA, self-amplifying RNA, DNA, and gene editing therapeutics. Arcturus' technologies are covered by its extensive patent portfolio (over 500 patents and patent applications in the U.S., Europe, Japan, China, and other countries). For more information, visit </w:t>
      </w:r>
      <w:r>
        <w:rPr>
          <w:rFonts w:ascii="Times New Roman" w:cs="Times New Roman" w:eastAsia="Times New Roman" w:hAnsi="Times New Roman"/>
          <w:sz w:val="18"/>
          <w:szCs w:val="18"/>
          <w:u w:val="single" w:color="auto"/>
          <w:color w:val="000000"/>
        </w:rPr>
        <w:t>www.ArcturusRx.com</w:t>
      </w:r>
      <w:r>
        <w:rPr>
          <w:rFonts w:ascii="Times New Roman" w:cs="Times New Roman" w:eastAsia="Times New Roman" w:hAnsi="Times New Roman"/>
          <w:sz w:val="18"/>
          <w:szCs w:val="18"/>
          <w:color w:val="333333"/>
        </w:rPr>
        <w:t xml:space="preserve">. Please connect with us on </w:t>
      </w:r>
      <w:r>
        <w:rPr>
          <w:rFonts w:ascii="Times New Roman" w:cs="Times New Roman" w:eastAsia="Times New Roman" w:hAnsi="Times New Roman"/>
          <w:sz w:val="18"/>
          <w:szCs w:val="18"/>
          <w:u w:val="single" w:color="auto"/>
          <w:color w:val="000000"/>
        </w:rPr>
        <w:t>X</w:t>
      </w:r>
      <w:r>
        <w:rPr>
          <w:rFonts w:ascii="Times New Roman" w:cs="Times New Roman" w:eastAsia="Times New Roman" w:hAnsi="Times New Roman"/>
          <w:sz w:val="18"/>
          <w:szCs w:val="18"/>
          <w:color w:val="333333"/>
        </w:rPr>
        <w:t xml:space="preserve"> and </w:t>
      </w:r>
      <w:r>
        <w:rPr>
          <w:rFonts w:ascii="Times New Roman" w:cs="Times New Roman" w:eastAsia="Times New Roman" w:hAnsi="Times New Roman"/>
          <w:sz w:val="18"/>
          <w:szCs w:val="18"/>
          <w:u w:val="single" w:color="auto"/>
          <w:color w:val="000000"/>
        </w:rPr>
        <w:t>LinkedIn</w:t>
      </w:r>
      <w:r>
        <w:rPr>
          <w:rFonts w:ascii="Times New Roman" w:cs="Times New Roman" w:eastAsia="Times New Roman" w:hAnsi="Times New Roman"/>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likelihood of continuation of and positive results of the ongoing Phase 2 clinical of ARCT-032, the likelihood, timing of and ability to initiate a Phase 3 of ARCT-032, commercialization potential of ARCT-032, the likelihood of successful collaboration with Thermo Fisher on the strategic collaboration, the likelihood that the Company and Thermo Fisher will be able to agree upon ancillary agreements related to the collaboration, including commercial supply terms, likelihood of regulatory approval of ARCT-032, the potential commercial supply of ARCT-032,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U.S. Securities and Exchange Commission (the “SEC”),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Arcturus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Public Relations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VP, Head of IR/PR/Marketing</w:t>
      </w:r>
    </w:p>
    <w:p>
      <w:pPr>
        <w:spacing w:after="0" w:line="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900-2682</w:t>
      </w:r>
    </w:p>
    <w:p>
      <w:pPr>
        <w:spacing w:after="0" w:line="9" w:lineRule="exact"/>
        <w:rPr>
          <w:rFonts w:ascii="Times New Roman" w:cs="Times New Roman" w:eastAsia="Times New Roman" w:hAnsi="Times New Roman"/>
          <w:sz w:val="18"/>
          <w:szCs w:val="18"/>
          <w:color w:val="333333"/>
        </w:rPr>
      </w:pPr>
    </w:p>
    <w:p>
      <w:pPr>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u w:val="single" w:color="auto"/>
          <w:color w:val="auto"/>
        </w:rPr>
        <w:t>IR@ArcturusRx.com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5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2026-07-02T06:08:13Z</dcterms:created>
  <dcterms:modified xsi:type="dcterms:W3CDTF">2026-07-02T06:08:13Z</dcterms:modified>
</cp:coreProperties>
</file>