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0"/>
          <w:szCs w:val="20"/>
          <w:color w:val="auto"/>
        </w:rPr>
        <w:t>Form 6-K</w:t>
      </w:r>
    </w:p>
    <w:p>
      <w:pPr>
        <w:spacing w:after="0" w:line="21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August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20"/>
          <w:szCs w:val="20"/>
          <w:u w:val="single" w:color="auto"/>
          <w:color w:val="auto"/>
        </w:rPr>
        <w:t>ALCOBRA LTD.</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 w:name="page2"/>
    <w:bookmarkEnd w:id="1"/>
    <w:p>
      <w:pPr>
        <w:ind w:right="6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August 30, 2016, announcing its financial results for the second quarter ended June 30, 2016.</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GAAP financial statements in this Form 6-K of the registrant are incorporated by reference into the Registration Statement on Forms F-3 (File No. 333-209960) and Forms S-8 (File Nos.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August 30, 2016, announcing its financial results for the second quarter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8"/>
          <w:szCs w:val="18"/>
          <w:color w:val="auto"/>
        </w:rPr>
        <w:t>By:</w:t>
        <w:tab/>
        <w:t>/s/ Dr. Tomer Berkovitz</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43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Chief Financial Officer and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0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0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06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773-463-4211</w:t>
            </w:r>
          </w:p>
        </w:tc>
        <w:tc>
          <w:tcPr>
            <w:tcW w:w="3060" w:type="dxa"/>
            <w:vAlign w:val="bottom"/>
          </w:tcPr>
          <w:p>
            <w:pPr>
              <w:ind w:left="920"/>
              <w:spacing w:after="0"/>
              <w:rPr>
                <w:sz w:val="20"/>
                <w:szCs w:val="20"/>
                <w:color w:val="auto"/>
              </w:rPr>
            </w:pPr>
            <w:r>
              <w:rPr>
                <w:rFonts w:ascii="Arial" w:cs="Arial" w:eastAsia="Arial" w:hAnsi="Arial"/>
                <w:sz w:val="18"/>
                <w:szCs w:val="18"/>
                <w:color w:val="auto"/>
              </w:rPr>
              <w:t>+972-72 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0000FF"/>
              </w:rPr>
              <w:t>mikebeyer@sambrown.com</w:t>
            </w:r>
          </w:p>
        </w:tc>
        <w:tc>
          <w:tcPr>
            <w:tcW w:w="3060" w:type="dxa"/>
            <w:vAlign w:val="bottom"/>
          </w:tcPr>
          <w:p>
            <w:pPr>
              <w:ind w:left="92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ALCOBRA ANNOUNCES SECOND QUARTER 2016 FINANCIAL RESULTS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PROVIDES CORPORATE UPDATE</w:t>
      </w:r>
    </w:p>
    <w:p>
      <w:pPr>
        <w:spacing w:after="0" w:line="200" w:lineRule="exact"/>
        <w:rPr>
          <w:sz w:val="20"/>
          <w:szCs w:val="20"/>
          <w:color w:val="auto"/>
        </w:rPr>
      </w:pPr>
    </w:p>
    <w:p>
      <w:pPr>
        <w:spacing w:after="0" w:line="216" w:lineRule="exact"/>
        <w:rPr>
          <w:sz w:val="20"/>
          <w:szCs w:val="20"/>
          <w:color w:val="auto"/>
        </w:rPr>
      </w:pPr>
    </w:p>
    <w:p>
      <w:pPr>
        <w:ind w:left="2340" w:hanging="404"/>
        <w:spacing w:after="0"/>
        <w:tabs>
          <w:tab w:leader="none" w:pos="234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Conference Call &amp; Webcast August 30th at 8:30 a.m. Eastern Time/5:30 a.m. Pacific Time</w:t>
      </w: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Tel Aviv, Israel – August 30, 2016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patients with cognitive disorders, including Attention Deficit Hyperactivity Disorder (ADHD) and Fragile X Syndrome, today announced financial results for the three and six months ended June 30, 2016,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Ended June 30, 2016 Financial Results: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second quarter 2016 were $5.9 million, compared to $5.2 million in the second quarter 2015.</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expenses, excluding non-cash stock based compensation of $0.6 million, in the second quarter 2016 were $5.3 million, compared with $4.8 million in the second quarter 2015.</w:t>
      </w:r>
    </w:p>
    <w:p>
      <w:pPr>
        <w:ind w:left="340" w:right="10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Research and development (R&amp;D) expenses in the second quarter 2016 were $4.2 million, compared with $3.7 million in the second quarter 2015. R&amp;D expenses consist primarily of costs associated with the conduct of Alcobra’s Phase III Adult ADHD clinical study named MEASURE.</w:t>
      </w: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and administrative (G&amp;A) expenses in the second quarter 2016 were $1.4 million, compared with $1.2 million in the second quarter 2015.</w:t>
      </w:r>
    </w:p>
    <w:p>
      <w:pPr>
        <w:spacing w:after="0" w:line="20" w:lineRule="exact"/>
        <w:rPr>
          <w:rFonts w:ascii="Arial" w:cs="Arial" w:eastAsia="Arial" w:hAnsi="Arial"/>
          <w:sz w:val="17"/>
          <w:szCs w:val="17"/>
          <w:color w:val="auto"/>
        </w:rPr>
      </w:pPr>
    </w:p>
    <w:p>
      <w:pPr>
        <w:ind w:left="340" w:right="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marketable securities, and deposits totaled $61.1 million at June 30, 2016, compared with $65.2 million at March 31, 2016 and $69.7 million at the end of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Corporate Updates:</w:t>
      </w:r>
    </w:p>
    <w:p>
      <w:pPr>
        <w:spacing w:after="0" w:line="27" w:lineRule="exact"/>
        <w:rPr>
          <w:sz w:val="20"/>
          <w:szCs w:val="20"/>
          <w:color w:val="auto"/>
        </w:rPr>
      </w:pPr>
    </w:p>
    <w:p>
      <w:pPr>
        <w:ind w:left="340" w:right="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Alcobra is currently enrolling subjects into the MEASURE study (MDX Evaluation in Adults – Study of Response and Efficacy). The MEASURE study is Alcobra’s second Phase III study of Metadoxine Extended Release (MDX) in 750 adults with ADHD.</w:t>
      </w:r>
    </w:p>
    <w:p>
      <w:pPr>
        <w:ind w:left="340" w:right="30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718 subjects have been screened to date in the MEASURE study, with 474 subjects already enrolled or at a post-screening visit. With a current rate of close to 150 screenings per month, Alcobra expects to complete enrollment in this study in 2016 and release data in the first quarter of 2017.</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Alcobra expects to begin enrollment in the first of two registration studies with MDX in pediatric ADHD in the fourth quarter of 2016.</w:t>
      </w:r>
    </w:p>
    <w:p>
      <w:pPr>
        <w:spacing w:after="0" w:line="9" w:lineRule="exact"/>
        <w:rPr>
          <w:rFonts w:ascii="Arial" w:cs="Arial" w:eastAsia="Arial" w:hAnsi="Arial"/>
          <w:sz w:val="18"/>
          <w:szCs w:val="18"/>
          <w:color w:val="auto"/>
        </w:rPr>
      </w:pPr>
    </w:p>
    <w:p>
      <w:pPr>
        <w:ind w:left="340" w:right="16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Alcobra is continuing discussions with the FDA on a pivotal Phase III study in adolescents and adult subjects with Fragile X Syndrome. MDX has previously shown a benefit on Daily Living Skills in a placebo-controlled Phase II study in this population. The European Commission recently granted orphan drug designation to MDX for the treatment of Fragile X. The FDA previously granted orphan drug designation and Fast Track designation to MDX for the treatment of Fragile X Syndrome.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Tuesday, August 30, 2016 @ 8:30 a.m. Eastern Time</w:t>
      </w:r>
    </w:p>
    <w:p>
      <w:pPr>
        <w:spacing w:after="0" w:line="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22966106</w:t>
      </w:r>
    </w:p>
    <w:p>
      <w:pPr>
        <w:spacing w:after="0" w:line="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0000FF"/>
        </w:rPr>
        <w:t>http://www.alcobra-pharma.com/events.cfm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Replays available through September 13, 2016</w:t>
      </w:r>
    </w:p>
    <w:p>
      <w:pPr>
        <w:spacing w:after="0" w:line="23"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22966106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MDX, a proprietary drug candidate, to treat cognitive disorders including ADHD and Fragile X Syndrome.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and other Federal securities laws.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enrollment of subjects to its clinical studies and expected timing of reporting results of such studies, design of future clinical studies and content of discussions with the FDA and possible positive outcomes of such discussions.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Also, while Alcobra has received Fast Track designation for MDX for the treatment of Fragile X Syndrome, the company cannot guarantee that it will be able to maintain such designation due to reasons within or outside of its control. The forward-looking statements contained or implied in this press release are subject to other risks and uncertainties, including those discussed under the heading "Risk Factors" in Alcobra Ltd.'s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11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8"/>
              </w:rPr>
              <w:t>(unaudited)</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8"/>
              </w:rPr>
              <w:t>(unaudited)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6"/>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1,402</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2,860</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5,918</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Tax on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80" w:type="dxa"/>
            <w:vAlign w:val="bottom"/>
          </w:tcPr>
          <w:p>
            <w:pPr>
              <w:spacing w:after="0"/>
              <w:rPr>
                <w:sz w:val="24"/>
                <w:szCs w:val="2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5,788</w:t>
            </w: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5,123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10,874</w:t>
            </w: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Unrealized gain on available-for-sale marketable securities</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5,783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5,123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10,869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Ordinary shares used in</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computing basic and diluted net loss per share</w:t>
            </w: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27,562,795</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21,179,233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27,562,517</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20,677,364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280" w:type="dxa"/>
            <w:vAlign w:val="bottom"/>
            <w:gridSpan w:val="2"/>
          </w:tcPr>
          <w:p>
            <w:pPr>
              <w:jc w:val="right"/>
              <w:ind w:right="236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9"/>
              </w:rPr>
              <w:t>(Unaudited)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15,093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Available-for-sale marketable securities</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13,989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4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54,358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Long-term bank deposits</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long-term assets</w:t>
            </w:r>
          </w:p>
        </w:tc>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8,331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4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62,689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Trade payables</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2,769</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2,907</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Ordinary shares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141,594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(81,891)</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59,782</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62,689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jc w:val="right"/>
              <w:ind w:right="9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11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11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8"/>
              </w:rPr>
              <w:t>(unaudited)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8"/>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6"/>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(5,788)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(5,123)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(10,874)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1,314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payables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(4,106)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(8,543)</w:t>
            </w:r>
          </w:p>
        </w:tc>
        <w:tc>
          <w:tcPr>
            <w:tcW w:w="2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Investment in marketable securities</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(10,676)</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(14,415)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Proceeds from call redemption of marketable securities</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Decrease in long-term deposit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Proceeds from (investment in) short-term bank deposit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16,000</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21,022</w:t>
            </w:r>
          </w:p>
        </w:tc>
        <w:tc>
          <w:tcPr>
            <w:tcW w:w="2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5,712</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6,972</w:t>
            </w:r>
          </w:p>
        </w:tc>
        <w:tc>
          <w:tcPr>
            <w:tcW w:w="2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(13,036)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 upon public offering,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Exercise of options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13,487</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7,472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16,658</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15,093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8,570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15,093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8,570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1"/>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2019-12-08T23:24:48Z</dcterms:created>
  <dcterms:modified xsi:type="dcterms:W3CDTF">2019-12-08T23:24:48Z</dcterms:modified>
</cp:coreProperties>
</file>