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10" w:lineRule="auto"/>
        <w:framePr w:w="6560" w:h="242" w:wrap="auto" w:vAnchor="page" w:hAnchor="page" w:x="4600" w:y="4922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spacing w:after="0" w:line="254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br w:type="column"/>
      </w:r>
    </w:p>
    <w:p>
      <w:pPr>
        <w:spacing w:after="0" w:line="262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spacing w:after="0" w:line="1" w:lineRule="exact"/>
        <w:rPr>
          <w:rFonts w:ascii="Arial" w:cs="Arial" w:eastAsia="Arial" w:hAnsi="Arial"/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SASSINE ANDY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ARCT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3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08/15/2023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4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Rule 10b5-1(c) Transaction Indication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17.374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270,526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common stock purchased by the Reporting Person pursuant to the Arcturus Therapeutics Holdings Inc. 2020 Employee Stock Purchase Plan (the "ESPP").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 accordance with the ESPP, these shares were purchased based on 85% of the closing price of the Issuer's common stock on August 16, 2022.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Ilan Katz, attorney-in-fact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08/17/2023</w:t>
            </w:r>
          </w:p>
        </w:tc>
      </w:tr>
      <w:tr>
        <w:trPr>
          <w:trHeight w:val="233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5322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2023-08-17T16:09:59Z</dcterms:created>
  <dcterms:modified xsi:type="dcterms:W3CDTF">2023-08-17T16:09:59Z</dcterms:modified>
</cp:coreProperties>
</file>