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10,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10628 Science Center Drive, Suite 250</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414"/>
        </w:trPr>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Symbol(s)</w:t>
            </w:r>
          </w:p>
        </w:tc>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0" w:type="dxa"/>
            <w:vAlign w:val="bottom"/>
          </w:tcPr>
          <w:p>
            <w:pPr>
              <w:spacing w:after="0"/>
              <w:rPr>
                <w:sz w:val="19"/>
                <w:szCs w:val="19"/>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220" w:type="dxa"/>
            <w:vAlign w:val="bottom"/>
          </w:tcPr>
          <w:p>
            <w:pPr>
              <w:spacing w:after="0"/>
              <w:rPr>
                <w:sz w:val="19"/>
                <w:szCs w:val="19"/>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August 10, 2020, Arcturus Therapeutics Holdings Inc. (the “Company” or “Arcturus”) issued a press release, a copy of which is furnished herewith as Exhibit 99.1, announcing the Company’s financial results for the quarter ended June 30, 2020 and providing a corporate update (the “Press Release”).</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Certain statements in this communication and the Press Release are forward-looking statements” that involve substantial risks and uncertainties for purposes of the safe harbor provided by the Private Securities Litigation Reform Act of 1995.</w:t>
      </w:r>
    </w:p>
    <w:p>
      <w:pPr>
        <w:spacing w:after="0" w:line="17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Press Release contains forward-looking statements that involve substantial risks and uncertainties for purposes of the safe harbor provided by the Private Securities Litigation Reform Act of 1995. Any statements, other than statements of historical fact included in the Press Release, including those regarding strategy, future operations, collaborations, the likelihood of success, efficacy or safety of ARCT-021 or ARCT-810, the ability to initiate or complete preclinical and clinical development programs, including as a result of the COVID-19 pandemic,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statements made in this Current Report on Form 8-K and the Press Release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b w:val="1"/>
                <w:bCs w:val="1"/>
                <w:i w:val="1"/>
                <w:iCs w:val="1"/>
                <w:color w:val="auto"/>
              </w:rPr>
              <w:t>(d) Exhibits.</w:t>
            </w:r>
          </w:p>
        </w:tc>
        <w:tc>
          <w:tcPr>
            <w:tcW w:w="1016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tcPr>
          <w:p>
            <w:pPr>
              <w:ind w:left="180"/>
              <w:spacing w:after="0"/>
              <w:rPr>
                <w:sz w:val="20"/>
                <w:szCs w:val="20"/>
                <w:color w:val="auto"/>
              </w:rPr>
            </w:pPr>
            <w:r>
              <w:rPr>
                <w:rFonts w:ascii="Arial" w:cs="Arial" w:eastAsia="Arial" w:hAnsi="Arial"/>
                <w:sz w:val="18"/>
                <w:szCs w:val="18"/>
                <w:b w:val="1"/>
                <w:bCs w:val="1"/>
                <w:color w:val="auto"/>
              </w:rPr>
              <w:t>Description of Exhibit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August 10, 2020</w:t>
              </w:r>
            </w:hyperlink>
          </w:p>
        </w:tc>
      </w:tr>
      <w:tr>
        <w:trPr>
          <w:trHeight w:val="331"/>
        </w:trPr>
        <w:tc>
          <w:tcPr>
            <w:tcW w:w="108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Arcturus Therapeutics Announces Second Quarter 2020 Financial Results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a Corporate Update</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COVID-19 STARR™ mRNA vaccine candidate, ARCT-021 (LUNAR-COV19) has initiated Phase 1/2 clinical study with Duke-NUS Medical School; Dosing anticipated imminently, initial data expected Q4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ARCT-810 (LUNAR-OTC), mRNA therapeutic candidate for ornithine transcarbamylase (OTC) deficiency,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1 healthy volunteer study continues to advance, initial results expected Q4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Successfully raised approximately $280 million in gross proceeds through two public equity offerings in 2020 to advance promising clinical stage pipeline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Conference Call at 4:30 p.m. ET Today</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San Diego, Calif, Aug 10, 2020 </w:t>
      </w:r>
      <w:r>
        <w:rPr>
          <w:rFonts w:ascii="Arial" w:cs="Arial" w:eastAsia="Arial" w:hAnsi="Arial"/>
          <w:sz w:val="18"/>
          <w:szCs w:val="18"/>
          <w:color w:val="auto"/>
        </w:rPr>
        <w:t>– Arcturus Therapeutics Holdings Inc. (the “Company”, “Arcturus”, Nasdaq: ARCT), a leading clinical-stage messenger</w:t>
      </w:r>
      <w:r>
        <w:rPr>
          <w:rFonts w:ascii="Arial" w:cs="Arial" w:eastAsia="Arial" w:hAnsi="Arial"/>
          <w:sz w:val="18"/>
          <w:szCs w:val="18"/>
          <w:b w:val="1"/>
          <w:bCs w:val="1"/>
          <w:color w:val="auto"/>
        </w:rPr>
        <w:t xml:space="preserve"> </w:t>
      </w:r>
      <w:r>
        <w:rPr>
          <w:rFonts w:ascii="Arial" w:cs="Arial" w:eastAsia="Arial" w:hAnsi="Arial"/>
          <w:sz w:val="18"/>
          <w:szCs w:val="18"/>
          <w:color w:val="auto"/>
        </w:rPr>
        <w:t>RNA medicines company focused on the development of infectious disease vaccines and significant opportunities within liver and respiratory rare diseases, today announced its financial results for the quarter ended June 30, 2020, and provided a corporate update.</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“Arcturus has made substantial recent corporate progress highlighted by the advancement of two of our programs, ARCT-021 and ARCT-810, into clinical studies. ARCT-021 has the potential to be an effective and safe vaccine for COVID-19 with a differentiated profile characterized by a very low dose, and a single shot administration. We have also continued to advance our Phase 1 ARCT-810 clinical study in healthy volunteers. ARCT-810 is being developed for ornithine transcarbamylase (OTC) deficiency, a serious disease with limited treatment options. We look forward to obtaining clinical data from both of these important programs this year,” said Joseph Payne, President &amp; CEO of Arcturus.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highlights</w:t>
      </w:r>
    </w:p>
    <w:p>
      <w:pPr>
        <w:spacing w:after="0" w:line="229" w:lineRule="exact"/>
        <w:rPr>
          <w:sz w:val="20"/>
          <w:szCs w:val="20"/>
          <w:color w:val="auto"/>
        </w:rPr>
      </w:pPr>
    </w:p>
    <w:p>
      <w:pPr>
        <w:jc w:val="both"/>
        <w:ind w:left="660" w:hanging="328"/>
        <w:spacing w:after="0" w:line="267"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ARCT-021 program update: Phase 1/2 study with ARCT-021, COVID-19 STARR™ mRNA vaccine candidate (LUNAR-COV19), which is being conducted in collaboration with Duke-NUS Medical School and performed in Singapore, has initiated and commenced screening subjects. Dosing of the first subject anticipated imminently. Arcturus has provided preclinical data demonstrating a robust cellular (CD8+ cells) and balanced (Th1/Th2) immune response following ARCT-021 administration. Data demonstrate a strong antibody response (anti-spike protein IgG and 100% virus neutralization) at a very low vaccine dose, and a single administration. Neutralizing antibody levels continue to increase out to 60 days post administration. Preclinical data indicate that ARCT-021 is effectively activating the two important components of the adaptive immune response, providing strong support for the ongoing clinical program.</w:t>
      </w:r>
    </w:p>
    <w:p>
      <w:pPr>
        <w:spacing w:after="0" w:line="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continues to advance its ARCT-021 manufacturing activities. With the Company’s manufacturing partners, Arcturus is positioned to manufacture millions of doses in 2020 and potentially hundreds of millions of doses annually thereafter.</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Executed binding term sheet with the Israeli Ministry of Health to supply ARCT-021. A definitive supply agreement is expected shortly. Israel is the second country, in addition to Singapore, to reserve supply of ARCT-021 from the Company.</w:t>
      </w:r>
    </w:p>
    <w:p>
      <w:pPr>
        <w:ind w:left="660" w:right="2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the formation of a vaccine platform Scientific Advisory Board. The SAB includes renowned experts in virology, infectious disease, vaccine development and public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a Phase 1 study with ARCT-810, a mRNA-based therapeutic candidate for ornithine transcarbamylase (OTC) deficiency (LUNAR-OTC). The ARCT-810 program is supported by preclinical data in OTC deficiency murine models demonstrating that dosing of ARCT-810 results in robust OTC protein expression and improvements in ureagenesis and plasma ammonia, and increased survival. The Company expects to obtain initial Phase 1 healthy volunteer study data in Q4 2020. The phase 1b study in patients has, like many other studies, been affected by the COVID situation, but remains on track to dose by end of year.</w:t>
      </w:r>
    </w:p>
    <w:p>
      <w:pPr>
        <w:spacing w:after="0" w:line="3"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Successfully raised approximately $280 million in gross proceeds through public equity offerings in 2020 to date. The Company intends to use the net proceeds of the offerings to develop, test and manufacture the Company’s LUNAR-COV19 vaccine candidate and to continue clinical development of LUNAR-OTC; to advance the Company’s LUNAR-CF, LUNAR-CV and LUNAR-FLU preclinical programs into clinical development; to fund early research and development of novel and proprietary RNA medicines; and for general corporate and working capital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quarter ended June 30, 2020</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u w:val="single" w:color="auto"/>
          <w:color w:val="auto"/>
        </w:rPr>
        <w:t>Revenues in conjunction with strategic alliances and collaborations</w:t>
      </w:r>
      <w:r>
        <w:rPr>
          <w:rFonts w:ascii="Arial" w:cs="Arial" w:eastAsia="Arial" w:hAnsi="Arial"/>
          <w:sz w:val="18"/>
          <w:szCs w:val="18"/>
          <w:color w:val="auto"/>
        </w:rPr>
        <w:t>: Arcturus’ primary source of revenues is from license fees and collaborative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from research and development arrangements with pharmaceutical and biotechnology partners. For the three months ended June 30, 2020, the Company reported revenue of $2.3 million, compared with $10.2 million in the three months ended June 30, 2019. The decline in collaboration revenues primarily relates to a $3.1 million decrease in reimbursements from CureVac associated with the OTC collaboration that ended in the second quarter of 2019. Additionally, in 2019 we recorded $3.1 million in sublicense revenues related to our agreement with Synthetic Genomics which was a one-time event.</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color w:val="auto"/>
        </w:rPr>
        <w:t>: Total operating expenses for the three months ended June 30, 2020 were $12.4 million compared with $10.7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2019. The current quarter operating expenses were partially offset with $3.8 million of funds earned under the Singapore vaccine grant and $0.9 million in funds awarded by the CF Foundation.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Net loss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2020, Arcturus reported a net loss of approximately $10.3 million, or ($0.55) per basic and diluted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a net loss in the three months ended June 30, 2019 of $0.7 million, or ($0.07) per basic and diluted share.</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Cash, cash equivalents, and investments</w:t>
      </w:r>
      <w:r>
        <w:rPr>
          <w:rFonts w:ascii="Arial" w:cs="Arial" w:eastAsia="Arial" w:hAnsi="Arial"/>
          <w:sz w:val="16"/>
          <w:szCs w:val="16"/>
          <w:color w:val="auto"/>
        </w:rPr>
        <w:t>: Totaled $136.1 million as of June 30, 2020, compared to cash and cash equivalents of $71.4 million at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2019. Subsequent to the end of the quarter, the Company added net proceeds of $186.3 million from our successful public offering at $53 per share. Our Proforma Cash balance including the public offering, would have been $322.4 million. Based on our current pipeline, the Company’s current cash position is expected to be sufficient to support operations for more than two years. We are currently comfortable with our current cash position and we believe that the Company has the resources needed to drive our pipeline forward to reach several meaningful value creation milestones.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02" w:lineRule="auto"/>
        <w:rPr>
          <w:sz w:val="20"/>
          <w:szCs w:val="20"/>
          <w:color w:val="auto"/>
        </w:rPr>
      </w:pPr>
      <w:r>
        <w:rPr>
          <w:rFonts w:ascii="Arial" w:cs="Arial" w:eastAsia="Arial" w:hAnsi="Arial"/>
          <w:sz w:val="18"/>
          <w:szCs w:val="18"/>
          <w:b w:val="1"/>
          <w:bCs w:val="1"/>
          <w:i w:val="1"/>
          <w:iCs w:val="1"/>
          <w:color w:val="auto"/>
        </w:rPr>
        <w:t>Monday August 10</w:t>
      </w:r>
      <w:r>
        <w:rPr>
          <w:rFonts w:ascii="Arial" w:cs="Arial" w:eastAsia="Arial" w:hAnsi="Arial"/>
          <w:sz w:val="29"/>
          <w:szCs w:val="29"/>
          <w:b w:val="1"/>
          <w:bCs w:val="1"/>
          <w:i w:val="1"/>
          <w:iCs w:val="1"/>
          <w:color w:val="auto"/>
          <w:vertAlign w:val="superscript"/>
        </w:rPr>
        <w:t>th</w:t>
      </w:r>
      <w:r>
        <w:rPr>
          <w:rFonts w:ascii="Arial" w:cs="Arial" w:eastAsia="Arial" w:hAnsi="Arial"/>
          <w:sz w:val="18"/>
          <w:szCs w:val="18"/>
          <w:b w:val="1"/>
          <w:bCs w:val="1"/>
          <w:i w:val="1"/>
          <w:iCs w:val="1"/>
          <w:color w:val="auto"/>
        </w:rPr>
        <w:t xml:space="preserve"> @ 4:30 p.m. ET</w:t>
      </w:r>
    </w:p>
    <w:p>
      <w:pPr>
        <w:spacing w:after="0" w:line="1"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800-754-1346</w:t>
      </w:r>
    </w:p>
    <w:p>
      <w:pPr>
        <w:spacing w:after="0" w:line="7"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212-231-2909</w:t>
      </w:r>
    </w:p>
    <w:p>
      <w:pPr>
        <w:spacing w:after="0" w:line="9"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Conference ID:</w:t>
      </w:r>
      <w:r>
        <w:rPr>
          <w:sz w:val="20"/>
          <w:szCs w:val="20"/>
          <w:color w:val="auto"/>
        </w:rPr>
        <w:tab/>
      </w:r>
      <w:r>
        <w:rPr>
          <w:rFonts w:ascii="Arial" w:cs="Arial" w:eastAsia="Arial" w:hAnsi="Arial"/>
          <w:sz w:val="16"/>
          <w:szCs w:val="16"/>
          <w:color w:val="auto"/>
        </w:rPr>
        <w:t>21967092</w:t>
      </w:r>
    </w:p>
    <w:p>
      <w:pPr>
        <w:spacing w:after="0" w:line="9"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auto"/>
        </w:rPr>
        <w:t>http://public.viavid.com/index.php?id=141066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Founded in 2013 and based in San Diego, California, Arcturus Therapeutics Holdings Inc. (Nasdaq: ARCT) is a clinical-stage mRNA medicines and vaccines company with enabling technologies: (i) LUNAR® lipid-mediated delivery, (ii) STARR™ mRNA Technology and (iii) mRNA drug substance along with drug product manufacturing expertise. Arcturus’ diverse pipeline of RNA therapeutic and vaccine candidates includes self-replicating mRNA vaccine programs for SARS-CoV-2 (COVID-19) and Influenza, and other programs to potentially treat Ornithine Transcarbamylase (OTC) Deficiency, Cystic Fibrosis, Cardiovascular Disease along with partnered programs including Glycogen Storage Disease Type 3, Hepatitis B Virus,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(192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and the Cystic Fibrosis Foundation. For more information visit www.ArcturusRx.com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including those regarding strategy, future operations, collaborations, the likelihood of success efficacy or safety of ARCT-021 or ARCT-810, the ability to initiate or complete preclinical and clinical development programs, including as a result of the COVID-19 pandemic, the supply and delivery of any product or substance, the likelihood that preclinical data will be predictive of clinical data, the ability to enroll subjects therein, the Company’s efforts to develop a vaccine against COVID-19 and therapeutic potential thereof based on the Company’s mRNA therapeutics, the timing of initiation of dosing in human trials of a vaccine against COVID-19, the ability of the Company to scale up manufacturing of vaccine doses, the potential manufacturing capabilities of the Company’s partnership with Catalent, our current cash position and expected cash burn and the impact of general business and economic conditions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 and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Kendall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ctanzi@kendallir.com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400" w:type="dxa"/>
            <w:vAlign w:val="bottom"/>
            <w:gridSpan w:val="4"/>
          </w:tcPr>
          <w:p>
            <w:pPr>
              <w:jc w:val="center"/>
              <w:ind w:left="177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2"/>
        </w:trPr>
        <w:tc>
          <w:tcPr>
            <w:tcW w:w="7660" w:type="dxa"/>
            <w:vAlign w:val="bottom"/>
            <w:gridSpan w:val="2"/>
          </w:tcPr>
          <w:p>
            <w:pPr>
              <w:jc w:val="center"/>
              <w:ind w:left="3490"/>
              <w:spacing w:after="0"/>
              <w:rPr>
                <w:sz w:val="20"/>
                <w:szCs w:val="20"/>
                <w:color w:val="auto"/>
              </w:rPr>
            </w:pPr>
            <w:r>
              <w:rPr>
                <w:rFonts w:ascii="Arial" w:cs="Arial" w:eastAsia="Arial" w:hAnsi="Arial"/>
                <w:sz w:val="18"/>
                <w:szCs w:val="18"/>
                <w:b w:val="1"/>
                <w:bCs w:val="1"/>
                <w:color w:val="auto"/>
                <w:w w:val="89"/>
              </w:rPr>
              <w:t>(in thousands, except par value information)</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14"/>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09"/>
        </w:trPr>
        <w:tc>
          <w:tcPr>
            <w:tcW w:w="7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(unaudited)</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136,111</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71,353</w:t>
            </w: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2,179</w:t>
            </w:r>
          </w:p>
        </w:tc>
      </w:tr>
      <w:tr>
        <w:trPr>
          <w:trHeight w:val="230"/>
        </w:trPr>
        <w:tc>
          <w:tcPr>
            <w:tcW w:w="7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3,060</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758</w:t>
            </w: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74,290</w:t>
            </w: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2,610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2,349</w:t>
            </w: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right-of-use asset, net</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5,134</w:t>
            </w: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Equity-method investment</w:t>
            </w:r>
          </w:p>
        </w:tc>
        <w:tc>
          <w:tcPr>
            <w:tcW w:w="34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263</w:t>
            </w:r>
          </w:p>
        </w:tc>
      </w:tr>
      <w:tr>
        <w:trPr>
          <w:trHeight w:val="229"/>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Non-current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r>
      <w:tr>
        <w:trPr>
          <w:trHeight w:val="263"/>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149,935</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82,143</w:t>
            </w:r>
          </w:p>
        </w:tc>
      </w:tr>
      <w:tr>
        <w:trPr>
          <w:trHeight w:val="197"/>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5,793</w:t>
            </w: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11,883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7,134</w:t>
            </w:r>
          </w:p>
        </w:tc>
      </w:tr>
      <w:tr>
        <w:trPr>
          <w:trHeight w:val="229"/>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6,768</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8,397</w:t>
            </w: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23,046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21,324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15,182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15,059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14,995</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4,394</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4,850</w:t>
            </w:r>
          </w:p>
        </w:tc>
      </w:tr>
      <w:tr>
        <w:trPr>
          <w:trHeight w:val="263"/>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56,512</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56,351</w:t>
            </w:r>
          </w:p>
        </w:tc>
      </w:tr>
      <w:tr>
        <w:trPr>
          <w:trHeight w:val="196"/>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2"/>
        </w:trPr>
        <w:tc>
          <w:tcPr>
            <w:tcW w:w="7320" w:type="dxa"/>
            <w:vAlign w:val="bottom"/>
          </w:tcPr>
          <w:p>
            <w:pPr>
              <w:ind w:left="260"/>
              <w:spacing w:after="0" w:line="201" w:lineRule="exact"/>
              <w:rPr>
                <w:sz w:val="20"/>
                <w:szCs w:val="20"/>
                <w:color w:val="auto"/>
              </w:rPr>
            </w:pPr>
            <w:r>
              <w:rPr>
                <w:rFonts w:ascii="Arial" w:cs="Arial" w:eastAsia="Arial" w:hAnsi="Arial"/>
                <w:sz w:val="18"/>
                <w:szCs w:val="18"/>
                <w:color w:val="auto"/>
                <w:w w:val="96"/>
              </w:rPr>
              <w:t>Common stock: $0.001 par value; 30,000 shares authorized; 20,610 and 15,138 issued and</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outstanding at June 30, 2020 and December 30, 2019, respectively.</w:t>
            </w:r>
          </w:p>
        </w:tc>
        <w:tc>
          <w:tcPr>
            <w:tcW w:w="34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15</w:t>
            </w: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185,110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97,445</w:t>
            </w:r>
          </w:p>
        </w:tc>
      </w:tr>
      <w:tr>
        <w:trPr>
          <w:trHeight w:val="230"/>
        </w:trPr>
        <w:tc>
          <w:tcPr>
            <w:tcW w:w="7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(91,708)</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(71,668)</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93,423</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25,792</w:t>
            </w: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149,935</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82,143</w:t>
            </w:r>
          </w:p>
        </w:tc>
      </w:tr>
      <w:tr>
        <w:trPr>
          <w:trHeight w:val="20"/>
        </w:trPr>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555"/>
        </w:trPr>
        <w:tc>
          <w:tcPr>
            <w:tcW w:w="7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9"/>
          </w:tcPr>
          <w:p>
            <w:pPr>
              <w:jc w:val="center"/>
              <w:ind w:left="253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0" w:type="dxa"/>
            <w:vAlign w:val="bottom"/>
            <w:gridSpan w:val="11"/>
          </w:tcPr>
          <w:p>
            <w:pPr>
              <w:jc w:val="center"/>
              <w:ind w:left="1350"/>
              <w:spacing w:after="0"/>
              <w:rPr>
                <w:sz w:val="20"/>
                <w:szCs w:val="20"/>
                <w:color w:val="auto"/>
              </w:rPr>
            </w:pPr>
            <w:r>
              <w:rPr>
                <w:rFonts w:ascii="Arial" w:cs="Arial" w:eastAsia="Arial" w:hAnsi="Arial"/>
                <w:sz w:val="18"/>
                <w:szCs w:val="18"/>
                <w:b w:val="1"/>
                <w:bCs w:val="1"/>
                <w:color w:val="auto"/>
                <w:w w:val="99"/>
              </w:rPr>
              <w:t>CONSOLIDATED STATEMENTS OF OPERATIONS AND COMPREHENSIVE LOSS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00" w:type="dxa"/>
            <w:vAlign w:val="bottom"/>
          </w:tcPr>
          <w:p>
            <w:pPr>
              <w:spacing w:after="0"/>
              <w:rPr>
                <w:sz w:val="24"/>
                <w:szCs w:val="24"/>
                <w:color w:val="auto"/>
              </w:rPr>
            </w:pPr>
          </w:p>
        </w:tc>
        <w:tc>
          <w:tcPr>
            <w:tcW w:w="4040" w:type="dxa"/>
            <w:vAlign w:val="bottom"/>
            <w:gridSpan w:val="7"/>
          </w:tcPr>
          <w:p>
            <w:pPr>
              <w:jc w:val="center"/>
              <w:ind w:right="980"/>
              <w:spacing w:after="0"/>
              <w:rPr>
                <w:sz w:val="20"/>
                <w:szCs w:val="20"/>
                <w:color w:val="auto"/>
              </w:rPr>
            </w:pPr>
            <w:r>
              <w:rPr>
                <w:rFonts w:ascii="Arial" w:cs="Arial" w:eastAsia="Arial" w:hAnsi="Arial"/>
                <w:sz w:val="18"/>
                <w:szCs w:val="18"/>
                <w:b w:val="1"/>
                <w:bCs w:val="1"/>
                <w:color w:val="auto"/>
                <w:w w:val="88"/>
              </w:rPr>
              <w:t>(in thousands, except per share data)</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4"/>
                <w:szCs w:val="24"/>
                <w:color w:val="auto"/>
              </w:rPr>
            </w:pPr>
          </w:p>
        </w:tc>
        <w:tc>
          <w:tcPr>
            <w:tcW w:w="260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10,153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14,503</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net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7,944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14,593</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4,420</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3,456</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8,611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12,364</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10,725</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21,583</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(10,042)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equity-method investment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 net</w:t>
            </w:r>
          </w:p>
        </w:tc>
        <w:tc>
          <w:tcPr>
            <w:tcW w:w="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6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(0.55)</w:t>
            </w:r>
          </w:p>
        </w:tc>
        <w:tc>
          <w:tcPr>
            <w:tcW w:w="220" w:type="dxa"/>
            <w:vAlign w:val="bottom"/>
            <w:vMerge w:val="continue"/>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(0.07)</w:t>
            </w:r>
          </w:p>
        </w:tc>
        <w:tc>
          <w:tcPr>
            <w:tcW w:w="220" w:type="dxa"/>
            <w:vAlign w:val="bottom"/>
          </w:tcPr>
          <w:p>
            <w:pPr>
              <w:spacing w:after="0"/>
              <w:rPr>
                <w:sz w:val="17"/>
                <w:szCs w:val="17"/>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2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Weighted-average shares outstanding, basic and diluted</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18,794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10,412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16,657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Comprehensive loss: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(20,040)</w:t>
            </w:r>
          </w:p>
        </w:tc>
        <w:tc>
          <w:tcPr>
            <w:tcW w:w="2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Comprehensive loss</w:t>
            </w:r>
          </w:p>
        </w:tc>
        <w:tc>
          <w:tcPr>
            <w:tcW w:w="6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858"/>
    </w:lvl>
  </w:abstractNum>
  <w:abstractNum w:abstractNumId="4">
    <w:nsid w:val="46E87CCD"/>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2020-08-10T15:37:24Z</dcterms:created>
  <dcterms:modified xsi:type="dcterms:W3CDTF">2020-08-10T15:37:24Z</dcterms:modified>
</cp:coreProperties>
</file>