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October 2016</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tabs>
          <w:tab w:leader="none" w:pos="1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49" w:right="1440"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Attached hereto and incorporated by reference herein is the Registrant's press release issued on October 7, 2016, providing an update on recent FDA communications.</w:t>
      </w:r>
    </w:p>
    <w:p>
      <w:pPr>
        <w:spacing w:after="0" w:line="17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press release attached to this Form 6-K of the Registrant is incorporated by reference into the Registration Statements on Form F-3 (File No. 333-209960) and Form S-8 (File No. 333-194875, 333-202394 and 333-209947) of the Registrant, filed with the Securities and Exchange Commission, to be a part thereof from the date on which this report is submitted, to the extent not superseded by documents or reports subsequently filed or furnished.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Alcobra Ltd. on October 7, 2016, providing an update on recent FDA communications.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Tomer Berkovitz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Dr. Tomer Berkovitz</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165735</wp:posOffset>
            </wp:positionV>
            <wp:extent cx="122618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618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8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19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Media Inquiries</w:t>
            </w:r>
          </w:p>
        </w:tc>
        <w:tc>
          <w:tcPr>
            <w:tcW w:w="2120" w:type="dxa"/>
            <w:vAlign w:val="bottom"/>
          </w:tcPr>
          <w:p>
            <w:pPr>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LifeSci Advisors, LLC</w:t>
            </w:r>
          </w:p>
        </w:tc>
        <w:tc>
          <w:tcPr>
            <w:tcW w:w="19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Sam Brown, Inc.</w:t>
            </w:r>
          </w:p>
        </w:tc>
        <w:tc>
          <w:tcPr>
            <w:tcW w:w="2120" w:type="dxa"/>
            <w:vAlign w:val="bottom"/>
          </w:tcPr>
          <w:p>
            <w:pPr>
              <w:spacing w:after="0"/>
              <w:rPr>
                <w:sz w:val="20"/>
                <w:szCs w:val="20"/>
                <w:color w:val="auto"/>
              </w:rPr>
            </w:pPr>
            <w:r>
              <w:rPr>
                <w:rFonts w:ascii="Arial" w:cs="Arial" w:eastAsia="Arial" w:hAnsi="Arial"/>
                <w:sz w:val="18"/>
                <w:szCs w:val="18"/>
                <w:color w:val="auto"/>
                <w:w w:val="99"/>
              </w:rPr>
              <w:t>Alcobra Investor Relations</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Michael Rice</w:t>
            </w:r>
          </w:p>
        </w:tc>
        <w:tc>
          <w:tcPr>
            <w:tcW w:w="19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Mike Beyer</w:t>
            </w:r>
          </w:p>
        </w:tc>
        <w:tc>
          <w:tcPr>
            <w:tcW w:w="2120" w:type="dxa"/>
            <w:vAlign w:val="bottom"/>
          </w:tcPr>
          <w:p>
            <w:pPr>
              <w:spacing w:after="0"/>
              <w:rPr>
                <w:sz w:val="20"/>
                <w:szCs w:val="20"/>
                <w:color w:val="auto"/>
              </w:rPr>
            </w:pPr>
            <w:r>
              <w:rPr>
                <w:rFonts w:ascii="Arial" w:cs="Arial" w:eastAsia="Arial" w:hAnsi="Arial"/>
                <w:sz w:val="18"/>
                <w:szCs w:val="18"/>
                <w:color w:val="auto"/>
              </w:rPr>
              <w:t>Debbie Kaye</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646-597-6979</w:t>
            </w:r>
          </w:p>
        </w:tc>
        <w:tc>
          <w:tcPr>
            <w:tcW w:w="3940" w:type="dxa"/>
            <w:vAlign w:val="bottom"/>
            <w:gridSpan w:val="2"/>
          </w:tcPr>
          <w:p>
            <w:pPr>
              <w:ind w:left="1920"/>
              <w:spacing w:after="0"/>
              <w:rPr>
                <w:sz w:val="20"/>
                <w:szCs w:val="20"/>
                <w:color w:val="auto"/>
              </w:rPr>
            </w:pPr>
            <w:r>
              <w:rPr>
                <w:rFonts w:ascii="Arial" w:cs="Arial" w:eastAsia="Arial" w:hAnsi="Arial"/>
                <w:sz w:val="18"/>
                <w:szCs w:val="18"/>
                <w:color w:val="auto"/>
              </w:rPr>
              <w:t>773-463-4211</w:t>
            </w:r>
          </w:p>
        </w:tc>
        <w:tc>
          <w:tcPr>
            <w:tcW w:w="186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+972-72 2204661</w:t>
            </w:r>
          </w:p>
        </w:tc>
      </w:tr>
      <w:tr>
        <w:trPr>
          <w:trHeight w:val="190"/>
        </w:trPr>
        <w:tc>
          <w:tcPr>
            <w:tcW w:w="1980" w:type="dxa"/>
            <w:vAlign w:val="bottom"/>
          </w:tcPr>
          <w:p>
            <w:pPr>
              <w:spacing w:after="0" w:line="190" w:lineRule="exact"/>
              <w:rPr>
                <w:sz w:val="20"/>
                <w:szCs w:val="20"/>
                <w:color w:val="auto"/>
              </w:rPr>
            </w:pPr>
            <w:r>
              <w:rPr>
                <w:rFonts w:ascii="Arial" w:cs="Arial" w:eastAsia="Arial" w:hAnsi="Arial"/>
                <w:sz w:val="18"/>
                <w:szCs w:val="18"/>
                <w:color w:val="0000FF"/>
                <w:w w:val="91"/>
              </w:rPr>
              <w:t>mrice@lifesciadvisors.com</w:t>
            </w:r>
          </w:p>
        </w:tc>
        <w:tc>
          <w:tcPr>
            <w:tcW w:w="1920" w:type="dxa"/>
            <w:vAlign w:val="bottom"/>
          </w:tcPr>
          <w:p>
            <w:pPr>
              <w:spacing w:after="0"/>
              <w:rPr>
                <w:sz w:val="16"/>
                <w:szCs w:val="16"/>
                <w:color w:val="auto"/>
              </w:rPr>
            </w:pPr>
          </w:p>
        </w:tc>
        <w:tc>
          <w:tcPr>
            <w:tcW w:w="3880" w:type="dxa"/>
            <w:vAlign w:val="bottom"/>
            <w:gridSpan w:val="2"/>
          </w:tcPr>
          <w:p>
            <w:pPr>
              <w:spacing w:after="0" w:line="190" w:lineRule="exact"/>
              <w:rPr>
                <w:sz w:val="20"/>
                <w:szCs w:val="20"/>
                <w:color w:val="auto"/>
              </w:rPr>
            </w:pPr>
            <w:r>
              <w:rPr>
                <w:rFonts w:ascii="Arial" w:cs="Arial" w:eastAsia="Arial" w:hAnsi="Arial"/>
                <w:sz w:val="18"/>
                <w:szCs w:val="18"/>
                <w:color w:val="0000FF"/>
              </w:rPr>
              <w:t>mikebeyer@sambrown.com</w:t>
            </w:r>
          </w:p>
        </w:tc>
        <w:tc>
          <w:tcPr>
            <w:tcW w:w="2120" w:type="dxa"/>
            <w:vAlign w:val="bottom"/>
          </w:tcPr>
          <w:p>
            <w:pPr>
              <w:spacing w:after="0" w:line="190" w:lineRule="exact"/>
              <w:rPr>
                <w:sz w:val="20"/>
                <w:szCs w:val="20"/>
                <w:color w:val="auto"/>
              </w:rPr>
            </w:pPr>
            <w:r>
              <w:rPr>
                <w:rFonts w:ascii="Arial" w:cs="Arial" w:eastAsia="Arial" w:hAnsi="Arial"/>
                <w:sz w:val="18"/>
                <w:szCs w:val="18"/>
                <w:color w:val="0000FF"/>
                <w:w w:val="88"/>
              </w:rPr>
              <w:t>debbie@alcobra-pharma.com</w:t>
            </w:r>
          </w:p>
        </w:tc>
      </w:tr>
      <w:tr>
        <w:trPr>
          <w:trHeight w:val="20"/>
        </w:trPr>
        <w:tc>
          <w:tcPr>
            <w:tcW w:w="19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Update from Alcobra on Recent FDA Communications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Tel Aviv, Israel – October 7, 2016 – </w:t>
      </w:r>
      <w:r>
        <w:rPr>
          <w:rFonts w:ascii="Arial" w:cs="Arial" w:eastAsia="Arial" w:hAnsi="Arial"/>
          <w:sz w:val="17"/>
          <w:szCs w:val="17"/>
          <w:color w:val="auto"/>
        </w:rPr>
        <w:t>Alcobra Ltd. (NasdaqGM: ADHD), an emerging pharmaceutical company focused on the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medications to treat patients with cognitive disorders, including Attention Deficit Hyperactivity Disorder (ADHD) and Fragile X Syndrome, announced today that it has received the written full clinical hold notice from the Division of Psychiatry Products of the U.S. Food and Drug Administration (FDA) in follow up to their verbal communication on the matter. As stated in Alcobra’s public communications last week, the clinical hold affects Alcobra’s Phase III clinical study of Metadoxine Extended Release (MDX) in adult patients with ADHD, known as the “MEASURE” study.</w:t>
      </w:r>
    </w:p>
    <w:p>
      <w:pPr>
        <w:spacing w:after="0" w:line="17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FDA indicated in the letter that the clinical hold was placed due to electrophysiological neurologic findings in previously submitted long-term animal studies with metadoxine. The FDA letter did not reference any clinical safety data observed in the MEASURE study or in previous human studies with MDX. The Division recommended that Alcobra schedule a meeting to discuss a plan to collect additional human safety data in its development program. Alcobra will continue to work rapidly and diligently with the FDA to seek the removal of the clinical hold and will provide an update following its meeting with the Agency.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Alcobra Ltd. is an emerging pharmaceutical company primarily focused on the development and commercialization of MDX, a proprietary drug candidate, to treat cognitive disorders including ADHD and Fragile X Syndrome. For more information, please visit the company's website, www.alcobra-pharma.com, the content of which is not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the effect of the clinical hold on the Company’s Phase</w:t>
      </w:r>
    </w:p>
    <w:p>
      <w:pPr>
        <w:spacing w:after="0" w:line="3" w:lineRule="exact"/>
        <w:rPr>
          <w:sz w:val="20"/>
          <w:szCs w:val="20"/>
          <w:color w:val="auto"/>
        </w:rPr>
      </w:pPr>
    </w:p>
    <w:p>
      <w:pPr>
        <w:ind w:right="60" w:firstLine="8"/>
        <w:spacing w:after="0" w:line="268" w:lineRule="auto"/>
        <w:tabs>
          <w:tab w:leader="none" w:pos="225" w:val="left"/>
        </w:tabs>
        <w:numPr>
          <w:ilvl w:val="0"/>
          <w:numId w:val="1"/>
        </w:numPr>
        <w:rPr>
          <w:rFonts w:ascii="Arial" w:cs="Arial" w:eastAsia="Arial" w:hAnsi="Arial"/>
          <w:sz w:val="17"/>
          <w:szCs w:val="17"/>
          <w:color w:val="auto"/>
        </w:rPr>
      </w:pPr>
      <w:r>
        <w:rPr>
          <w:rFonts w:ascii="Arial" w:cs="Arial" w:eastAsia="Arial" w:hAnsi="Arial"/>
          <w:sz w:val="17"/>
          <w:szCs w:val="17"/>
          <w:color w:val="auto"/>
        </w:rPr>
        <w:t>MEASURE study and other clinical trials, the anticipated work of the company with the FDA, its pace and whether it will be successful in removing the clinical hold and under what conditions, and timing of future communications to investors. In addition, historic results of scientific research do not guarantee that the conclusions of future research would not suggest different conclusions or that historic results referred to in this press release would not be interpreted differently in light of additional research or otherwise. The forward-looking statements contained or implied in this press release are subject to other risks and uncertainties, including those discussed under the heading "Risk Factors" in Alcobra Ltd.'s Annual Report on Form 20-F for the fiscal year ended December 31, 2015, filed with the Securities and Exchange Commission (SEC) and in subsequent filings with the SEC. Except as otherwise required by law, Alcobra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6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2019-12-08T22:49:39Z</dcterms:created>
  <dcterms:modified xsi:type="dcterms:W3CDTF">2019-12-08T22:49:39Z</dcterms:modified>
</cp:coreProperties>
</file>