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94615</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95" w:lineRule="exact"/>
        <w:rPr>
          <w:sz w:val="24"/>
          <w:szCs w:val="24"/>
          <w:color w:val="auto"/>
        </w:rPr>
      </w:pPr>
    </w:p>
    <w:p>
      <w:pPr>
        <w:ind w:left="5220"/>
        <w:spacing w:after="0"/>
        <w:rPr>
          <w:sz w:val="20"/>
          <w:szCs w:val="20"/>
          <w:color w:val="auto"/>
        </w:rPr>
      </w:pPr>
      <w:r>
        <w:rPr>
          <w:rFonts w:ascii="Arial" w:cs="Arial" w:eastAsia="Arial" w:hAnsi="Arial"/>
          <w:sz w:val="20"/>
          <w:szCs w:val="20"/>
          <w:b w:val="1"/>
          <w:bCs w:val="1"/>
          <w:color w:val="auto"/>
        </w:rPr>
        <w:t>FORM 8-K</w:t>
      </w:r>
    </w:p>
    <w:p>
      <w:pPr>
        <w:spacing w:after="0" w:line="175" w:lineRule="exact"/>
        <w:rPr>
          <w:sz w:val="24"/>
          <w:szCs w:val="24"/>
          <w:color w:val="auto"/>
        </w:rPr>
      </w:pPr>
    </w:p>
    <w:p>
      <w:pPr>
        <w:ind w:left="4800"/>
        <w:spacing w:after="0"/>
        <w:rPr>
          <w:sz w:val="20"/>
          <w:szCs w:val="20"/>
          <w:color w:val="auto"/>
        </w:rPr>
      </w:pPr>
      <w:r>
        <w:rPr>
          <w:rFonts w:ascii="Arial" w:cs="Arial" w:eastAsia="Arial" w:hAnsi="Arial"/>
          <w:sz w:val="20"/>
          <w:szCs w:val="20"/>
          <w:b w:val="1"/>
          <w:bCs w:val="1"/>
          <w:color w:val="auto"/>
        </w:rPr>
        <w:t>CURRENT REPORT</w:t>
      </w:r>
    </w:p>
    <w:p>
      <w:pPr>
        <w:spacing w:after="0" w:line="189"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114300</wp:posOffset>
            </wp:positionV>
            <wp:extent cx="1689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ARCTURUS THERAPEUTICS LTD.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440"/>
          </w:cols>
          <w:pgMar w:left="240" w:top="886" w:right="219" w:bottom="1440" w:gutter="0" w:footer="0" w:header="0"/>
        </w:sectPr>
      </w:pPr>
    </w:p>
    <w:p>
      <w:pPr>
        <w:spacing w:after="0" w:line="20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State of Israel</w:t>
      </w:r>
    </w:p>
    <w:p>
      <w:pPr>
        <w:spacing w:after="0" w:line="68"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(State or Other</w:t>
      </w:r>
    </w:p>
    <w:p>
      <w:pPr>
        <w:spacing w:after="0" w:line="4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001-35932</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4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80"/>
        <w:spacing w:after="0"/>
        <w:rPr>
          <w:sz w:val="20"/>
          <w:szCs w:val="20"/>
          <w:color w:val="auto"/>
        </w:rPr>
      </w:pPr>
      <w:r>
        <w:rPr>
          <w:rFonts w:ascii="Arial" w:cs="Arial" w:eastAsia="Arial" w:hAnsi="Arial"/>
          <w:sz w:val="20"/>
          <w:szCs w:val="20"/>
          <w:b w:val="1"/>
          <w:bCs w:val="1"/>
          <w:color w:val="auto"/>
        </w:rPr>
        <w:t>46-1981974</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20"/>
          <w:szCs w:val="20"/>
          <w:color w:val="auto"/>
        </w:rPr>
        <w:t>(I.R.S. Employer</w:t>
      </w:r>
    </w:p>
    <w:p>
      <w:pPr>
        <w:jc w:val="center"/>
        <w:ind w:right="1380"/>
        <w:spacing w:after="0"/>
        <w:rPr>
          <w:sz w:val="20"/>
          <w:szCs w:val="20"/>
          <w:color w:val="auto"/>
        </w:rPr>
      </w:pPr>
      <w:r>
        <w:rPr>
          <w:rFonts w:ascii="Arial" w:cs="Arial" w:eastAsia="Arial" w:hAnsi="Arial"/>
          <w:sz w:val="19"/>
          <w:szCs w:val="19"/>
          <w:color w:val="auto"/>
        </w:rPr>
        <w:t>Identification No.)</w:t>
      </w:r>
    </w:p>
    <w:p>
      <w:pPr>
        <w:spacing w:after="0" w:line="15" w:lineRule="exact"/>
        <w:rPr>
          <w:sz w:val="24"/>
          <w:szCs w:val="24"/>
          <w:color w:val="auto"/>
        </w:rPr>
      </w:pPr>
    </w:p>
    <w:p>
      <w:pPr>
        <w:sectPr>
          <w:pgSz w:w="11900" w:h="16838" w:orient="portrait"/>
          <w:cols w:equalWidth="0" w:num="3">
            <w:col w:w="4280" w:space="720"/>
            <w:col w:w="2860" w:space="720"/>
            <w:col w:w="2860"/>
          </w:cols>
          <w:pgMar w:left="240" w:top="886" w:right="219" w:bottom="1440" w:gutter="0" w:footer="0" w:header="0"/>
          <w:type w:val="continuous"/>
        </w:sectPr>
      </w:pPr>
    </w:p>
    <w:p>
      <w:pPr>
        <w:ind w:left="152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40"/>
          </w:cols>
          <w:pgMar w:left="240" w:top="886" w:right="219" w:bottom="1440" w:gutter="0" w:footer="0" w:header="0"/>
          <w:type w:val="continuous"/>
        </w:sectPr>
      </w:pP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10628 Science Center Drive, Suite 250</w:t>
      </w:r>
    </w:p>
    <w:p>
      <w:pPr>
        <w:spacing w:after="0" w:line="67" w:lineRule="exact"/>
        <w:rPr>
          <w:sz w:val="24"/>
          <w:szCs w:val="24"/>
          <w:color w:val="auto"/>
        </w:rPr>
      </w:pPr>
    </w:p>
    <w:p>
      <w:pPr>
        <w:jc w:val="center"/>
        <w:ind w:right="1260"/>
        <w:spacing w:after="0"/>
        <w:rPr>
          <w:sz w:val="20"/>
          <w:szCs w:val="20"/>
          <w:color w:val="auto"/>
        </w:rPr>
      </w:pPr>
      <w:r>
        <w:rPr>
          <w:rFonts w:ascii="Arial" w:cs="Arial" w:eastAsia="Arial" w:hAnsi="Arial"/>
          <w:sz w:val="20"/>
          <w:szCs w:val="20"/>
          <w:b w:val="1"/>
          <w:bCs w:val="1"/>
          <w:color w:val="auto"/>
        </w:rPr>
        <w:t>San Diego, California</w:t>
      </w:r>
    </w:p>
    <w:p>
      <w:pPr>
        <w:jc w:val="center"/>
        <w:ind w:right="12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jc w:val="center"/>
        <w:ind w:right="2580"/>
        <w:spacing w:after="0"/>
        <w:rPr>
          <w:sz w:val="20"/>
          <w:szCs w:val="20"/>
          <w:color w:val="auto"/>
        </w:rPr>
      </w:pPr>
      <w:r>
        <w:rPr>
          <w:rFonts w:ascii="Arial" w:cs="Arial" w:eastAsia="Arial" w:hAnsi="Arial"/>
          <w:sz w:val="20"/>
          <w:szCs w:val="20"/>
          <w:b w:val="1"/>
          <w:bCs w:val="1"/>
          <w:color w:val="auto"/>
        </w:rPr>
        <w:t>92121</w:t>
      </w:r>
    </w:p>
    <w:p>
      <w:pPr>
        <w:spacing w:after="0" w:line="22" w:lineRule="exact"/>
        <w:rPr>
          <w:sz w:val="24"/>
          <w:szCs w:val="24"/>
          <w:color w:val="auto"/>
        </w:rPr>
      </w:pPr>
    </w:p>
    <w:p>
      <w:pPr>
        <w:jc w:val="center"/>
        <w:ind w:right="2580"/>
        <w:spacing w:after="0"/>
        <w:rPr>
          <w:sz w:val="20"/>
          <w:szCs w:val="20"/>
          <w:color w:val="auto"/>
        </w:rPr>
      </w:pPr>
      <w:r>
        <w:rPr>
          <w:rFonts w:ascii="Arial" w:cs="Arial" w:eastAsia="Arial" w:hAnsi="Arial"/>
          <w:sz w:val="18"/>
          <w:szCs w:val="18"/>
          <w:color w:val="auto"/>
        </w:rPr>
        <w:t>(Zip Code)</w:t>
      </w:r>
    </w:p>
    <w:p>
      <w:pPr>
        <w:spacing w:after="0" w:line="109" w:lineRule="exact"/>
        <w:rPr>
          <w:sz w:val="24"/>
          <w:szCs w:val="24"/>
          <w:color w:val="auto"/>
        </w:rPr>
      </w:pPr>
    </w:p>
    <w:p>
      <w:pPr>
        <w:sectPr>
          <w:pgSz w:w="11900" w:h="16838" w:orient="portrait"/>
          <w:cols w:equalWidth="0" w:num="2">
            <w:col w:w="7260" w:space="720"/>
            <w:col w:w="3460"/>
          </w:cols>
          <w:pgMar w:left="240" w:top="886" w:right="219" w:bottom="1440" w:gutter="0" w:footer="0" w:header="0"/>
          <w:type w:val="continuous"/>
        </w:sectPr>
      </w:pPr>
    </w:p>
    <w:p>
      <w:pPr>
        <w:jc w:val="center"/>
        <w:ind w:right="2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(858) 900-2660</w:t>
      </w:r>
    </w:p>
    <w:p>
      <w:pPr>
        <w:spacing w:after="0" w:line="235" w:lineRule="exact"/>
        <w:rPr>
          <w:sz w:val="24"/>
          <w:szCs w:val="24"/>
          <w:color w:val="auto"/>
        </w:rPr>
      </w:pPr>
    </w:p>
    <w:p>
      <w:pPr>
        <w:ind w:right="12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88"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88"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175" w:lineRule="exact"/>
        <w:rPr>
          <w:sz w:val="24"/>
          <w:szCs w:val="24"/>
          <w:color w:val="auto"/>
        </w:rPr>
      </w:pPr>
    </w:p>
    <w:p>
      <w:pPr>
        <w:ind w:right="18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6" w:lineRule="exact"/>
        <w:rPr>
          <w:sz w:val="24"/>
          <w:szCs w:val="24"/>
          <w:color w:val="auto"/>
        </w:rPr>
      </w:pPr>
    </w:p>
    <w:p>
      <w:pPr>
        <w:ind w:right="380"/>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3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Ordinary Shares, par value NIS 0.07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86"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Submission of Matters to a Vote of Security Holders.</w:t>
      </w:r>
    </w:p>
    <w:p>
      <w:pPr>
        <w:spacing w:after="0" w:line="213" w:lineRule="exact"/>
        <w:rPr>
          <w:sz w:val="20"/>
          <w:szCs w:val="20"/>
          <w:color w:val="auto"/>
        </w:rPr>
      </w:pPr>
    </w:p>
    <w:p>
      <w:pPr>
        <w:ind w:firstLine="761"/>
        <w:spacing w:after="0" w:line="260" w:lineRule="auto"/>
        <w:rPr>
          <w:sz w:val="20"/>
          <w:szCs w:val="20"/>
          <w:color w:val="auto"/>
        </w:rPr>
      </w:pPr>
      <w:r>
        <w:rPr>
          <w:rFonts w:ascii="Arial" w:cs="Arial" w:eastAsia="Arial" w:hAnsi="Arial"/>
          <w:sz w:val="19"/>
          <w:szCs w:val="19"/>
          <w:color w:val="auto"/>
        </w:rPr>
        <w:t>On May 17, 2019, Arcturus Therapeutics Ltd. (the “Company” or “Arcturus”) held its Extraordinary General Meeting of Shareholders (the “Meeting”). The total number of outstanding ordinary shares entitled to vote at the meeting was 10,761,523 and there were present at the meeting, in person or by proxy, 6,559,919 ordinary shares, which constituted a quorum for the Meeting. At the Meeting, the shareholders approved the Arcturus Redomiciliation Proposal approving the Scheme of Arrangement, as described in more detail in the Company’s definitive proxy statement and notice for the Meeting, filed with the SEC on April 11, 2019.</w:t>
      </w:r>
    </w:p>
    <w:p>
      <w:pPr>
        <w:spacing w:after="0" w:line="194" w:lineRule="exact"/>
        <w:rPr>
          <w:sz w:val="20"/>
          <w:szCs w:val="20"/>
          <w:color w:val="auto"/>
        </w:rPr>
      </w:pPr>
    </w:p>
    <w:p>
      <w:pPr>
        <w:ind w:right="140" w:firstLine="761"/>
        <w:spacing w:after="0" w:line="260" w:lineRule="auto"/>
        <w:rPr>
          <w:sz w:val="20"/>
          <w:szCs w:val="20"/>
          <w:color w:val="auto"/>
        </w:rPr>
      </w:pPr>
      <w:r>
        <w:rPr>
          <w:rFonts w:ascii="Arial" w:cs="Arial" w:eastAsia="Arial" w:hAnsi="Arial"/>
          <w:sz w:val="20"/>
          <w:szCs w:val="20"/>
          <w:color w:val="auto"/>
        </w:rPr>
        <w:t>The redomiciliation is subject to the approval of the District Court of Tel-Aviv, which approval is expected to be obtained in the next two to four weeks.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final results of the shareholder votes at the Meeting are set forth below: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Proposal 1: Approve Arcturus Redomiciliation:</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Votes For</w:t>
            </w: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Votes Against</w:t>
            </w: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Votes Abstained</w:t>
            </w:r>
          </w:p>
        </w:tc>
        <w:tc>
          <w:tcPr>
            <w:tcW w:w="2220" w:type="dxa"/>
            <w:vAlign w:val="bottom"/>
          </w:tcPr>
          <w:p>
            <w:pPr>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6,538,508</w:t>
            </w:r>
          </w:p>
        </w:tc>
        <w:tc>
          <w:tcPr>
            <w:tcW w:w="1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4,272</w:t>
            </w:r>
          </w:p>
        </w:tc>
        <w:tc>
          <w:tcPr>
            <w:tcW w:w="1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17,139</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right="100" w:firstLine="761"/>
        <w:spacing w:after="0" w:line="260" w:lineRule="auto"/>
        <w:rPr>
          <w:sz w:val="20"/>
          <w:szCs w:val="20"/>
          <w:color w:val="auto"/>
        </w:rPr>
      </w:pPr>
      <w:r>
        <w:rPr>
          <w:rFonts w:ascii="Arial" w:cs="Arial" w:eastAsia="Arial" w:hAnsi="Arial"/>
          <w:sz w:val="20"/>
          <w:szCs w:val="20"/>
          <w:color w:val="auto"/>
        </w:rPr>
        <w:t>Certain statements in this communication are forward-looking statements that involve substantial risks and uncertainties for purposes of the safe harbor provided by the Private Securities Litigation Reform Act of 1995.</w:t>
      </w:r>
    </w:p>
    <w:p>
      <w:pPr>
        <w:spacing w:after="0" w:line="190" w:lineRule="exact"/>
        <w:rPr>
          <w:sz w:val="20"/>
          <w:szCs w:val="20"/>
          <w:color w:val="auto"/>
        </w:rPr>
      </w:pPr>
    </w:p>
    <w:p>
      <w:pPr>
        <w:ind w:firstLine="761"/>
        <w:spacing w:after="0" w:line="254" w:lineRule="auto"/>
        <w:rPr>
          <w:sz w:val="20"/>
          <w:szCs w:val="20"/>
          <w:color w:val="auto"/>
        </w:rPr>
      </w:pPr>
      <w:r>
        <w:rPr>
          <w:rFonts w:ascii="Arial" w:cs="Arial" w:eastAsia="Arial" w:hAnsi="Arial"/>
          <w:sz w:val="19"/>
          <w:szCs w:val="19"/>
          <w:color w:val="auto"/>
        </w:rPr>
        <w:t>This communication contains “forward-looking statements” that involve substantial risks and uncertainties for purposes of the safe harbor provided by the Private Securities Litigation Reform Act of 1995. Any statements, other than statements of historical fact, included in this communication regarding strategy, future operations, collaborations, future financial position, prospects, plans and objectives of management and statements relating to the completion and timing of the redomiciliation of the Company from Israel to Delaware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in Arcturus’ Quarterly Report on Form 10-Q for the quarter ended March 31, 2019, filed with the SEC on May 10,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5" w:lineRule="exact"/>
        <w:rPr>
          <w:sz w:val="20"/>
          <w:szCs w:val="20"/>
          <w:color w:val="auto"/>
        </w:rPr>
      </w:pPr>
    </w:p>
    <w:p>
      <w:pPr>
        <w:ind w:right="160" w:firstLine="761"/>
        <w:spacing w:after="0" w:line="260" w:lineRule="auto"/>
        <w:rPr>
          <w:sz w:val="20"/>
          <w:szCs w:val="20"/>
          <w:color w:val="auto"/>
        </w:rPr>
      </w:pPr>
      <w:r>
        <w:rPr>
          <w:rFonts w:ascii="Arial" w:cs="Arial" w:eastAsia="Arial" w:hAnsi="Arial"/>
          <w:sz w:val="19"/>
          <w:szCs w:val="19"/>
          <w:color w:val="auto"/>
        </w:rPr>
        <w:t>The statements made in this Current Report on Form 8-K and any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ind w:firstLine="76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ARCTURUS THERAPEUTICS LTD.</w:t>
      </w:r>
    </w:p>
    <w:p>
      <w:pPr>
        <w:spacing w:after="0" w:line="200" w:lineRule="exact"/>
        <w:rPr>
          <w:sz w:val="20"/>
          <w:szCs w:val="20"/>
          <w:color w:val="auto"/>
        </w:rPr>
      </w:pPr>
    </w:p>
    <w:p>
      <w:pPr>
        <w:spacing w:after="0" w:line="265"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10160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0"/>
          <w:szCs w:val="20"/>
          <w:color w:val="auto"/>
        </w:rPr>
        <w:t>Joseph E. Payne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Dated: May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sectPr>
      <w:pgSz w:w="11900" w:h="16838" w:orient="portrait"/>
      <w:cols w:equalWidth="0" w:num="1">
        <w:col w:w="11060"/>
      </w:cols>
      <w:pgMar w:left="240" w:top="34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2019-12-02T17:54:37Z</dcterms:created>
  <dcterms:modified xsi:type="dcterms:W3CDTF">2019-12-02T17:54:37Z</dcterms:modified>
</cp:coreProperties>
</file>