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rct-20260331.htm"/>
      <w:bookmarkStart w:id="1" w:name="ksarct20260331"/>
      <w:bookmarkEnd w:id="0"/>
      <w:bookmarkEnd w:id="1"/>
      <w:r>
        <w:rPr/>
        <w:t> </w:t>
      </w:r>
    </w:p>
    <w:p>
      <w:pPr>
        <w:pStyle w:val="TextBody"/>
        <w:pBdr>
          <w:bottom w:val="double" w:sz="4" w:space="1" w:color="000000"/>
        </w:pBdr>
        <w:bidi w:val="0"/>
        <w:jc w:val="left"/>
        <w:rPr>
          <w:rFonts w:ascii="Times New Roman" w:hAnsi="Times New Roman"/>
          <w:color w:val="000000"/>
          <w:sz w:val="2"/>
        </w:rPr>
      </w:pPr>
      <w:r>
        <w:rPr>
          <w:rFonts w:ascii="Times New Roman" w:hAnsi="Times New Roman"/>
          <w:color w:val="000000"/>
          <w:sz w:val="2"/>
        </w:rPr>
        <w:t>cs</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80" w:after="8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80" w:after="8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jc w:val="left"/>
        <w:rPr/>
      </w:pPr>
      <w:r>
        <w:rPr/>
        <w:t>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Commission File Number: 001-38942</w:t>
      </w:r>
    </w:p>
    <w:p>
      <w:pPr>
        <w:pStyle w:val="TextBody"/>
        <w:bidi w:val="0"/>
        <w:spacing w:before="60" w:after="283"/>
        <w:jc w:val="center"/>
        <w:rPr/>
      </w:pPr>
      <w:r>
        <w:rPr/>
        <w:drawing>
          <wp:inline distT="0" distB="0" distL="0" distR="0">
            <wp:extent cx="2743200"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89535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2386"/>
        <w:gridCol w:w="146"/>
        <w:gridCol w:w="121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32-0595345</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(State or other jurisdiction of</w:t>
            </w:r>
          </w:p>
          <w:p>
            <w:pPr>
              <w:pStyle w:val="TableContents"/>
              <w:bidi w:val="0"/>
              <w:spacing w:before="0" w:after="15"/>
              <w:jc w:val="center"/>
              <w:rPr>
                <w:rFonts w:ascii="Times New Roman" w:hAnsi="Times New Roman"/>
                <w:color w:val="000000"/>
                <w:sz w:val="14"/>
              </w:rPr>
            </w:pPr>
            <w:r>
              <w:rPr>
                <w:rFonts w:ascii="Times New Roman" w:hAnsi="Times New Roman"/>
                <w:color w:val="000000"/>
                <w:sz w:val="14"/>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(I.R.S. Employer</w:t>
              <w:br/>
              <w:t>Identification No.)</w:t>
            </w:r>
          </w:p>
        </w:tc>
      </w:tr>
      <w:tr>
        <w:trPr/>
        <w:tc>
          <w:tcPr>
            <w:tcW w:w="238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14"/>
              </w:rPr>
            </w:pPr>
            <w:r>
              <w:rPr>
                <w:rFonts w:ascii="Times New Roman" w:hAnsi="Times New Roman"/>
                <w:b/>
                <w:color w:val="000000"/>
                <w:sz w:val="14"/>
              </w:rPr>
              <w:t>10285 Science Center Drive</w:t>
            </w:r>
          </w:p>
          <w:p>
            <w:pPr>
              <w:pStyle w:val="TableContents"/>
              <w:bidi w:val="0"/>
              <w:spacing w:before="0" w:after="283"/>
              <w:jc w:val="center"/>
              <w:rPr>
                <w:rFonts w:ascii="Times New Roman" w:hAnsi="Times New Roman"/>
                <w:sz w:val="20"/>
              </w:rPr>
            </w:pPr>
            <w:r>
              <w:rPr>
                <w:rFonts w:ascii="Times New Roman" w:hAnsi="Times New Roman"/>
                <w:b/>
                <w:color w:val="000000"/>
                <w:sz w:val="14"/>
              </w:rPr>
              <w:t>San Diego, California</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92121</w:t>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(858) 900-2660</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spacing w:before="60" w:after="283"/>
        <w:jc w:val="center"/>
        <w:rPr/>
      </w:pPr>
      <w:r>
        <w:rPr/>
        <w:t> </w:t>
      </w:r>
    </w:p>
    <w:p>
      <w:pPr>
        <w:pStyle w:val="TextBody"/>
        <w:pBdr>
          <w:bottom w:val="single" w:sz="4" w:space="1" w:color="000000"/>
        </w:pBdr>
        <w:bidi w:val="0"/>
        <w:spacing w:before="0" w:after="8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ARCT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May 5, 2026, the registrant had 28,423,069</w:t>
      </w:r>
      <w:r>
        <w:rPr>
          <w:rFonts w:ascii="Times New Roman" w:hAnsi="Times New Roman"/>
          <w:color w:val="000000"/>
          <w:sz w:val="20"/>
        </w:rPr>
        <w:t xml:space="preserve"> </w:t>
      </w:r>
      <w:r>
        <w:rPr>
          <w:rFonts w:ascii="Times New Roman" w:hAnsi="Times New Roman"/>
          <w:color w:val="000000"/>
          <w:sz w:val="18"/>
        </w:rPr>
        <w:t>shares of voting common stock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8"/>
        <w:gridCol w:w="8855"/>
        <w:gridCol w:w="512"/>
      </w:tblGrid>
      <w:tr>
        <w:trPr/>
        <w:tc>
          <w:tcPr>
            <w:tcW w:w="838" w:type="dxa"/>
            <w:tcBorders/>
            <w:vAlign w:val="center"/>
          </w:tcPr>
          <w:p>
            <w:pPr>
              <w:pStyle w:val="TableContents"/>
              <w:bidi w:val="0"/>
              <w:spacing w:before="0" w:after="283"/>
              <w:jc w:val="left"/>
              <w:rPr>
                <w:sz w:val="4"/>
                <w:szCs w:val="4"/>
              </w:rPr>
            </w:pPr>
            <w:r>
              <w:rPr>
                <w:sz w:val="4"/>
                <w:szCs w:val="4"/>
              </w:rPr>
            </w:r>
          </w:p>
        </w:tc>
        <w:tc>
          <w:tcPr>
            <w:tcW w:w="885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000FF"/>
                  <w:sz w:val="20"/>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
              <w:r>
                <w:rPr>
                  <w:rStyle w:val="InternetLink"/>
                  <w:rFonts w:ascii="Times New Roman" w:hAnsi="Times New Roman"/>
                  <w:color w:val="0000FF"/>
                  <w:sz w:val="20"/>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rPr>
                <w:t>Condensed Consolidated Balance Sheets as of March 31, 2026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come_statement">
              <w:r>
                <w:rPr>
                  <w:rStyle w:val="InternetLink"/>
                  <w:rFonts w:ascii="Times New Roman" w:hAnsi="Times New Roman"/>
                  <w:color w:val="0000FF"/>
                  <w:sz w:val="20"/>
                </w:rPr>
                <w:t>Condensed Consolidated Statements of Operations and Comprehensive Loss for the three months ended March 31,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rPr>
                <w:t>Condensed Consolidated Statements of Changes in Stockholders’ Equity for the three months ended March 31,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rPr>
                <w:t>Condensed Consolidated Statements of Cash Flows for the three months ended March 31,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rPr>
                <w:t>Notes to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color w:val="0000FF"/>
                  <w:sz w:val="20"/>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(this “Quarterly Report”), including the section entitled “Management’s Discussion and Analysis of Financial Condition and Results of Operations,” and the documents incorporated by reference herein may contain express or implied “forward-looking statements” within the meaning of the federal securities laws, Section 27A of the Securities Act of 1933, as amended and Section 21E of the Securities Exchange Act of 1934, as amended (the “Exchange Act”), and made pursuant to the safe harbor provisions of the Private Securities Litigation Reform Act of 1995. Our actual results could differ materially from those anticipated in these forward-looking statements as a result of various factors, including those set forth below under Part II, Item 1A, “Risk Factors” in this Quarterly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and ability to develop and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design, cost, timing, progress, enrollment and results of, and our expected ability to undertake certain activities and accomplish certain goals with respect to, our research and development activities, preclinical studies and clinical trials, including those related to our therapeutics pipeline candidates ARCT-810 and ARCT-032;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likelihood that clinical data will be sufficient for regulatory approval or completed in time to submit an application for regulatory approval within a particular timeframe;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interactions with regulatory authorities in the United States and foreign countries, including outcomes of meetings with the FDA regarding a regulatory pathway for ARCT-810 and ARCT-032;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and ability to remain in compliance, with the requirements of our collaboration agreements, including our collaboration with Seqirus Inc. (“CSL Seqirus”), and our ability to prevail in any disputes regarding such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anticipated benefits and success of our collaboration agreement with CSL Seqirus related to the licensure of our STARR®mRNA technology and LUNAR® lipid-mediated delivery, including our timely receipt of upfront and potential royalty and other payments thereunder;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status of development activities of the LUNAR-COV19 and LUNAR-FLU programs, and the other infectious disease programs, under our collaboration with CSL Seqirus;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status, success and benefits of our arrangements with private and governmental entities, some of which are subject to termination for convenience by our counterparties;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and ability to remain in compliance, with the stringent requirements of our current and potential government contracts, including our arrangements with the Biomedical Advanced Research and Development Authority, a division of the Office of the Assistant Secretary for Preparedness and Response within the U.S. Department of Health and Human Services and the Department of Defense;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conduct and advance any of our research and discovery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safety, immunogenicity, efficacy or regulatory approval of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effects, efficacy and benefits of our technologies and product candidates on their own and in comparison to technologies, drugs or courses of treatment currently available or that may be developed by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that preclinical or clinical data will be predictive of future clinical results or efficacy or safety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anticipated timing of enrollment, duration, milestones and announcements of results of clinical trials, and the submission of applications to conduct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administration regimen or dosage, or ability to administer multiple doses of,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of optimizing KOSTAIVE’s product presentation and formulation;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 of our product candidates, and any related restrictions, limitations, and/or warnings in the label of an approved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and the ability of our partners, to successfully commercialize, and our expectations regarding future therapeutic and commercial potential with respect to,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rate and degree of market acceptance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competing therapies that are or may become available;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growth potential of the markets for our product candidates, and our ability to serve those markets and address unmet medical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intellectual property protection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experienced and seasoned scientific and management professionals;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performance of our third-party suppliers and manufacturers, including the ability to implement and scale-up manufacturing levels as necessary;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receipt of relevant approvals related to the manufacture and distribution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strategic alliance partners’ election to pursue development and commercialization of any programs or product candidates that are subject to our collaboration and license agreements with such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attract collaborators with relevant development, regulatory and commercialization expertise;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activities to be undertaken by our strategic alliance partners, collaborators and other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sales and marketing capabilities, whether alone or with potential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avoid, settle or be victorious at costly litigation with shareholders, former executives or others, should these situations arise;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deploy funding for our operations and to efficiently use our financial and other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as a going concern;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regarding future expenses, future revenues, cash flows, capital requirements need for additional financing, and possible sources of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and other 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in the same manner due to additional research, preclinical and clinical trial results or otherwise. The forward-looking statements contained in this Quarterly Report are subject to risks and uncertainties, including those discussed in our other filings with the United States Securities and Exchange Commission (the “Commission”). Readers are cautioned not to place undue reliance on these forward-looking statements, which speak only as of the date hereof unless specifically stated otherwise. Although we currently believe that the expectations reflected in the forward-looking statements are reasonable, we cannot guarantee future results, levels of activity, performance, or achievements.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financial_statements"/>
      <w:bookmarkEnd w:id="3"/>
      <w:r>
        <w:rPr>
          <w:rFonts w:ascii="Times New Roman" w:hAnsi="Times New Roman"/>
          <w:b/>
          <w:color w:val="000000"/>
          <w:sz w:val="20"/>
        </w:rPr>
        <w:t>Item 1. Financial Statements.</w:t>
      </w:r>
    </w:p>
    <w:p>
      <w:pPr>
        <w:pStyle w:val="TextBody"/>
        <w:bidi w:val="0"/>
        <w:spacing w:before="360" w:after="283"/>
        <w:jc w:val="center"/>
        <w:rPr>
          <w:rFonts w:ascii="Times New Roman" w:hAnsi="Times New Roman"/>
          <w:b/>
          <w:color w:val="000000"/>
          <w:sz w:val="20"/>
        </w:rPr>
      </w:pPr>
      <w:bookmarkStart w:id="4" w:name="balance_sheet"/>
      <w:bookmarkEnd w:id="4"/>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10"/>
        <w:gridCol w:w="146"/>
        <w:gridCol w:w="211"/>
        <w:gridCol w:w="841"/>
        <w:gridCol w:w="166"/>
        <w:gridCol w:w="146"/>
        <w:gridCol w:w="218"/>
        <w:gridCol w:w="874"/>
        <w:gridCol w:w="593"/>
      </w:tblGrid>
      <w:tr>
        <w:trPr/>
        <w:tc>
          <w:tcPr>
            <w:tcW w:w="7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par value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0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230,909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241,446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271,148</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54,049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7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57,163</w:t>
            </w:r>
          </w:p>
        </w:tc>
        <w:tc>
          <w:tcPr>
            <w:tcW w:w="5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60,000 shares authorized; issued and</w:t>
              <w:br/>
              <w:t>outstanding shares were 28,423 at March 31, 2026 and 28,414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728,547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(514,590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213,985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271,148</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income_statement"/>
      <w:bookmarkEnd w:id="5"/>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7594" w:type="dxa"/>
        <w:jc w:val="left"/>
        <w:tblInd w:w="0" w:type="dxa"/>
        <w:tblLayout w:type="fixed"/>
        <w:tblCellMar>
          <w:top w:w="28" w:type="dxa"/>
          <w:left w:w="28" w:type="dxa"/>
          <w:bottom w:w="28" w:type="dxa"/>
          <w:right w:w="28" w:type="dxa"/>
        </w:tblCellMar>
      </w:tblPr>
      <w:tblGrid>
        <w:gridCol w:w="4651"/>
        <w:gridCol w:w="146"/>
        <w:gridCol w:w="211"/>
        <w:gridCol w:w="736"/>
        <w:gridCol w:w="166"/>
        <w:gridCol w:w="146"/>
        <w:gridCol w:w="211"/>
        <w:gridCol w:w="736"/>
        <w:gridCol w:w="5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(14,076</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consolidated_statements_stockholders_equ"/>
      <w:bookmarkEnd w:id="6"/>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bookmarkStart w:id="7" w:name="condensed_consolidated_statements_stockh"/>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91"/>
        <w:gridCol w:w="146"/>
        <w:gridCol w:w="146"/>
        <w:gridCol w:w="601"/>
        <w:gridCol w:w="146"/>
        <w:gridCol w:w="146"/>
        <w:gridCol w:w="249"/>
        <w:gridCol w:w="442"/>
        <w:gridCol w:w="146"/>
        <w:gridCol w:w="146"/>
        <w:gridCol w:w="196"/>
        <w:gridCol w:w="691"/>
        <w:gridCol w:w="146"/>
        <w:gridCol w:w="146"/>
        <w:gridCol w:w="217"/>
        <w:gridCol w:w="834"/>
        <w:gridCol w:w="166"/>
        <w:gridCol w:w="146"/>
        <w:gridCol w:w="240"/>
        <w:gridCol w:w="851"/>
        <w:gridCol w:w="313"/>
      </w:tblGrid>
      <w:tr>
        <w:trPr/>
        <w:tc>
          <w:tcPr>
            <w:tcW w:w="4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213,985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(26,964</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732,888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(541,554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191,362</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91"/>
        <w:gridCol w:w="146"/>
        <w:gridCol w:w="146"/>
        <w:gridCol w:w="601"/>
        <w:gridCol w:w="146"/>
        <w:gridCol w:w="146"/>
        <w:gridCol w:w="249"/>
        <w:gridCol w:w="442"/>
        <w:gridCol w:w="146"/>
        <w:gridCol w:w="146"/>
        <w:gridCol w:w="196"/>
        <w:gridCol w:w="691"/>
        <w:gridCol w:w="146"/>
        <w:gridCol w:w="146"/>
        <w:gridCol w:w="217"/>
        <w:gridCol w:w="834"/>
        <w:gridCol w:w="166"/>
        <w:gridCol w:w="146"/>
        <w:gridCol w:w="240"/>
        <w:gridCol w:w="851"/>
        <w:gridCol w:w="313"/>
      </w:tblGrid>
      <w:tr>
        <w:trPr/>
        <w:tc>
          <w:tcPr>
            <w:tcW w:w="4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240,978</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696,615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(462,883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233,759</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cash_flow"/>
      <w:bookmarkEnd w:id="8"/>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bookmarkStart w:id="9" w:name="consolidated_statements_cash_flows"/>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085" w:type="dxa"/>
        <w:jc w:val="left"/>
        <w:tblInd w:w="0" w:type="dxa"/>
        <w:tblLayout w:type="fixed"/>
        <w:tblCellMar>
          <w:top w:w="28" w:type="dxa"/>
          <w:left w:w="28" w:type="dxa"/>
          <w:bottom w:w="28" w:type="dxa"/>
          <w:right w:w="28" w:type="dxa"/>
        </w:tblCellMar>
      </w:tblPr>
      <w:tblGrid>
        <w:gridCol w:w="6031"/>
        <w:gridCol w:w="146"/>
        <w:gridCol w:w="220"/>
        <w:gridCol w:w="816"/>
        <w:gridCol w:w="173"/>
        <w:gridCol w:w="152"/>
        <w:gridCol w:w="220"/>
        <w:gridCol w:w="816"/>
        <w:gridCol w:w="5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(14,076</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transaction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(35,138</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232,794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293,913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213,403</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273,833</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sz w:val="20"/>
        </w:rPr>
      </w:pPr>
      <w:bookmarkStart w:id="10" w:name="notes_to_consolidated_financial_statemen"/>
      <w:bookmarkEnd w:id="10"/>
      <w:r>
        <w:rPr>
          <w:rFonts w:ascii="Times New Roman" w:hAnsi="Times New Roman"/>
          <w:b/>
          <w:color w:val="000000"/>
          <w:sz w:val="20"/>
        </w:rPr>
        <w:t>NOTES TO CONDENSED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Description of Business, Basis of Presentation and Summary of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Description of Business</w:t>
      </w:r>
    </w:p>
    <w:p>
      <w:pPr>
        <w:pStyle w:val="TextBody"/>
        <w:bidi w:val="0"/>
        <w:spacing w:before="120" w:after="283"/>
        <w:jc w:val="left"/>
        <w:rPr>
          <w:rFonts w:ascii="Times New Roman" w:hAnsi="Times New Roman"/>
          <w:sz w:val="20"/>
        </w:rPr>
      </w:pPr>
      <w:r>
        <w:rPr>
          <w:rFonts w:ascii="Times New Roman" w:hAnsi="Times New Roman"/>
          <w:color w:val="000000"/>
          <w:sz w:val="20"/>
        </w:rPr>
        <w:t>Arcturus Therapeutics Holdings Inc. (the “Company” or "Arcturus") is a messenger RNA medicines company focused on the development of liver and respiratory rare disease therapeutics. Arcturus became a clinical stage company in 2020 when it announced that its Investigational New Drug (“IND”) application for ornithine transcarbamylase (“OTC”) deficiency and its Clinical Trial Application (“CTA”) for candidate LUNAR-COV19 were approved by applicable health authorities. In 2023, our COVID-19 vaccine, ARCT-154 (also referred to as KOSTAIVE</w:t>
      </w:r>
      <w:r>
        <w:rPr>
          <w:rFonts w:ascii="Times New Roman" w:hAnsi="Times New Roman"/>
          <w:color w:val="000000"/>
          <w:sz w:val="13"/>
        </w:rPr>
        <w:t>®</w:t>
      </w:r>
      <w:r>
        <w:rPr>
          <w:rFonts w:ascii="Times New Roman" w:hAnsi="Times New Roman"/>
          <w:color w:val="000000"/>
          <w:sz w:val="20"/>
        </w:rPr>
        <w:t xml:space="preserve">), received marketing authorization approval in Japan for adults 18 years and older, and in September 2024 KOSTAIVE became the world’s first approved and commercially available self-amplifying RNA (sa-mRNA) vaccine.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include the accounts of Arcturus and its subsidiaries and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Interim financial results are not necessarily indicative of results anticipated for the full year. These condensed consolidated financial statements should be read in conjunction with the audited consolidated financial statements and footnotes included in the Company’s Annual Report on Form 10-K for the year ended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condensed consolidated financial statements are prepared in accordance with GAAP, which requires management to make estimates and assumptions regarding the valuation of equity instruments, share-based compensation, accruals for liabilities, income taxes, revenue and deferred revenue, leases,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significant changes to our significant accounting policies as disclosed in the Company’s Annual Report on Form 10-K for the year ended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Standards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(“FASB”) or other standard setting bodies and adopted by the Company as of the specified effective date. The Company believes that the impact of recently issued standards that are not yet effective will not have a material impact on the condensed consolidated financial statements and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Disaggregation of Income Statement Expenses, which requires public entities to disclose specified information about certain costs and expenses on an interim and annual basis. ASU 2024-03 is effective for annual reporting periods beginning after December 15, 2026, and interim reporting periods beginning after December 15, 2027, with early adoption permitted. The Company is currently evaluating the impact that adoption of ASU 2024-03 will have on the financial statement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license agreements and collaborative research and development arrangements with pharmaceutical and biotechnology companies, as well as consulting, related technology transfer, product revenue and government grant agreements. Under these arrangements, the Company is entitled to receive license fees, consulting fees, product fees, technological transfer fees, upfront payments, milestone payments if and when certain research and development milestones, technology transfer milestones or success-based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in vivo proof of concept in disease animal models, lead candidate identification, and completion of IND-enabling toxicology 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 and vaccines.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changes during the three months ended March 31, 2026 in the balances of contract assets and liabilities as compared to what was disclosed in the Company’s Annual Report on Form 10-K for the year ended December 31, 2025.</w:t>
      </w:r>
    </w:p>
    <w:p>
      <w:pPr>
        <w:pStyle w:val="TextBody"/>
        <w:bidi w:val="0"/>
        <w:jc w:val="left"/>
        <w:rPr/>
      </w:pPr>
      <w:r>
        <w:rPr/>
        <w:t> </w:t>
      </w:r>
    </w:p>
    <w:tbl>
      <w:tblPr>
        <w:tblW w:w="7661" w:type="dxa"/>
        <w:jc w:val="left"/>
        <w:tblInd w:w="0" w:type="dxa"/>
        <w:tblLayout w:type="fixed"/>
        <w:tblCellMar>
          <w:top w:w="28" w:type="dxa"/>
          <w:left w:w="28" w:type="dxa"/>
          <w:bottom w:w="28" w:type="dxa"/>
          <w:right w:w="28" w:type="dxa"/>
        </w:tblCellMar>
      </w:tblPr>
      <w:tblGrid>
        <w:gridCol w:w="1871"/>
        <w:gridCol w:w="146"/>
        <w:gridCol w:w="403"/>
        <w:gridCol w:w="1097"/>
        <w:gridCol w:w="146"/>
        <w:gridCol w:w="146"/>
        <w:gridCol w:w="214"/>
        <w:gridCol w:w="582"/>
        <w:gridCol w:w="146"/>
        <w:gridCol w:w="146"/>
        <w:gridCol w:w="225"/>
        <w:gridCol w:w="676"/>
        <w:gridCol w:w="166"/>
        <w:gridCol w:w="146"/>
        <w:gridCol w:w="340"/>
        <w:gridCol w:w="920"/>
        <w:gridCol w:w="291"/>
      </w:tblGrid>
      <w:tr>
        <w:trPr/>
        <w:tc>
          <w:tcPr>
            <w:tcW w:w="1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revenues for the periods indicated.</w:t>
      </w:r>
    </w:p>
    <w:p>
      <w:pPr>
        <w:pStyle w:val="TextBody"/>
        <w:bidi w:val="0"/>
        <w:jc w:val="left"/>
        <w:rPr/>
      </w:pPr>
      <w:r>
        <w:rPr/>
        <w:t> </w:t>
      </w:r>
    </w:p>
    <w:tbl>
      <w:tblPr>
        <w:tblW w:w="5921" w:type="dxa"/>
        <w:jc w:val="left"/>
        <w:tblInd w:w="0" w:type="dxa"/>
        <w:tblLayout w:type="fixed"/>
        <w:tblCellMar>
          <w:top w:w="28" w:type="dxa"/>
          <w:left w:w="28" w:type="dxa"/>
          <w:bottom w:w="28" w:type="dxa"/>
          <w:right w:w="28" w:type="dxa"/>
        </w:tblCellMar>
      </w:tblPr>
      <w:tblGrid>
        <w:gridCol w:w="2786"/>
        <w:gridCol w:w="146"/>
        <w:gridCol w:w="258"/>
        <w:gridCol w:w="699"/>
        <w:gridCol w:w="178"/>
        <w:gridCol w:w="178"/>
        <w:gridCol w:w="258"/>
        <w:gridCol w:w="827"/>
        <w:gridCol w:w="591"/>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CSL Seqirus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7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25,477</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BARDA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Gates Foundation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grant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paragraphs provide information regarding the nature and purpose of the Company’s most significant collaboration and grant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CSL Seqirus</w:t>
      </w:r>
    </w:p>
    <w:p>
      <w:pPr>
        <w:pStyle w:val="TextBody"/>
        <w:bidi w:val="0"/>
        <w:spacing w:before="120" w:after="283"/>
        <w:jc w:val="left"/>
        <w:rPr>
          <w:rFonts w:ascii="Times New Roman" w:hAnsi="Times New Roman"/>
          <w:sz w:val="20"/>
        </w:rPr>
      </w:pPr>
      <w:r>
        <w:rPr>
          <w:rFonts w:ascii="Times New Roman" w:hAnsi="Times New Roman"/>
          <w:color w:val="000000"/>
          <w:sz w:val="20"/>
        </w:rPr>
        <w:t>On November 1, 2022, the Company entered into a Collaboration and License Agreement (as amended, the “CSL Collaboration Agreement”) with Seqirus, Inc., a part of CSL Limited (“CSL Seqirus”), for the global exclusive rights to research, develop, manufacture, and commercialize vaccines. Under the terms of the CSL Collaboration Agreement, the Company provides CSL Seqirus with an exclusive global license to its mRNA technology (including STARR</w:t>
      </w:r>
      <w:r>
        <w:rPr>
          <w:rFonts w:ascii="Times New Roman" w:hAnsi="Times New Roman"/>
          <w:color w:val="000000"/>
          <w:sz w:val="13"/>
        </w:rPr>
        <w:t>®</w:t>
      </w:r>
      <w:r>
        <w:rPr>
          <w:rFonts w:ascii="Times New Roman" w:hAnsi="Times New Roman"/>
          <w:color w:val="000000"/>
          <w:sz w:val="20"/>
        </w:rPr>
        <w:t>) and LUNAR</w:t>
      </w:r>
      <w:r>
        <w:rPr>
          <w:rFonts w:ascii="Times New Roman" w:hAnsi="Times New Roman"/>
          <w:color w:val="000000"/>
          <w:sz w:val="13"/>
        </w:rPr>
        <w:t>®</w:t>
      </w:r>
      <w:r>
        <w:rPr>
          <w:rFonts w:ascii="Times New Roman" w:hAnsi="Times New Roman"/>
          <w:color w:val="000000"/>
          <w:sz w:val="20"/>
        </w:rPr>
        <w:t xml:space="preserve"> lipid-mediated delivery, along with mRNA drug substance and drug product manufacturing processes. CSL Seqirus will lead the development and commercialization of vaccines under the collaboration. The collaboration plans to advance vaccines against SARS-CoV-2 (COVID-19), influenza, pandemic preparedness as well as other infectious diseases. In September 2024, our COVID-19 vaccine KOSTAIVE</w:t>
      </w:r>
      <w:r>
        <w:rPr>
          <w:rFonts w:ascii="Times New Roman" w:hAnsi="Times New Roman"/>
          <w:color w:val="000000"/>
          <w:sz w:val="13"/>
        </w:rPr>
        <w:t>®</w:t>
      </w:r>
      <w:r>
        <w:rPr>
          <w:rFonts w:ascii="Times New Roman" w:hAnsi="Times New Roman"/>
          <w:color w:val="000000"/>
          <w:sz w:val="20"/>
        </w:rPr>
        <w:t xml:space="preserve"> became the world’s first approved and commercially available self-amplifying RNA (sa-mRNA) vaccine.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received a $200.0 million upfront payment and is eligible to receive over $1.3 billion in development milestones if all products are registered in the licensed fields and is entitled to potentially receive up to $3.0 billion in commercial milestones based on “net sales” of vaccines in the various fields. In addition, the Company is eligible to receive a 40% net profit share for COVID-19 vaccine products and up to low double-digit royalties for vaccines for pandemic preparedness and against seasonal influenza as well as other infectious disease pathogens.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evaluating the CSL Collaboration Agreement in accordance with ASC 606, the Company concluded that CSL Seqirus is a customer. The Company identified all promised goods/services within the CSL Collaboration Agreement, and when combining certain promised goods/services, the Company concluded that there are five distinct performance obligations. The nature of the performance obligations consists of the delivery of the vaccine license, research and development services for COVID-19 and non-COVID-19 vaccines and regulatory activities for COVID-19 vaccines. For each performance obligation, the Company estimated the standalone selling price based on 1) in the case of the license, the fair value using costs to recreate plus margin method and (2) in the case of research and development services and regulatory activities, cost plus margin for estimated full-time equivalent (“FTE”) costs, direct costs including laboratory supplies, contractors, and other out-of-pocket expenses for research and development services and regulatory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the transaction price consisted of upfront consideration received and milestones achieved. Additional variable consideration was not included in the transaction price as of March 31, 2026, because the Company could not conclude that it is probable that including the variable consideration will not result in a significant revenue reversal.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allocated the transaction price to the performance obligations in proportion to their standalone selling price. The vaccine license was recognized at the point in time it was transferred in 2022. The research and development and regulatory activities performance obligations are recognized over a period of time based on the percentage of services rendered using the input method, meaning actual costs incurred divided by total costs budgeted to satisfy the performance obligation. Any consideration related to sales-based royalties will be recognized when the amounts are probable of non-reversal, provided that the reported sales are reliably measurable and the Company has no remaining promised goods/services, as they are constrained and therefore have also been excluded from the transaction price. The revenue recognized in the first quarter of 2026 relates to the license delivered, milestones achieved and services performed through March 31,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deferred revenue as of March 31, 2026 and December 31, 2025 for the CSL Collaboration Agreement was $5.8 million and $6.2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2023, the Company entered into an amendment to the CSL Collaboration Agreement, pursuant to which the Company agreed to sponsor and conduct a Phase 1 clinical study in the influenza field. As part of the amendment, the Company received $17.5 million from CSL Seqirus. The amendment also provides for up to $1.5 million in additional payments which are achievable upon meeting certain clinical milestones relating to the Phase 1 clinical study in the influenza field. The Company previously concluded that the expansion of research and development support services under the CSL Collaboration Agreement represented an option that was not a material right. Therefore, the Company concluded the promise to sponsor and conduct the Phase 1 clinical study is a separate contract and the sole performance obligation under the new arrangement. The performance obligation was fully satisfied during the 2025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2024, the Company entered into an amendment to the CSL Collaboration Agreement, pursuant to which the parties agreed to, among other things, adjust (i) the development plans for certain product candidates, (ii) various development milestones related to such product candidates, (iii) provisions of the CSL Collaboration Agreement related to specific royalty payments, (iv) provisions of the CSL Collaboration Agreement related to distributors, and (v) proprietary payment calculations related to the foregoing. </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BARDA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2022, the Company entered into a cost reimbursement contract (the “BARDA Contract”) with the Biomedical Advanced Research and Development Authority ("BARDA"), a division of the Office of the Assistant Secretary for Preparedness and Response (ASPR) within the U.S. Department of Health and Human Services (HHS) for an award of up to $63.2 million for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development of a pandemic influenza vaccine using the Company's STARR</w:t>
      </w:r>
      <w:r>
        <w:rPr>
          <w:rFonts w:ascii="Times New Roman" w:hAnsi="Times New Roman"/>
          <w:color w:val="000000"/>
          <w:sz w:val="16"/>
        </w:rPr>
        <w:t>®</w:t>
      </w:r>
      <w:r>
        <w:rPr>
          <w:rFonts w:ascii="Times New Roman" w:hAnsi="Times New Roman"/>
          <w:color w:val="000000"/>
          <w:sz w:val="20"/>
        </w:rPr>
        <w:t xml:space="preserve"> self-amplifying mRNA vaccine platform technology. The Company earns grant revenue for performing tasks under the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the BARDA Contract is not in the scope of ASC 808 or ASC 606. Applying International Accounting Standards No. 20 ("IAS 20"), Accounting for Government Grants and Disclosure of Government Assistance, by analogy, the Company recognizes grant revenue from the reimbursement of direct out-of-pocket expenses, overhead allocations and fringe benefits for research costs associated with the grant. The costs associated with these reimbursements are reflected as a component of research and development expense in the Company’s condensed consolidated statements of operations and 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the remaining available funding net of revenue earned was $25.8 million.</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Gates Foundation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the Company recognized $0.6 million of grant revenue related to cost reimbursement under two grants awarded by the Gates Foundation.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grants support development of (i) a therapeutic HPV vaccine candidate and (ii) durability assessments of self-amplifying mRNA COVID-19 vaccine platforms. Grant funding is conditional upon achievement of defined milestones and submission of periodic progress and financial reports. Revenue is recognized as qualifying costs, including employee FTE labor and related expenses, are incurred in accordance with the terms of each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Unspent or uncommitted amounts remain deferred until the associated performance obligations are satisfied. As of March 31, 2026, deferred grant revenue related to these agreements totaled $1.8 million.</w:t>
      </w:r>
    </w:p>
    <w:p>
      <w:pPr>
        <w:pStyle w:val="TextBody"/>
        <w:bidi w:val="0"/>
        <w:spacing w:before="120" w:after="283"/>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three levels of the fair value hierarchy are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Quoted prices in active markets for identical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Inputs, other than the quoted prices in active markets, that are observable either directly or indirectly.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Unobservable inputs in which little or no market data exists and are therefore determined using estimates and assumptions developed by the Company, which reflect those that a market participant would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value of cash, restricted cash, accounts receivable, accounts payable and accrued liabilities approximate their respective fair values due to their relatively short maturities.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and December 31, 2025, all assets measured at fair value on a recurring basis consisted of cash equivalents and money market funds, which were classified within Level 1 of the fair value hierarchy. The fair value of these financial instruments was measured based on quoted prices.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Other Balance Sheet Details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balances consisted of the following:</w:t>
      </w:r>
    </w:p>
    <w:p>
      <w:pPr>
        <w:pStyle w:val="TextBody"/>
        <w:bidi w:val="0"/>
        <w:jc w:val="both"/>
        <w:rPr/>
      </w:pPr>
      <w:r>
        <w:rPr/>
        <w:t> </w:t>
      </w:r>
    </w:p>
    <w:tbl>
      <w:tblPr>
        <w:tblW w:w="7480" w:type="dxa"/>
        <w:jc w:val="left"/>
        <w:tblInd w:w="0" w:type="dxa"/>
        <w:tblLayout w:type="fixed"/>
        <w:tblCellMar>
          <w:top w:w="28" w:type="dxa"/>
          <w:left w:w="28" w:type="dxa"/>
          <w:bottom w:w="28" w:type="dxa"/>
          <w:right w:w="28" w:type="dxa"/>
        </w:tblCellMar>
      </w:tblPr>
      <w:tblGrid>
        <w:gridCol w:w="4051"/>
        <w:gridCol w:w="146"/>
        <w:gridCol w:w="280"/>
        <w:gridCol w:w="980"/>
        <w:gridCol w:w="166"/>
        <w:gridCol w:w="146"/>
        <w:gridCol w:w="334"/>
        <w:gridCol w:w="1166"/>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and furniture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8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19,227</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and amortization expense was $0.7 million for the three months ended March 31, 2026, and $0.8 million for the three months ended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liabilities consisted of the following:</w:t>
      </w:r>
    </w:p>
    <w:p>
      <w:pPr>
        <w:pStyle w:val="TextBody"/>
        <w:bidi w:val="0"/>
        <w:jc w:val="left"/>
        <w:rPr/>
      </w:pPr>
      <w:r>
        <w:rPr/>
        <w:t> </w:t>
      </w:r>
    </w:p>
    <w:tbl>
      <w:tblPr>
        <w:tblW w:w="7575" w:type="dxa"/>
        <w:jc w:val="left"/>
        <w:tblInd w:w="0" w:type="dxa"/>
        <w:tblLayout w:type="fixed"/>
        <w:tblCellMar>
          <w:top w:w="28" w:type="dxa"/>
          <w:left w:w="28" w:type="dxa"/>
          <w:bottom w:w="28" w:type="dxa"/>
          <w:right w:w="28" w:type="dxa"/>
        </w:tblCellMar>
      </w:tblPr>
      <w:tblGrid>
        <w:gridCol w:w="4186"/>
        <w:gridCol w:w="146"/>
        <w:gridCol w:w="299"/>
        <w:gridCol w:w="961"/>
        <w:gridCol w:w="146"/>
        <w:gridCol w:w="146"/>
        <w:gridCol w:w="357"/>
        <w:gridCol w:w="1143"/>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Cystic Fibrosis Foundation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facilities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accrual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reconciliation of cash and cash equivalents and restricted cash reported within the unaudited condensed consolidated balance sheets that sum to the total of the same such amounts shown in the unaudited condensed consolidated statement of cash flows:</w:t>
      </w:r>
    </w:p>
    <w:p>
      <w:pPr>
        <w:pStyle w:val="TextBody"/>
        <w:bidi w:val="0"/>
        <w:jc w:val="left"/>
        <w:rPr/>
      </w:pPr>
      <w:r>
        <w:rPr/>
        <w:t> </w:t>
      </w:r>
    </w:p>
    <w:tbl>
      <w:tblPr>
        <w:tblW w:w="7095" w:type="dxa"/>
        <w:jc w:val="left"/>
        <w:tblInd w:w="0" w:type="dxa"/>
        <w:tblLayout w:type="fixed"/>
        <w:tblCellMar>
          <w:top w:w="28" w:type="dxa"/>
          <w:left w:w="28" w:type="dxa"/>
          <w:bottom w:w="28" w:type="dxa"/>
          <w:right w:w="28" w:type="dxa"/>
        </w:tblCellMar>
      </w:tblPr>
      <w:tblGrid>
        <w:gridCol w:w="3946"/>
        <w:gridCol w:w="146"/>
        <w:gridCol w:w="268"/>
        <w:gridCol w:w="992"/>
        <w:gridCol w:w="146"/>
        <w:gridCol w:w="146"/>
        <w:gridCol w:w="268"/>
        <w:gridCol w:w="992"/>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cash also includes cash required to be set aside as security for lease payments and to maintain a letter of credit for the benefit of the landlord of the Company’s offices. As of March 31, 2026 and 2025, the Company had restricted cash of $2.0 million and $1.9 million, respectively, in conjunction with property leases in San Diego, California, and such restriction is expected to be removed at the end of the lease term.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Stockholders’ Equity</w:t>
      </w:r>
    </w:p>
    <w:p>
      <w:pPr>
        <w:pStyle w:val="TextBody"/>
        <w:bidi w:val="0"/>
        <w:spacing w:before="120" w:after="283"/>
        <w:jc w:val="left"/>
        <w:rPr>
          <w:rFonts w:ascii="Times New Roman" w:hAnsi="Times New Roman"/>
          <w:sz w:val="20"/>
        </w:rPr>
      </w:pPr>
      <w:r>
        <w:rPr>
          <w:rFonts w:ascii="Times New Roman" w:hAnsi="Times New Roman"/>
          <w:i/>
          <w:color w:val="000000"/>
          <w:sz w:val="20"/>
          <w:u w:val="single"/>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Potentially dilutive securities that were not included in the calculation of diluted net loss per share as they were anti-dilutive totaled 0.1 million and 0.5 million for three months ended March 31, 2026 and March 31, 2025, respectively.</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23, 2022, the Company entered into a Controlled Equity Offering℠ Sales Agreement, which was amended on August 7, 2023 (as amended, the “Sales Agreement”) with Cantor Fitzgerald &amp; Co. (“Cantor”),Wells Fargo Securities, LLC (“Wells Fargo Securities”), and William Blair &amp; Company, L.L.C. (“William Blair”) relating to shares of the Company's common stock. In accordance with the terms of the Sales Agreement, the Company may offer and sell shares of its common stock having an aggregate offering price of up to $200 million from time to time through Cantor, Wells Fargo Securities, or William Blair, each acting as the Company's sales agent.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December 31, 2025, the Company sold 1,179,201 shares of its common stock pursuant to the Sales Agreement at a weighted</w:t>
        <w:noBreakHyphen/>
        <w:t>average price of $10.38 per share, resulting in gross proceeds of approximately $12.2 million. After deducting offering costs of $0.5 million, the Company received net proceeds of approximately $11.7 million from these sales. In December 2025, the Company filed, and subsequently had declared effective, a replacement shelf registration statement on Form S</w:t>
        <w:noBreakHyphen/>
        <w:t>3, which replaced the prior registration statement and continues to support the Sales Agreement. During the three months ended March 31, 2026 the Company did not offer or sell any shares of common stock pursuant to the Sales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Share-Based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2024 at the Company’s 2024 Annual Meeting of Stockholders (the "2024 Annual Meeting"), the stockholders of the Company approved an amendment to the Company’s 2019 Omnibus Equity Incentive Plan (as amended, the “2019 Plan”) which, among other things, increased the aggregate number of shares authorized for use in making awards to eligible persons under the 2019 Plan by 2,000,000 shares, for a total of up to 10,750,000 shares available for issuance. As of March 31, 2026, a total of 1,040,059 shares remain available for future issuance under the 2019 Plan, subject to the terms of the 2019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2021, the Company adopted the 2021 Inducement Equity Incentive Plan which covers the award of up to 1,000,000 shares of common stock (the “2021 Plan”) effective as of October 15, 2021. Approval of the Company’s stockholders is not required as a condition to the effectiveness of the 2021 Plan for so long as the plan is in compliance with applicable Nasdaq inducement plan rules. In April 2022, the compensation committee of the Company’s board of directors approved a proposal to reduce the total number of shares available for future issuance under the 2021 Plan to 130,000. Pursuant to the terms of the plan, shares underlying awards that are forfeited, cancelled, or terminated without issuance are returned to the share reserve. As of March 31, 2026, a total of 165,926 shares remain available for future issuance under the 2021 Plan, subject to the terms of the 2021 Plan.</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Share-based compensation expense included in the Company’s condensed consolidated statements of operations and comprehensive loss for the three months ended March 31, 2026 and 2025 was as follows: </w:t>
      </w:r>
    </w:p>
    <w:p>
      <w:pPr>
        <w:pStyle w:val="TextBody"/>
        <w:bidi w:val="0"/>
        <w:jc w:val="left"/>
        <w:rPr/>
      </w:pPr>
      <w:r>
        <w:rPr/>
        <w:t> </w:t>
      </w:r>
    </w:p>
    <w:tbl>
      <w:tblPr>
        <w:tblW w:w="5104" w:type="dxa"/>
        <w:jc w:val="left"/>
        <w:tblInd w:w="0" w:type="dxa"/>
        <w:tblLayout w:type="fixed"/>
        <w:tblCellMar>
          <w:top w:w="28" w:type="dxa"/>
          <w:left w:w="28" w:type="dxa"/>
          <w:bottom w:w="28" w:type="dxa"/>
          <w:right w:w="28" w:type="dxa"/>
        </w:tblCellMar>
      </w:tblPr>
      <w:tblGrid>
        <w:gridCol w:w="2371"/>
        <w:gridCol w:w="146"/>
        <w:gridCol w:w="272"/>
        <w:gridCol w:w="738"/>
        <w:gridCol w:w="188"/>
        <w:gridCol w:w="188"/>
        <w:gridCol w:w="272"/>
        <w:gridCol w:w="738"/>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4,325</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7.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taxation in the United States and various state jurisdictions. The Company calculates its quarterly income tax provision using a forecasted annual effective tax rate and records discrete items in the period in which they arise. The primary difference between the Company’s effective tax rate and the federal statutory rate is attributable to federal and state income tax expense offset by a valuation allowance on the Company’s deferred tax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recorded negligible income tax expense for the three months ended March 31, 2026 and 2025. No tax benefit was recorded for losses incurred in the United States, as such losses are offset by a full valuation allowance.</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8.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Cystic Fibrosis Foundation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25, 2023, the Company amended its Development Program Letter Agreement, dated May 16, 2017 and as amended July 13, 2018 and August 1, 2019, with the Cystic Fibrosis Foundation (“CFF”). Pursuant to the amendment, (i) CFF increased the amount it will award to advance LUNAR-CF to $24.6 million from approximately $15.6 million, and (ii) the Company agreed to incur at least $15.0 million toward activities under the research plan. During the fourth quarter of 2023, the Company received the full payment from CFF related to the amendment. For the three months ended March 31, 2026 and 2025, the Company recognized a contra expense of $0.3 million and $0.4 million, respectively, related to CFF. As of March 31, 2026 and December 31, 2025, $6.1 million and $6.4 million, respectively, remained in accrued liabilities.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2017, the Company entered into a non-cancellable operating lease agreement for office space adjacent to its previously occupied headquarters. The commencement of the lease began in March 2018 and the lease extended for approximately 84 months from the commencement date with a remaining lease term through March 2025. In March 2024, the Company negotiated with the lessor to extend the lease through March 2027.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$0.1 million. The Company entered into an irrevocable standby letter of credit with the landlord for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deposit of $0.1 million upon executing the lease which is included (along with additional funds required to secure the letter of credit) in the balance of non-current 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Company vacated this office space with no intention of operating out of the location in the future. The Company remains obligated to make the remaining lease payments through March 2027. An impairment loss of $1.9 million was recorded for this lease in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2021, the Company entered into a non-cancellable lease agreement for office, research and development, engineering and laboratory space near its current headquarters, and such lease term commenced during the second quarter of 2022. The initial term of this lease extends ten years and eight months from the date of possession, and the Company has the right to extend the term of the lease for an additional five-year period. When the lease term was determined for the operating lease right-of-use assets and lease liabilities, the extension option for the lease was not included. The lease has a monthly base rent ranging from $0.3 million to $0.4 million which escalates over the lease term. The Company received a free rent period of four months and also pays for various operating costs, including utilities and real property taxes. The Company entered into an irrevocable standby letter of credit with the landlord for a security deposit of $2.0 million upon executing the lease which is included (along with additional funds required to secure the letter of credit) in the balance of non-current restricted cash.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right-of-use assets and liabilities on the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assets and liabilities. The Company uses its incremental borrowing rate to calculate the present value of the lease payments, as the implicit rate in the lease is not readily determinable.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the remaining payments of the operating lease liabilities were as follows:</w:t>
      </w:r>
    </w:p>
    <w:p>
      <w:pPr>
        <w:pStyle w:val="TextBody"/>
        <w:bidi w:val="0"/>
        <w:jc w:val="left"/>
        <w:rPr/>
      </w:pPr>
      <w:r>
        <w:rPr/>
        <w:t> </w:t>
      </w:r>
    </w:p>
    <w:tbl>
      <w:tblPr>
        <w:tblW w:w="5878" w:type="dxa"/>
        <w:jc w:val="left"/>
        <w:tblInd w:w="0" w:type="dxa"/>
        <w:tblLayout w:type="fixed"/>
        <w:tblCellMar>
          <w:top w:w="28" w:type="dxa"/>
          <w:left w:w="28" w:type="dxa"/>
          <w:bottom w:w="28" w:type="dxa"/>
          <w:right w:w="28" w:type="dxa"/>
        </w:tblCellMar>
      </w:tblPr>
      <w:tblGrid>
        <w:gridCol w:w="3331"/>
        <w:gridCol w:w="146"/>
        <w:gridCol w:w="496"/>
        <w:gridCol w:w="1589"/>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Lease Payments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remaining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23,987</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lease costs consist of the fixed lease payments included in operating lease liabilities and are recorded on a straight-line basis over the lease terms. Operating lease costs were $0.9 million and $1.3 million for the three months ended March 31, 2026 and March 31, 2025,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9.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in one business segment, which includes all activities related to the discovery, development and commercialization of messenger RNA medicines. The determination of a single business segment is consistent with the consolidated financial information regularly provided to the Company’s chief operating decision maker (“CODM”). The Company’s CODM is its Chief Executive Officer, who reviews and evaluates consolidated net loss for purposes of assessing performance, making operating decisions, allocating resources, and planning and forecasting for future periods. The CODM does not evaluate the operating segment using asset or liability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information about reported segment revenues, segment loss, and significant segment expenses:</w:t>
      </w:r>
    </w:p>
    <w:p>
      <w:pPr>
        <w:pStyle w:val="TextBody"/>
        <w:bidi w:val="0"/>
        <w:jc w:val="left"/>
        <w:rPr/>
      </w:pPr>
      <w:r>
        <w:rPr/>
        <w:t> </w:t>
      </w:r>
    </w:p>
    <w:tbl>
      <w:tblPr>
        <w:tblW w:w="5752" w:type="dxa"/>
        <w:jc w:val="left"/>
        <w:tblInd w:w="0" w:type="dxa"/>
        <w:tblLayout w:type="fixed"/>
        <w:tblCellMar>
          <w:top w:w="28" w:type="dxa"/>
          <w:left w:w="28" w:type="dxa"/>
          <w:bottom w:w="28" w:type="dxa"/>
          <w:right w:w="28" w:type="dxa"/>
        </w:tblCellMar>
      </w:tblPr>
      <w:tblGrid>
        <w:gridCol w:w="2816"/>
        <w:gridCol w:w="146"/>
        <w:gridCol w:w="215"/>
        <w:gridCol w:w="751"/>
        <w:gridCol w:w="169"/>
        <w:gridCol w:w="149"/>
        <w:gridCol w:w="149"/>
        <w:gridCol w:w="215"/>
        <w:gridCol w:w="751"/>
        <w:gridCol w:w="391"/>
      </w:tblGrid>
      <w:tr>
        <w:trPr/>
        <w:tc>
          <w:tcPr>
            <w:tcW w:w="2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LUNAR-COVID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LUNAR-OTC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BARDA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LUNAR-CF,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Early-stage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Discovery technologies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(26,964</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Primarily includes interest income.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10. Related Party Transactions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Equity-method Investment - ARCALIS,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for which the Company exercises significant influence but does not have control, are accounted for under the equity method. Equity-method investment activity is related to the Company's joint venture in ARCALIS, Inc. with Axcelead, Inc. The Company’s share of the investees’ results is presented as either income or loss from equity-method investees in the accompanying consolidated statements of operations and comprehensive loss. As of March 31, 2026, the carrying value of the equity-method investment in ARCALIS remained at zero.</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11.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is a discussion of the financial condition and results of operations of Arcturus Therapeutics Holdings Inc. for the three-month period ended March 31, 2026. Unless otherwise specified herein, references to the “Company,” “Arcturus,” “we,” “our” and “us” mean Arcturus Therapeutics Holdings Inc. and its consolidated subsidiaries.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10-K for the year ended December 31, 2025 (the “2025 Annual Report”), which was filed with the U.S. Securities and Exchange Commission (the “Commission”) on March 3, 2026. Unless otherwise defined herein, capitalized words and expressions used herein shall have the same meanings ascribed to them in the 2025 Annual Report.</w:t>
      </w:r>
    </w:p>
    <w:p>
      <w:pPr>
        <w:pStyle w:val="TextBody"/>
        <w:bidi w:val="0"/>
        <w:spacing w:before="120" w:after="283"/>
        <w:jc w:val="left"/>
        <w:rPr>
          <w:rFonts w:ascii="Times New Roman" w:hAnsi="Times New Roman"/>
          <w:sz w:val="20"/>
        </w:rPr>
      </w:pPr>
      <w:r>
        <w:rPr>
          <w:rFonts w:ascii="Times New Roman" w:hAnsi="Times New Roman"/>
          <w:i/>
          <w:color w:val="000000"/>
          <w:sz w:val="20"/>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This report also includes certain statements based solely on information, reports and studies provided by or conducted by Seqirus, Inc. and Meiji Holdings Co., Ltd or their respective affiliates.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messenger RNA medicines company focused on the development of liver and respiratory rare disease therapeutics. We have ongoing Phase 2 clinical studies for our RNA therapeutic candidates to potentially treat ornithine transcarbamylase (OTC) deficiency and cystic fibrosis (CF).</w:t>
      </w:r>
    </w:p>
    <w:p>
      <w:pPr>
        <w:pStyle w:val="TextBody"/>
        <w:bidi w:val="0"/>
        <w:spacing w:before="120" w:after="283"/>
        <w:jc w:val="left"/>
        <w:rPr>
          <w:rFonts w:ascii="Times New Roman" w:hAnsi="Times New Roman"/>
          <w:sz w:val="20"/>
        </w:rPr>
      </w:pPr>
      <w:r>
        <w:rPr>
          <w:rFonts w:ascii="Times New Roman" w:hAnsi="Times New Roman"/>
          <w:color w:val="000000"/>
          <w:sz w:val="20"/>
        </w:rPr>
        <w:t>We developed the world’s first approved self-amplifying messenger RNA (sa-mRNA) vaccine, KOSTAIVE</w:t>
      </w:r>
      <w:r>
        <w:rPr>
          <w:rFonts w:ascii="Times New Roman" w:hAnsi="Times New Roman"/>
          <w:color w:val="000000"/>
          <w:sz w:val="9"/>
        </w:rPr>
        <w:t>®</w:t>
      </w:r>
      <w:r>
        <w:rPr>
          <w:rFonts w:ascii="Times New Roman" w:hAnsi="Times New Roman"/>
          <w:color w:val="000000"/>
          <w:sz w:val="20"/>
        </w:rPr>
        <w:t xml:space="preserve"> (“KOSTAIVE”), which we have partnered with Seqirus, Inc. (“CSL Seqirus”), a part of CSL Limited. KOSTAIVE has achieved approval in Japan, the European Union and the United Kingdom as a vaccine against COVID-19, and sales of KOSTAIVE began in Japan in October 2024.</w:t>
      </w:r>
    </w:p>
    <w:p>
      <w:pPr>
        <w:pStyle w:val="TextBody"/>
        <w:bidi w:val="0"/>
        <w:spacing w:before="120" w:after="283"/>
        <w:jc w:val="left"/>
        <w:rPr>
          <w:rFonts w:ascii="Times New Roman" w:hAnsi="Times New Roman"/>
          <w:sz w:val="20"/>
        </w:rPr>
      </w:pPr>
      <w:r>
        <w:rPr>
          <w:rFonts w:ascii="Times New Roman" w:hAnsi="Times New Roman"/>
          <w:color w:val="000000"/>
          <w:sz w:val="20"/>
        </w:rPr>
        <w:t>We have several key platform technologies that we leverage to develop and advance a pipeline of mRNA-based therapeutics for rare genetic disorders with significant unmet medical needs and vaccines for infectious diseases. Current mRNA medicines have two critical components: the messenger RNA (“mRNA”) constructs and the lipid nanoparticles (“LNP”) which help deliver the mRNA to disease-relevant target tissues. We have extensive expertise in the design and optimization of mRNA constructs, including with respect to a type of mRNA technology known as self-amplifying mRNA (sa-mRNA). Our proprietary self-amplifying mRNA technology platform, or STARR</w:t>
      </w:r>
      <w:r>
        <w:rPr>
          <w:rFonts w:ascii="Times New Roman" w:hAnsi="Times New Roman"/>
          <w:color w:val="000000"/>
          <w:sz w:val="9"/>
        </w:rPr>
        <w:t>®</w:t>
      </w:r>
      <w:r>
        <w:rPr>
          <w:rFonts w:ascii="Times New Roman" w:hAnsi="Times New Roman"/>
          <w:color w:val="000000"/>
          <w:sz w:val="20"/>
        </w:rPr>
        <w:t xml:space="preserve"> (“STARR”), has been demonstrated to induce a robust, longer-lasting and broader humoral immune response at lower dose levels than conventional mRNA-based vaccines. Our proprietary LNP delivery system, LUNAR</w:t>
      </w:r>
      <w:r>
        <w:rPr>
          <w:rFonts w:ascii="Times New Roman" w:hAnsi="Times New Roman"/>
          <w:color w:val="000000"/>
          <w:sz w:val="9"/>
        </w:rPr>
        <w:t>®</w:t>
      </w:r>
      <w:r>
        <w:rPr>
          <w:rFonts w:ascii="Times New Roman" w:hAnsi="Times New Roman"/>
          <w:color w:val="000000"/>
          <w:sz w:val="20"/>
        </w:rPr>
        <w:t xml:space="preserve"> (“LUNAR”), is intended to address the major hurdle in RNA drug development, namely the effective and safe delivery of RNA to disease-relevant target tissues. LUNAR may enable multiple nucleic acid medicines. We also have significant expertise and valuable know-how in the development and scalability of complex and robust manufacturing processes required to deliver the next generation of nucleic acid medicines.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internal pipeline includes RNA therapeutic candidates to potentially treat ornithine transcarbamylase (OTC) deficiency and cystic fibrosis (CF), both rare diseases. In our vaccine program, we have partnered with CSL Seqirus, one of the world’s leading influenza vaccine providers, on the development and commercialization of mRNA vaccines for COVID-19, influenza and other infectious diseases. In CSL Limited’s half-year results presented on February 11, 2026, CSL Limited reported an accounting write-down of approximately $430 million attributable to our collaboration agreement with CSL Seqirus, citing declining COVID-19 disease burden and more onerous U.S. regulatory requirements.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Updates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Updates on Arcturus-Owned mRNA Therapeutic Development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drawing>
          <wp:inline distT="0" distB="0" distL="0" distR="0">
            <wp:extent cx="6858000" cy="1400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1400175"/>
                    </a:xfrm>
                    <a:prstGeom prst="rect">
                      <a:avLst/>
                    </a:prstGeom>
                  </pic:spPr>
                </pic:pic>
              </a:graphicData>
            </a:graphic>
          </wp:inline>
        </w:drawing>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LUNAR-CF/ARCT-032</w:t>
      </w:r>
      <w:r>
        <w:rPr>
          <w:rFonts w:ascii="Times New Roman" w:hAnsi="Times New Roman"/>
          <w:color w:val="000000"/>
          <w:sz w:val="20"/>
        </w:rPr>
        <w:t>.</w:t>
      </w:r>
      <w:r>
        <w:rPr>
          <w:color w:val="000000"/>
        </w:rPr>
        <w:t xml:space="preserve"> </w:t>
      </w:r>
      <w:r>
        <w:rPr>
          <w:rFonts w:ascii="Times New Roman" w:hAnsi="Times New Roman"/>
          <w:color w:val="000000"/>
          <w:sz w:val="20"/>
        </w:rPr>
        <w:t xml:space="preserve">LUNAR-CF (ARCT-032) is our mRNA therapeutic candidate for CF and it continues to progress in the clinic.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ongoing Phase 2 clinical trial (NCT06747858) is an open-label, multiple ascending dose study to assess safety and efficacy of ARCT-032 in CF adults who do not benefit from current CFTR modulators, including those with Class I null mutations. The study initiated dosing in the U.S. in December 2024 and enrollment and dosing have completed for the initial three cohorts. Each participant received daily inhaled treatments of ARCT-032 at doses of 5 mg, 10 mg, or 15 mg for 28 days.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treatment was generally safe and well tolerated. Bronchospasm was not reported in these participants, either with or without pretreatment with a bronchodilator. Treatment-related AEs that were identified in the single-dose Phase 1 study were also observed in some participants for the first few doses but ceased with continued dosing. Two subjects experienced SAEs after the dosing period that were unrelated to ARCT-032, and the safety review committee approved the study to proceed. After amending the protocol, a fourth cohort of up to 20 subjects began enrolling in March 2026. The fourth cohort will monitor 10 mg daily dosing over 12 weeks for safety and evidence of early clinical benefits.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LUNAR-OTC/ARCT-810</w:t>
      </w:r>
      <w:r>
        <w:rPr>
          <w:rFonts w:ascii="Times New Roman" w:hAnsi="Times New Roman"/>
          <w:color w:val="000000"/>
          <w:sz w:val="20"/>
        </w:rPr>
        <w:t>. The LUNAR-OTC development program addresses ornithine transcarbamylase (OTC) deficiency, a rare, life-threatening, genetic disease caused by mutations in the OTC gene that lead to dysfunctional or deficient OTC.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enroll participants in the open-label multiple ascending dose Phase 2 study of ARCT-810. The study evaluates safety and pharmacodynamics in adult and adolescent patients requiring clinical management for OTC-deficiency.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2026, we held a type C meeting with the FDA to discuss our plans for a proposed future pediatric study. The FDA provided a path forward toward a pivotal pediatric study that would require us to collect additional exploratory data to establish the optimal dose and therapeutic effect. The FDA also advised scheduling an End-of-Phase 2 (EOP2) meeting to discuss the pivotal study design, including the use of biomarkers.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Vaccine Collaboration with CSL Seqirus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2022, we entered into a Collaboration and License Agreement (as amended, the “CSL Collaboration Agreement”) with Seqirus, Inc. (“CSL Seqirus”), a part of CSL Limited, and one of the world’s leading influenza vaccine providers, for global exclusive rights to research, develop, manufacture and commercialize self-amplifying mRNA vaccines against COVID-19, influenza and other infectious diseases and global non-exclusive rights to pandemic pathogens.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Meiji has launched in Japan the two-dose vial of KOSTAIVE updated for the JN.1 variant XEC in August 2025, following approval from Japan’s Pharmaceuticals and Medical Devices Agency (PMDA).</w:t>
      </w:r>
    </w:p>
    <w:p>
      <w:pPr>
        <w:pStyle w:val="TextBody"/>
        <w:bidi w:val="0"/>
        <w:spacing w:before="120" w:after="283"/>
        <w:jc w:val="left"/>
        <w:rPr>
          <w:rFonts w:ascii="Times New Roman" w:hAnsi="Times New Roman"/>
          <w:sz w:val="20"/>
        </w:rPr>
      </w:pPr>
      <w:r>
        <w:rPr>
          <w:rFonts w:ascii="Times New Roman" w:hAnsi="Times New Roman"/>
          <w:i/>
          <w:color w:val="000000"/>
          <w:sz w:val="20"/>
        </w:rPr>
        <w:t>Marketing Authorization Application filing of KOSTAIVE in United Kingdom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2026, the UK Medicines and Healthcare products Regulatory Agency (MHRA) under the International Recognition Procedure (IRP) granted marketing authorization for KOSTAIVE for individuals 18 years and older.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CSL Limited’s half-year results presented on February 11, 2026, CSL Limited reported an accounting write-down of approximately $430 million attributable to our collaboration agreement with CSL Seqirus, citing declining COVID-19 disease burden and more onerous U.S. regulatory requirements.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2025. Our historical results of operations and the year-to-year comparisons of our results of operations that follow are not necessarily indicative of future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 into arrangements with pharmaceutical and biotechnology partners and government agencies that may contain upfront payments, license fees for research and development arrangements, research and development funding, milestone payments, option exercise and exclusivity fees and royalties on future sales. The following table summarizes our total revenues for the periods indicated: </w:t>
      </w:r>
    </w:p>
    <w:p>
      <w:pPr>
        <w:pStyle w:val="TextBody"/>
        <w:bidi w:val="0"/>
        <w:jc w:val="left"/>
        <w:rPr/>
      </w:pPr>
      <w:r>
        <w:rPr/>
        <w:t> </w:t>
      </w:r>
    </w:p>
    <w:tbl>
      <w:tblPr>
        <w:tblW w:w="6884" w:type="dxa"/>
        <w:jc w:val="left"/>
        <w:tblInd w:w="0" w:type="dxa"/>
        <w:tblLayout w:type="fixed"/>
        <w:tblCellMar>
          <w:top w:w="28" w:type="dxa"/>
          <w:left w:w="28" w:type="dxa"/>
          <w:bottom w:w="28" w:type="dxa"/>
          <w:right w:w="28" w:type="dxa"/>
        </w:tblCellMar>
      </w:tblPr>
      <w:tblGrid>
        <w:gridCol w:w="1951"/>
        <w:gridCol w:w="146"/>
        <w:gridCol w:w="258"/>
        <w:gridCol w:w="699"/>
        <w:gridCol w:w="178"/>
        <w:gridCol w:w="178"/>
        <w:gridCol w:w="258"/>
        <w:gridCol w:w="827"/>
        <w:gridCol w:w="146"/>
        <w:gridCol w:w="146"/>
        <w:gridCol w:w="211"/>
        <w:gridCol w:w="736"/>
        <w:gridCol w:w="166"/>
        <w:gridCol w:w="146"/>
        <w:gridCol w:w="146"/>
        <w:gridCol w:w="376"/>
        <w:gridCol w:w="31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2026 vs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decreased by $27.3 million during the three months ended March 31, 2026, as compared to the three months ended March 31, 2025. The decline was primarily driven by lower revenue recognized under the CSL collaboration, reflecting reduced supply agreement revenue and decreased amortization of deferred revenue as KOSTAIVE transitions from development to the commercial phase. Revenue also decreased due to lower grant revenue, primarily related to our agreement with BARDA, partially offset by increased grant revenue from the Gates Foundation.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expenses consist of research and development and general and administrative expenses. </w:t>
      </w:r>
    </w:p>
    <w:p>
      <w:pPr>
        <w:pStyle w:val="TextBody"/>
        <w:bidi w:val="0"/>
        <w:jc w:val="left"/>
        <w:rPr/>
      </w:pPr>
      <w:r>
        <w:rPr/>
        <w:t> </w:t>
      </w:r>
    </w:p>
    <w:tbl>
      <w:tblPr>
        <w:tblW w:w="7893" w:type="dxa"/>
        <w:jc w:val="left"/>
        <w:tblInd w:w="0" w:type="dxa"/>
        <w:tblLayout w:type="fixed"/>
        <w:tblCellMar>
          <w:top w:w="28" w:type="dxa"/>
          <w:left w:w="28" w:type="dxa"/>
          <w:bottom w:w="28" w:type="dxa"/>
          <w:right w:w="28" w:type="dxa"/>
        </w:tblCellMar>
      </w:tblPr>
      <w:tblGrid>
        <w:gridCol w:w="2656"/>
        <w:gridCol w:w="146"/>
        <w:gridCol w:w="245"/>
        <w:gridCol w:w="785"/>
        <w:gridCol w:w="169"/>
        <w:gridCol w:w="169"/>
        <w:gridCol w:w="245"/>
        <w:gridCol w:w="785"/>
        <w:gridCol w:w="146"/>
        <w:gridCol w:w="146"/>
        <w:gridCol w:w="211"/>
        <w:gridCol w:w="736"/>
        <w:gridCol w:w="166"/>
        <w:gridCol w:w="146"/>
        <w:gridCol w:w="231"/>
        <w:gridCol w:w="595"/>
        <w:gridCol w:w="316"/>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2026 vs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9,465</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30,992</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Research and Development Expenses,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total research and development expenses by category:</w:t>
      </w:r>
    </w:p>
    <w:p>
      <w:pPr>
        <w:pStyle w:val="TextBody"/>
        <w:bidi w:val="0"/>
        <w:jc w:val="left"/>
        <w:rPr/>
      </w:pPr>
      <w:r>
        <w:rPr/>
        <w:t> </w:t>
      </w:r>
    </w:p>
    <w:tbl>
      <w:tblPr>
        <w:tblW w:w="9278" w:type="dxa"/>
        <w:jc w:val="left"/>
        <w:tblInd w:w="0" w:type="dxa"/>
        <w:tblLayout w:type="fixed"/>
        <w:tblCellMar>
          <w:top w:w="28" w:type="dxa"/>
          <w:left w:w="28" w:type="dxa"/>
          <w:bottom w:w="28" w:type="dxa"/>
          <w:right w:w="28" w:type="dxa"/>
        </w:tblCellMar>
      </w:tblPr>
      <w:tblGrid>
        <w:gridCol w:w="3841"/>
        <w:gridCol w:w="146"/>
        <w:gridCol w:w="245"/>
        <w:gridCol w:w="785"/>
        <w:gridCol w:w="169"/>
        <w:gridCol w:w="169"/>
        <w:gridCol w:w="245"/>
        <w:gridCol w:w="785"/>
        <w:gridCol w:w="146"/>
        <w:gridCol w:w="146"/>
        <w:gridCol w:w="211"/>
        <w:gridCol w:w="736"/>
        <w:gridCol w:w="166"/>
        <w:gridCol w:w="146"/>
        <w:gridCol w:w="231"/>
        <w:gridCol w:w="595"/>
        <w:gridCol w:w="516"/>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2026 vs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LUNAR-COVID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LUNAR-OTC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BARDA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LUNAR-CF,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Early-stage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Discovery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21,527</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expenses consist primarily of external manufacturing costs, in-vivo research studies and clinical trials performed by contract research organizations, clinical and regulatory consultants, personnel related expenses, facility related expenses and laboratory supplies related to conducting research and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$21.5 million for the three months ended March 31, 2026, compared with $34.9 million for the three months ended March 31, 2025. The decrease was primarily driven by lower manufacturing costs expenses related to LUNAR-COVID and BARDA, as well as reduced clinical trial expenses associated with the LUNAR-COVID program. Additional decreases were attributable to lower payroll and benefits costs associated with lower stock</w:t>
        <w:noBreakHyphen/>
        <w:t>based compensation expense and a reduction in headcount. These reductions were partially offset by higher manufacturing costs related to LUNAR-OTC.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Early-stage programs represent programs that are in the pre-clinical or Phase 1 clinical stage and may be partnered or unpartnered, and primarily includes the LUNAR-FLU program which is partnered with CSL Seqirus. Discovery technologies represent our efforts to expand our product pipeline and are primarily related to pre-partnered studies and new capabilities assessment.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few of our programs are part of our collaborative relationships. The related expenses may be partially offset with funds that have been reimbursed or awarded to us and consist of external manufacturing costs, lab supplies, equipment, and consulting and professional fees. Expenses for both early-stage programs and discovery technologies are expected to decrease as we shift our focus to later-stage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Payroll and benefits primarily consists of employee salaries and benefits, share-based compensation and consultant costs. We expect that payroll and benefits costs will not increase over the next twelve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and equipment expenses include rent, common area maintenance (“CAM”) costs, depreciation, shipping costs and various other costs related to the operation of our two office and laboratory locations. We expect that facilities and equipment expenses will not increase over the next twelve months.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$9.5 million for the three months ended March 31, 2026, compared with $11.3 million for the three months ended March 31, 2025. The decrease was primarily due to reduced share-based compensation expense as well as reduced payroll and benefits associated with reductions in headcount.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Finance income, net</w:t>
      </w:r>
    </w:p>
    <w:p>
      <w:pPr>
        <w:pStyle w:val="TextBody"/>
        <w:bidi w:val="0"/>
        <w:jc w:val="left"/>
        <w:rPr/>
      </w:pPr>
      <w:r>
        <w:rPr/>
        <w:t> </w:t>
      </w:r>
    </w:p>
    <w:tbl>
      <w:tblPr>
        <w:tblW w:w="6437" w:type="dxa"/>
        <w:jc w:val="left"/>
        <w:tblInd w:w="0" w:type="dxa"/>
        <w:tblLayout w:type="fixed"/>
        <w:tblCellMar>
          <w:top w:w="28" w:type="dxa"/>
          <w:left w:w="28" w:type="dxa"/>
          <w:bottom w:w="28" w:type="dxa"/>
          <w:right w:w="28" w:type="dxa"/>
        </w:tblCellMar>
      </w:tblPr>
      <w:tblGrid>
        <w:gridCol w:w="1366"/>
        <w:gridCol w:w="146"/>
        <w:gridCol w:w="272"/>
        <w:gridCol w:w="738"/>
        <w:gridCol w:w="188"/>
        <w:gridCol w:w="188"/>
        <w:gridCol w:w="272"/>
        <w:gridCol w:w="738"/>
        <w:gridCol w:w="146"/>
        <w:gridCol w:w="146"/>
        <w:gridCol w:w="230"/>
        <w:gridCol w:w="525"/>
        <w:gridCol w:w="181"/>
        <w:gridCol w:w="159"/>
        <w:gridCol w:w="231"/>
        <w:gridCol w:w="595"/>
        <w:gridCol w:w="316"/>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2026 vs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is generated on the Company’s cash and cash equivalents. The decrease in interest income for the three months ended March 31, 2026, compared to the same period in 2025, was primarily due to lower interest rates and a reduced cash balance.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Through March 31, 2026, we have not entered into and did not have any relationships with unconsolidated entities or financial collaborations, such as entities often referred to as structured finance or special purpose entities, established for the purpose of facilitating off-balance sheet arrangements or other contractually narrow or limited purposes.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the Company’s inception through the quarter ended March 31, 2026, the Company has funded its operations principally with the proceeds from revenues earned through collaboration agreements and government contracts, the sale of capital stock and long-term debt. Through the first quarter of 2026, we have achieved a total of approximately $514.1 million in upfront payments and milestones from CSL Seqirus. As of March 31, 2026, the Company’s balance of cash and cash equivalents, including restricted cash, was $213.4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CSL Seqirus, Inc. Collaboration and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2022, we entered into the CSL Collaboration Agreement with CSL Seqirus, a part of CSL Limited, one of the world’s leading influenza vaccine providers, for the global exclusive rights to research, develop, manufacture and commercialize mRNA vaccines.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CSL Seqirus received exclusive global rights to our technology for vaccines against SARS-CoV-2 (COVID-19), influenza and other infectious diseases with non-exclusive rights to pandemic pathogens. We received an up-front payment of $200.0 million during the fourth quarter of 2022. We will be eligible to receive development milestones totaling more than $1.3 billion if all products are registered in the licensed fields. We will also be entitled to receive up to $3.0 billion in commercial milestones based on “net sales” of vaccines in the various fields.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are entitled to receive a 40% share of net profits from COVID-19 vaccine sales and up to low double-digit royalties of annual net sales for vaccines against influenza and the other three specified infectious disease pathogens, as well as royalties on revenues from vaccines that may be developed for pandemic preparedness.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CSL Collaboration Agreement sets forth how CSL Seqirus and we shall collaborate to research and develop vaccine candidates. In the COVID-19 field, we will lead activities for certain regulatory filings for ARCT-154 in the US and Europe and for research and development activities of a next-generation COVID vaccine candidate. CSL Seqirus will lead and be responsible for all other research and development in COVID-19, influenza and the other fields.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On May 30, 2025, we initiated an arbitration against CSL Seqirus before the International Chamber of Commerce, seeking payment of a milestone under the CSL Collaboration Agreement based on the European Commission’s grant of marketing authorization for a presentation of KOSTAIVE</w:t>
      </w:r>
      <w:r>
        <w:rPr>
          <w:rFonts w:ascii="Times New Roman" w:hAnsi="Times New Roman"/>
          <w:color w:val="000000"/>
          <w:sz w:val="9"/>
        </w:rPr>
        <w:t>®</w:t>
      </w:r>
      <w:r>
        <w:rPr>
          <w:rFonts w:ascii="Times New Roman" w:hAnsi="Times New Roman"/>
          <w:color w:val="000000"/>
          <w:sz w:val="20"/>
        </w:rPr>
        <w:t xml:space="preserve">in the European Union.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Grant from the Biomedical Advanced Research and Development Authority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31, 2022, we entered into a cost reimbursement contract (the “BARDA Contract”) with the Biomedical Advanced Research and Development Authority (“BARDA”), a division of the Office of the Assistant Secretary for Preparedness and Response (“ASPR”) within the U.S. Department of Health and Human Services (“HHS”) to support the development of a low-dose pandemic influenza candidate based on our proprietary self-amplifying messenger RNA-based vaccine platform. The BARDA Contract is to support our non-clinical and pre-clinical development, early-stage clinical development through Phase 1, and associated drug product manufacturing, regulatory and quality-assurance activities over a period of three years. It provides for reimbursement by BARDA of our permitted costs up to $63.2 million. As of March 31, 2026, the remaining available funding net of revenue earned was $25.8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Wells Fargo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Company terminated its revolving credit agreement with Wells Fargo. No amounts were outstanding at termination. Accordingly, the Company had no debt outstanding as of March 31, 2026, and cash previously pledged as collateral is no longer classified as restricted cash.</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Financial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portion of our current cash balance is expected to be utilized during fiscal year 2026 to fund (i) advances to our LUNAR-CF program in clinical trials, (ii) the continued Phase 2 trial of ARCT-810, our LUNAR-OTC candidate, (iii) expenses incurred prior to customer payments under the CSL Collaboration Agreement and BARDA agreement and (iv) continued exploratory activities related to our platform and other general administrative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capital requirements are difficult to forecast and will depend on many factors that are out of our control. If we are unable to maintain sufficient financial resources, our business, financial condition and results of operations will be materially and adversely affected. There can be no assurance that we will be able to obtain additional needed financing on acceptable terms or at all. Additionally, equity or debt financings may have a dilutive effect on the holdings of our existing shareholders.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additional losses in the long term, and we will need to raise additional debt or equity financing or enter into additional partnerships to fund development. Our ability to transition to profitability is dependent on regulatory approvals and subsequent sales of KOSTAIVE, and identifying and developing other successful mRNA drug and vaccine candidates. If we are not able to achieve planned milestones or incur costs in excess of our forecasts, we will need to reduce discretionary spending, discontinue the development of some or all of our programs, which will delay part of our development programs, all of which will have a material adverse effect on our ability to achieve our intended business objectives.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a summary of our cash flows:</w:t>
      </w:r>
    </w:p>
    <w:p>
      <w:pPr>
        <w:pStyle w:val="TextBody"/>
        <w:bidi w:val="0"/>
        <w:spacing w:before="120" w:after="283"/>
        <w:jc w:val="left"/>
        <w:rPr/>
      </w:pPr>
      <w:r>
        <w:rPr/>
        <w:t> </w:t>
      </w:r>
    </w:p>
    <w:tbl>
      <w:tblPr>
        <w:tblW w:w="6056" w:type="dxa"/>
        <w:jc w:val="left"/>
        <w:tblInd w:w="0" w:type="dxa"/>
        <w:tblLayout w:type="fixed"/>
        <w:tblCellMar>
          <w:top w:w="28" w:type="dxa"/>
          <w:left w:w="28" w:type="dxa"/>
          <w:bottom w:w="28" w:type="dxa"/>
          <w:right w:w="28" w:type="dxa"/>
        </w:tblCellMar>
      </w:tblPr>
      <w:tblGrid>
        <w:gridCol w:w="3301"/>
        <w:gridCol w:w="146"/>
        <w:gridCol w:w="229"/>
        <w:gridCol w:w="801"/>
        <w:gridCol w:w="180"/>
        <w:gridCol w:w="158"/>
        <w:gridCol w:w="229"/>
        <w:gridCol w:w="801"/>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(19,391</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$19.4 million for the three months ended March 31, 2026, compared to $35.1 million for the three months ended March 31, 2025. The decrease in cash outflows was primarily driven by improved collections in accounts receivable. It was also impacted by more favorable changes in deferred revenue. These factors were partially offset by a higher net loss and a reduction in non-cash stock-based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was nominal for the three months ended March 31, 2026, compared with net cash used of $0.1 million for the three months ended March 31, 2025. Activity in both periods primarily reflected the purchase and sale of property and equipment.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nominal for the three months ended March 31, 2026, compared to $15.2 million for the three months ended March 31, 2025. The decrease in cash inflows was primarily driven by borrowings under the Company’s line of credit in the prior year period, with no comparable activity in the current year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we will continue to generate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We believe that our current cash position will be sufficient to meet our anticipated cash requirements through at least the next twelve months, assuming, among other things, no significant unforeseen expenses and continued funding from partners at anticipated levels. We intend to seek additional capital through equity and/or debt financings, collaborative or other funding arrangements with partners or through other sources of financing when and as needed.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funding requirements are difficult to forecast and will depend on many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of our LUNAR-COV19 and LUNAR-FLU vaccine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achievement of milestones under our strategic alliance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and/or expanding our manufacturing network and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any other strategic alliance, licensing and other arrangements that we may establish, including those with CSL Seqirus and CSL Seqirus’ arrangement with Meiji, and any related payments thereunder, including payments related to completion of milestones under our arrangements with any of these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progress, timing and completion of preclinical studies and clinical trials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characteristics of product candidates that we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that may be caused by changing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hiring new employees to support our continued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filing and prosecuting patent applications and enforcing and defending patent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procuring clinical and commercial supplies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establishing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legal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potential litigation related to collaboration agreements;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or technologies.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prepare our condensed consolidated financial statements in conformity with GAAP. As such, we make certain estimates, judgments and assumptions that we believe are reasonable, based upon information available to us. These judgments involve making estimates about the effect of matters that are inherently uncertain and may significantly impact our reported results of operations and financial condition. We describe our significant accounting policies more fully in Note 2 to our consolidated financial statements for the year ended December 31, 2025 included in the 2025 Annual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from the information provided in Item 7, Management’s Discussion and Analysis of Financial Condition and Results of Operations, included in the 2025 Annual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exposure to market risk is interest income sensitivity, which is affected by changes in the general level of interest rates in the United States. Due to the nature of our cash and cash equivalents, we believe that we are not subject to any material market risk exposure. We maintain an immaterial amount of foreign currency, which we do not consider to pose a material risk. We do not use derivative financial instruments.</w:t>
      </w:r>
    </w:p>
    <w:p>
      <w:pPr>
        <w:pStyle w:val="TextBody"/>
        <w:bidi w:val="0"/>
        <w:spacing w:before="36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by Rule 13a-15(b) and Rule 15d-15(b) of the Exchange Act, our management, including our principal executive officer, and our principal financial and accounting officer, conducted an evaluation as of the end of the period covered by this Quarterly Report on Form 10-Q of the effectiveness of the design and operation of our disclosure controls and procedures. Based on that evaluation, management has concluded that as of March 31, 2026, our disclosure controls and procedures were effective at the reasonable assurance level for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disclosure controls and procedures have been designed to ensure that: (i) information required to be disclosed by us in reports that we file or submit to the SEC under the Exchange Act is recorded, processed, summarized, and reported within the time periods specified in applicable rules and forms and (ii) material information required to be disclosed in our reports filed under the Exchange Act is accumulated and communicated to management, including the CEO and the CFO, as appropriate, to allow for accurate and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does not expect that our disclosure controls and procedures will prevent all error and all fraud. The effectiveness of our or any system of disclosure controls and procedures, however well designed and operated, can provide only reasonable assurance that the objectives of the system will be met and is subject to certain limitations, including the exercise of judgment in designing, implementing, and evaluating controls and procedures and the assumptions used in identifying the likelihood of future events.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required by Rule 13a-15(d) and Rule 15d-15(d) of the Exchange Act, our management, including our principal executive officer and our principal financial and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and our principal financial and accounting officer concluded that there were no changes in our internal controls over financial reporting during the periods covered by this Quarterly Report on Form 10-Q that materially affected, or were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art_iior_information"/>
      <w:bookmarkEnd w:id="14"/>
      <w:r>
        <w:rPr>
          <w:rFonts w:ascii="Times New Roman" w:hAnsi="Times New Roman"/>
          <w:b/>
          <w:color w:val="000000"/>
          <w:sz w:val="20"/>
        </w:rPr>
        <w:t>PART II—OTHER INFORMATION</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involved in various legal proceedings and subject to claims that arise in the ordinary course of business, and the results of litigation and claims are inherently unpredictable and uncertain. Other than as set forth below, we are not currently a party to any material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23, 2025, we filed a lawsuit against AbbVie Inc., Capstan Therapeutics, Inc. and other defendants in the United States District Court for the Southern District of California, asserting claims for trade secret misappropriation and breach of contract. The defendants filed a motion to discuss the complaint in December 2025, and we filed an opposition to that motion in January 2026. On March 30, 2026, the Court denied in part and granted in part the motion to dismiss. The Court gave us leave to amend on the points where it granted the motion. We filed an Amended Complaint on April 13, 2026, against the same defendants and asserting the same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30, 2025, we initiated an arbitration against CSL Seqirus before the International Chamber of Commerce, seeking payment of a milestone under the CSL Collaboration Agreement based on the European Commission’s grant of marketing authorization for a presentation of KOSTAIVE® in the European Union. On July 25, 2025, CSL Seqirus submitted an Answer in the arbitration contending that it does not have a current obligation to pay the milestone. On March 27, 2026, we submitted our Statement of Claim. The arbitration is ongoing with a hearing scheduled to occur in the third quarter of 2026.</w:t>
      </w:r>
    </w:p>
    <w:p>
      <w:pPr>
        <w:pStyle w:val="TextBody"/>
        <w:bidi w:val="0"/>
        <w:spacing w:before="36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various risks, including those described in Item 1A of our Annual Report on Form 10-K for the fiscal year ended December 31, 2025, which we strongly encourage you to review. Except as disclosed below, there have been no material changes from the risk factors described in our Annual Report on Form 10-K for the year ended December 31, 2025 filed with the Commission on March 3,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Geopolitical risks associated with ongoing wars and armed conflicts could have an adverse impact on our business, financial condition and results of operations, including our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developments related to ongoing global conflicts and tensions are sources of uncertainty and risk, and may cause disruptions to global or regional markets, supply chains or operations in applicable regions, including those related to conflicts in the Middle East. We have and may continue to evaluate and engage in activities, including engagement of clinical sites, in the Middle East. Conflicts in the Middle East could disrupt operations of companies doing business in the region, including in Israel. Any significant changes in the political, economic, financial, competitive, legal and regulatory or reimbursement conditions where we conduct, or plan to expand, our international operations may have a material impact on our business, financial condition or results of operations.</w:t>
      </w:r>
    </w:p>
    <w:p>
      <w:pPr>
        <w:pStyle w:val="TextBody"/>
        <w:bidi w:val="0"/>
        <w:spacing w:before="36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20" w:name="item_5_or_information"/>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none of our directors or officers, as defined in Rule 16a-1(f) of the Exchange Act, adopted or terminated a "Rule 10b5-1 trading arrangement" (as defined in Item 408 of Regulation S-K of the Exchange Act) intended to satisfy the affirmative defense conditions of Rule 10b5-1(c) under the Exchange Act.</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8"/>
        <w:gridCol w:w="146"/>
        <w:gridCol w:w="9131"/>
      </w:tblGrid>
      <w:tr>
        <w:trPr/>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31" w:type="dxa"/>
            <w:tcBorders/>
            <w:vAlign w:val="center"/>
          </w:tcPr>
          <w:p>
            <w:pPr>
              <w:pStyle w:val="TableContents"/>
              <w:bidi w:val="0"/>
              <w:spacing w:before="0" w:after="283"/>
              <w:jc w:val="left"/>
              <w:rPr>
                <w:sz w:val="4"/>
                <w:szCs w:val="4"/>
              </w:rPr>
            </w:pPr>
            <w:r>
              <w:rPr>
                <w:sz w:val="4"/>
                <w:szCs w:val="4"/>
              </w:rPr>
            </w:r>
          </w:p>
        </w:tc>
      </w:tr>
      <w:tr>
        <w:trPr/>
        <w:tc>
          <w:tcPr>
            <w:tcW w:w="92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92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Controlled Equity Offering℠ Sales Agreement, dated as of December 23, 2022 by and between Cantor Fitzgerald &amp; Co, Wells Fargo Securities, LLC and Arcturus Therapeutics Holdings Inc. Incorporated by reference to Exhibit 1.2 to Registration Statement on Form S-3 filed on December 23, 2022 (File No. 333269003).</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Amendment No. 1 to Controlled Equity Offering℠ Sales Agreement by and between Cantor Fitzgerald &amp; Co, Wells Fargo Securities, LLC, William Blair &amp; Company, L.L.C., and Arcturus Therapeutics Holdings Inc. Incorporated by reference to Exhibit 1.1 to Form 8-K filed on August 7, 2023.</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Incorporation. Incorporated by reference to Annex B to the proxy statement/prospectus which forms part of the Registration Statement on Form S-4 filed on March 18, 2019 (File No. 333-230353).</w:t>
              </w:r>
            </w:hyperlink>
            <w:hyperlink r:id="rId7">
              <w:r>
                <w:rPr>
                  <w:rStyle w:val="InternetLink"/>
                  <w:rFonts w:ascii="Times New Roman" w:hAnsi="Times New Roman"/>
                  <w:color w:val="0000FF"/>
                  <w:sz w:val="20"/>
                </w:rPr>
                <w:t xml:space="preserve"> </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Certificate of Amendment, dated November 25, 2020. Incorporated by reference to Exhibit 3.1 to Form 8-K filed on November 25, 2020 (File No. 001-38942).</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Bylaws of Arcturus Therapeutics Holdings Inc. Incorporated by reference to Exhibit 3.2 to the Company’s Registration Statement on Form S-3, filed with the SEC on May 8, 2020 (File No. 333-238139).</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Description of Registrant’s Securities. Incorporated by reference to Exhibit 4.1 to the Company’s Annual Report on Form 10-K for the year ended December 31, 2021 filed on February 28, 2022 (File No. 001-38942).</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Indemnification Agreement. Incorporated by reference to Exhibit 10.1 to the Company’s Annual Report on Form 10-K for the year ended December 31, 2019 filed on March 16, 2020 (File No. 001-38942).</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Amended and Restated 2019 Omnibus Equity Incentive Plan. Incorporated by reference Exhibit 4.3 to the Registration Statement on Form S-8 filed on August 5, 2020 (File No. 333-240397).</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Arcturus Therapeutics Ltd. Amended and Restated Compensation Policy for Company Office Holders. Incorporated by reference to Exhibit 99.2 to the Company’s Report of Foreign Private Issuer on Form 6-K filed on July 27, 2018 (File No. 001-35932).</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Research and Exclusive License Agreement, by and between Arcturus Therapeutics, Inc. and Synthetic Genomics, Inc., effective October 24, 2017. Incorporated by reference to Exhibit 4.8 to Form 20-F filed on May 14, 2018 (File No. 001-35932).</w:t>
              </w:r>
            </w:hyperlink>
            <w:r>
              <w:rPr>
                <w:rFonts w:ascii="Times New Roman" w:hAnsi="Times New Roman"/>
                <w:color w:val="0000FF"/>
                <w:sz w:val="20"/>
              </w:rPr>
              <w:t xml:space="preserve"> </w:t>
            </w:r>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Letter Agreement, by and between Arcturus Therapeutics, Inc. and the Cystic Fibrosis Foundation, dated May 16, 2017. Incorporated by reference to Exhibit 4.11 to Form 20-F filed on May 14, 2018 (File No. 001-35932).</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Amendment No. 2 to Letter Agreement, by and between Arcturus Therapeutics, Inc. and the Cystic Fibrosis Foundation, dated August 1, 2019. Incorporated by reference to Exhibit 10.16 to Form 10-Q filed on August 14, 2019.</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License Agreement, by and between Arcturus Therapeutics, Inc., as successor-in-interest to Marina Biotech, Inc., and Protiva Biotherapeutics Inc., dated as of November 28, 2012. Incorporated by reference to Exhibit 4.14 to Form 20-F/A filed on July 10, 2018 (File No. 001-35932).</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Amended and Restated Joint Venture, Research Collaboration and License Agreement, dated as of July 14, 2018 by and between Arcturus Therapeutics, Inc. and Providence Therapeutics, Inc. Incorporated by reference to Exhibit 10.14 to the Company’s Amendment No. 1 to Annual Report on Form 10-K for the year ended December 31, 2018 filed on April 10, 2019 (File No. 001-35932).</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Lease Agreement, by and between Arcturus Therapeutics, Inc. and ARE-SD Region No. 44, LLC, dated October 4, 2017. Incorporated by reference to Exhibit 4.6 to Form 20-F filed on May 14, 2018 (File No. 001-35932)</w:t>
              </w:r>
            </w:hyperlink>
            <w:r>
              <w:rPr>
                <w:rFonts w:ascii="Times New Roman" w:hAnsi="Times New Roman"/>
                <w:color w:val="0000FF"/>
                <w:sz w:val="20"/>
              </w:rPr>
              <w:t>.</w:t>
            </w:r>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First Amendment to Lease Agreement, by and between Arcturus Therapeutics Holdings Inc. and ARE-SD Region No. 44, LLC dated February 1, 2020. Incorporated by reference to Exhibit 10.23 to the Company’s Annual Report on Form 10-K for the year ended December 31, 2019 filed on March 16, 2020 (File No. 001-38942).</w:t>
              </w:r>
            </w:hyperlink>
          </w:p>
        </w:tc>
      </w:tr>
      <w:tr>
        <w:trPr/>
        <w:tc>
          <w:tcPr>
            <w:tcW w:w="9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Acceptance Letter, dated March 4, 2020, by and between Arcturus Therapeutics Holdings Inc. and the Economic Development Board of Singapore. Incorporated by reference to Exhibit 10.24 to the Company’s Annual Report on Form 10-K for the year ended December 31, 2019 filed on March 16, 2020 (File No. 001-38942).</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7"/>
        <w:gridCol w:w="146"/>
        <w:gridCol w:w="9382"/>
      </w:tblGrid>
      <w:tr>
        <w:trPr/>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2" w:type="dxa"/>
            <w:tcBorders/>
            <w:vAlign w:val="center"/>
          </w:tcPr>
          <w:p>
            <w:pPr>
              <w:pStyle w:val="TableContents"/>
              <w:bidi w:val="0"/>
              <w:spacing w:before="0" w:after="283"/>
              <w:jc w:val="left"/>
              <w:rPr>
                <w:sz w:val="4"/>
                <w:szCs w:val="4"/>
              </w:rPr>
            </w:pPr>
            <w:r>
              <w:rPr>
                <w:sz w:val="4"/>
                <w:szCs w:val="4"/>
              </w:rPr>
            </w:r>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Manufacturing Support Agreement, dated November 7, 2020, by and between Arcturus Therapeutics Holdings Inc. and the Economic Development Board of Singapore. Incorporated by reference to Exhibit 10.33 to Quarterly Report on Form 10-Q filed on November 9, 2020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2020 Employee Stock Purchase Plan. Incorporated by reference to Exhibit 4.3 to Form S-8 filed on August 5, 2020 (File No. 333-240392).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Second Amendment to Lease, by and between Arcturus Therapeutics, Inc. and ARE-SD Region No. 44, LLC, dated November 13, 2020. Incorporated by reference to Exhibit 10.29 to the Company’s Annual Report on Form 10-K for the year ended December 31, 2020 filed on March 1, 2020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Third Amendment to Lease, by and between Arcturus Therapeutics, Inc. and ARE-SD Region No. 44, LLC, dated February 25, 2021. Incorporated by reference to Exhibit 10.30 to the Company’s Annual Report on Form 10-K for the year ended December 31, 2020 filed on March 1, 2020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Arcturus Therapeutics Holdings Inc. Severance Policy for Executives. Incorporated by reference to Exhibit 10.1 to Current Report on Form 8-K filed on April 26, 2021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Employment Agreement, dated as of June 13, 2019, between the Company and Joseph Payne. Incorporated by reference to Exhibit 10.1 to Form 8-K12B filed on June 14, 2019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Employment Agreement, dated as of June 13, 2019, between the Company and Andy Sassine. Incorporated by reference to Exhibit 10.2 to Form 8-K12B filed on June 14, 2019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Employment Agreement, dated as of June 13, 2019, between the Company and Dr. Padmanabh Chivukula. Incorporated by reference to Exhibit 10.3 to Form 8-K12B filed on June 14, 2019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2021 Inducement Equity Incentive Plan. Incorporated by reference to Exhibit 4.1 to Form S-8 filed on October 20, 2021 (File No. 333-260391).</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Lease, by and between Arcturus Therapeutics, Inc. and TPSC IX, LLC, dated September 29, 2021. Incorporated by reference to Exhibit 10.35 to Form 10-Q filed on November 9, 2021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Technology License and Technical Support Agreement, signed July 29, 2021 and effective July 30, 2021, by and between Arcturus Therapeutics, Inc. and Vinbiotech Research and Manufacture Joint Stock Company. Incorporated by reference to Exhibit 10.32 to Quarterly Report on Form 10-Q filed on August 10, 2021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Framework Drug Substance Supply Agreement, signed July 29, 2021 and effective July 30, 2021, by and between Arcturus Therapeutics, Inc. and Vinbiotech Research and Manufacture Joint Stock Company. Incorporated by reference to Exhibit 10.33 to Quarterly Report on Form 10-Q filed on August 10, 2021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Amended and Restated 2019 Omnibus Equity Incentive Plan, as amended. Incorporated by reference to Exhibit 10.1 to Current Report on Form 8-K filed on June 14, 2024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Study Support Agreement effective October 31, 2022, by and between Arcturus Therapeutics, Inc. and Vinbiocare Research and Manufacture Joint Stock Company. Incorporated by reference to Exhibit 10.1 to Current Report on Form 8-K filed on November 4, 2022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Cost Reimbursement Contract dated August 31, 2022, by and between Arcturus Therapeutics Holdings Inc. and Biomedical Advanced Research and Development Authority of the U.S. Department of Health and Human Services. Incorporated by reference to Exhibit 10.36 to Quarterly Report on Form 10-Q filed on November 9, 2022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Collaboration and License Agreement, dated November 1, 2022, by and between Arcturus Therapeutics Holdings Inc. and CSL Limited. Incorporated by reference to Exhibit 10.38 to Quarterly Report on Form 10-Q filed on November 9, 2022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Manufacturing Support Agreement Termination Letter, dated March 23, 2023, by and between Arcturus Therapeutics, Inc. and the Economic Development of Singapore. Incorporated by reference to Exhibit 10.41 to Annual Report on Form 10-K filed on March 29, 2023 (File No. 001-38942).</w:t>
              </w:r>
            </w:hyperlink>
            <w:hyperlink r:id="rId39">
              <w:r>
                <w:rPr>
                  <w:rStyle w:val="InternetLink"/>
                  <w:rFonts w:ascii="Times New Roman" w:hAnsi="Times New Roman"/>
                  <w:color w:val="0000FF"/>
                  <w:sz w:val="20"/>
                </w:rPr>
                <w:t xml:space="preserve"> </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Credit Agreement dated April 21, 2023, by and between Arcturus Therapeutics, Inc. and Wells Fargo Bank, National Association. Incorporated by reference to Exhibit 10.28 to Quarterly Report on Form 10-Q filed on May 9, 2023 (File No. 001-38942).</w:t>
              </w:r>
            </w:hyperlink>
            <w:hyperlink r:id="rId41">
              <w:r>
                <w:rPr>
                  <w:rStyle w:val="InternetLink"/>
                  <w:rFonts w:ascii="Times New Roman" w:hAnsi="Times New Roman"/>
                  <w:color w:val="0000FF"/>
                  <w:sz w:val="20"/>
                </w:rPr>
                <w:t xml:space="preserve"> </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6"/>
        <w:gridCol w:w="146"/>
        <w:gridCol w:w="9373"/>
      </w:tblGrid>
      <w:tr>
        <w:trPr/>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3" w:type="dxa"/>
            <w:tcBorders/>
            <w:vAlign w:val="center"/>
          </w:tcPr>
          <w:p>
            <w:pPr>
              <w:pStyle w:val="TableContents"/>
              <w:bidi w:val="0"/>
              <w:spacing w:before="0" w:after="283"/>
              <w:jc w:val="left"/>
              <w:rPr>
                <w:sz w:val="4"/>
                <w:szCs w:val="4"/>
              </w:rPr>
            </w:pPr>
            <w:r>
              <w:rPr>
                <w:sz w:val="4"/>
                <w:szCs w:val="4"/>
              </w:rPr>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Security Agreement dated April 21, 2023, by and between Arcturus Therapeutics, Inc. and Wells Fargo Bank, National Association. Incorporated by reference to Exhibit 10.29 to Quarterly Report on Form 10-Q filed on May 9, 2023 (File No. 001-38942).</w:t>
              </w:r>
            </w:hyperlink>
            <w:hyperlink r:id="rId43">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Revolving Line of Credit Note dated April 21, 2023, by and between Arcturus Therapeutics, Inc. and Wells Fargo Bank, National Association. Incorporated by reference to Exhibit 10.30 to Quarterly Report on Form 10-Q filed on May 9, 2023 (File No. 001-38942).</w:t>
              </w:r>
            </w:hyperlink>
            <w:hyperlink r:id="rId45">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Amendment Number One to Collaboration and License Agreement, dated August 3, 2023, by and between Arcturus Therapeutics, Inc. and Seqirus Inc. Incorporated by reference to Exhibit 10.31 to Quarterly Report on Form 10-Q filed on November 14, 2023 (File No. 001-38942).</w:t>
              </w:r>
            </w:hyperlink>
            <w:hyperlink r:id="rId47">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Amendment No. 4 to Letter Agreement, dated September 25, 2023, by and between Arcturus Therapeutics, Inc. and the Cystic Fibrosis Foundation. Incorporated by reference to Exhibit 10.32 to Quarterly Report on Form 10-Q filed on November 14, 2023 (File No. 001-38942).</w:t>
              </w:r>
            </w:hyperlink>
            <w:hyperlink r:id="rId49">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First Amendment to Credit Agreement and First Amendment to Revolving Line of Credit, dated June 26, 2024, by and between Arcturus Therapeutics, Inc. and Wells Fargo Bank, National Association. Incorporated by reference to Exhibit 10.35 to Quarterly Report on Form 10-Q filed on August 5, 2024 (File No. 001-38942).</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Fifth Amendment to Lease, by and between Arcturus Therapeutics, Inc. and ARE-SD Region No. 44, LLC, dated July 12, 2024. Incorporated by reference to Exhibit 10.36 to Quarterly Report on Form 10-Q filed on November 7, 2024 (File No. 001-38942).</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Separation Agreement and General Release between Arcturus Therapeutics Holdings Inc. and Andy Sassine dated December 11, 2025. Incorporated by reference to Exhibit 10.1 to Current Report on Form 8-K filed on December 15, 2025 (File No. 001-38942).</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Employment Agreement between Arcturus Therapeutics Holdings Inc. and Joe Roberts dated July 3, 2018. Incorporated by reference to Exhibit 10.2 to Current Report on Form 8-K filed on December 15, 2025 (File No. 001-38942).</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w:anchor="arct-ex31_1.htm">
              <w:r>
                <w:rPr>
                  <w:rStyle w:val="InternetLink"/>
                  <w:rFonts w:ascii="Times New Roman" w:hAnsi="Times New Roman"/>
                  <w:color w:val="0000FF"/>
                  <w:sz w:val="20"/>
                  <w:u w:val="single"/>
                </w:rPr>
                <w:t>Certification of Principal Executive Officer Pursuant to Rule 13a-14(a) or 15d-14(a) under the Securities Exchange Act of 1934, as amended.</w:t>
              </w:r>
            </w:hyperlink>
            <w:hyperlink w:anchor="arct-ex31_1.htm">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w:anchor="arct-ex31_2.htm">
              <w:r>
                <w:rPr>
                  <w:rStyle w:val="InternetLink"/>
                  <w:rFonts w:ascii="Times New Roman" w:hAnsi="Times New Roman"/>
                  <w:color w:val="0000FF"/>
                  <w:sz w:val="20"/>
                  <w:u w:val="single"/>
                </w:rPr>
                <w:t>Certification by Principal Financial Officer pursuant to Rule 13a-14(a) or 15d-14(a) under the Securities Exchange Act of 1934, as amended.</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w:anchor="arct-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hyperlink w:anchor="arct-ex32_1.htm">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w:anchor="arct-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hyperlink w:anchor="arct-ex32_2.htm">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financial statements and footnotes from the Registrant’s Quarterly Report on Form 10-Q for the fiscal quarter ended March 31, 2026 formatted in Inline Extensible Business Reporting Language (Inline XBRL):</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 Inline XBRL Instance Document - the instance document does not appear in the Interactive Data File because its XBRL tags are embedded within the Inline XBRL document</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 Inline XBRL Taxonomy Extension Schema</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 Inline XBRL Taxonomy Extension Calculation Linkbase</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 Inline XBRL Taxonomy Extension Definition Linkbase</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 Inline XBRL Taxonomy Extension Label Linkbase</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 Inline XBRL Taxonomy Extension Presentation Linkbase</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within the Inline XBRL document)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The certifications attached as Exhibits 32.1 and 32.2 that accompany this Quarterly Report are not deemed filed with the SEC and are not to be incorporated by reference into any filing of Arcturus Therapeutics Holdings Inc. under the Securities Act of 1933 or the Securities Exchange Act of 1934, whether made before or after the date of this Quarterly Report, irrespective of any general incorporation language contained in such filing</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Certain confidential portions of this exhibit have been redacted from the publicly filed document because such portions are (i) not material and (ii) would be competitively harmful if publicly disclosed.</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Management compensatory plan, contract or arrangement.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
      <w:bookmarkEnd w:id="22"/>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173" w:type="dxa"/>
        <w:jc w:val="left"/>
        <w:tblInd w:w="0" w:type="dxa"/>
        <w:tblLayout w:type="fixed"/>
        <w:tblCellMar>
          <w:top w:w="28" w:type="dxa"/>
          <w:left w:w="28" w:type="dxa"/>
          <w:bottom w:w="28" w:type="dxa"/>
          <w:right w:w="28" w:type="dxa"/>
        </w:tblCellMar>
      </w:tblPr>
      <w:tblGrid>
        <w:gridCol w:w="1636"/>
        <w:gridCol w:w="451"/>
        <w:gridCol w:w="5086"/>
      </w:tblGrid>
      <w:tr>
        <w:trPr/>
        <w:tc>
          <w:tcPr>
            <w:tcW w:w="163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08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ARCTURUS THERAPEUTICS HOLDINGS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5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Joseph Roberts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Joseph Roberts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Principal Finance and Accounting Officer, Controller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bookmarkStart w:id="23" w:name="arct-ex31_1.htm"/>
      <w:bookmarkStart w:id="24" w:name="ksarctex31_1"/>
      <w:bookmarkEnd w:id="23"/>
      <w:bookmarkEnd w:id="24"/>
      <w:r>
        <w:rPr/>
        <w:t> </w:t>
      </w:r>
      <w:r>
        <w:br w:type="page"/>
      </w:r>
    </w:p>
    <w:p>
      <w:pPr>
        <w:pStyle w:val="TextBody"/>
        <w:bidi w:val="0"/>
        <w:jc w:val="right"/>
        <w:rPr>
          <w:rFonts w:ascii="Times New Roman" w:hAnsi="Times New Roman"/>
          <w:b/>
          <w:color w:val="000000"/>
          <w:sz w:val="20"/>
        </w:rPr>
      </w:pPr>
      <w:bookmarkStart w:id="25" w:name="exhibit_index"/>
      <w:bookmarkEnd w:id="25"/>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Joseph E. Payne,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Arcturus Therapeutics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82" w:type="dxa"/>
        <w:jc w:val="left"/>
        <w:tblInd w:w="0" w:type="dxa"/>
        <w:tblLayout w:type="fixed"/>
        <w:tblCellMar>
          <w:top w:w="28" w:type="dxa"/>
          <w:left w:w="28" w:type="dxa"/>
          <w:bottom w:w="28" w:type="dxa"/>
          <w:right w:w="28" w:type="dxa"/>
        </w:tblCellMar>
      </w:tblPr>
      <w:tblGrid>
        <w:gridCol w:w="1636"/>
        <w:gridCol w:w="109"/>
        <w:gridCol w:w="406"/>
        <w:gridCol w:w="333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E. Payne</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E. Payne</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arct-ex31_2.htm"/>
      <w:bookmarkStart w:id="27" w:name="ksarctex31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Joseph Roberts,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Arcturus Therapeutics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902" w:type="dxa"/>
        <w:jc w:val="left"/>
        <w:tblInd w:w="0" w:type="dxa"/>
        <w:tblLayout w:type="fixed"/>
        <w:tblCellMar>
          <w:top w:w="28" w:type="dxa"/>
          <w:left w:w="28" w:type="dxa"/>
          <w:bottom w:w="28" w:type="dxa"/>
          <w:right w:w="28" w:type="dxa"/>
        </w:tblCellMar>
      </w:tblPr>
      <w:tblGrid>
        <w:gridCol w:w="1636"/>
        <w:gridCol w:w="109"/>
        <w:gridCol w:w="406"/>
        <w:gridCol w:w="375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Roberts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Roberts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Corporate Controller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arct-ex32_1.htm"/>
      <w:bookmarkStart w:id="29" w:name="ksarctex32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undersigned, the President and Chief Executive Officer of Arcturus Therapeutics Holdings Inc. (the "Company"), hereby certifies on the date hereof, pursuant to 18 U.S.C. 1350(a), as adopted pursuant to Section 906 of The Sarbanes-Oxley Act of 2002, that the Quarterly Report on Form 10-Q for the period ended March 31, 2026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jc w:val="left"/>
        <w:rPr/>
      </w:pPr>
      <w:r>
        <w:rPr/>
        <w:t> </w:t>
      </w:r>
    </w:p>
    <w:tbl>
      <w:tblPr>
        <w:tblW w:w="5482" w:type="dxa"/>
        <w:jc w:val="left"/>
        <w:tblInd w:w="0" w:type="dxa"/>
        <w:tblLayout w:type="fixed"/>
        <w:tblCellMar>
          <w:top w:w="28" w:type="dxa"/>
          <w:left w:w="28" w:type="dxa"/>
          <w:bottom w:w="28" w:type="dxa"/>
          <w:right w:w="28" w:type="dxa"/>
        </w:tblCellMar>
      </w:tblPr>
      <w:tblGrid>
        <w:gridCol w:w="1636"/>
        <w:gridCol w:w="109"/>
        <w:gridCol w:w="406"/>
        <w:gridCol w:w="333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E. Payne</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E. Payne</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arct-ex32_2.htm"/>
      <w:bookmarkStart w:id="31" w:name="ksarctex32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 OF PRINCIPAL FINANCIAL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undersigned, the Corporate Controller of Arcturus Therapeutics Holdings Inc. (the "Company"), hereby certifies on the date hereof, pursuant to 18 U.S.C. 1350(a), as adopted pursuant to Section 906 of The Sarbanes-Oxley Act of 2002, that the Quarterly Report on Form 10-Q for the period ended March 31, 2026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jc w:val="left"/>
        <w:rPr/>
      </w:pPr>
      <w:r>
        <w:rPr/>
        <w:t> </w:t>
      </w:r>
    </w:p>
    <w:tbl>
      <w:tblPr>
        <w:tblW w:w="5902" w:type="dxa"/>
        <w:jc w:val="left"/>
        <w:tblInd w:w="0" w:type="dxa"/>
        <w:tblLayout w:type="fixed"/>
        <w:tblCellMar>
          <w:top w:w="28" w:type="dxa"/>
          <w:left w:w="28" w:type="dxa"/>
          <w:bottom w:w="28" w:type="dxa"/>
          <w:right w:w="28" w:type="dxa"/>
        </w:tblCellMar>
      </w:tblPr>
      <w:tblGrid>
        <w:gridCol w:w="1636"/>
        <w:gridCol w:w="109"/>
        <w:gridCol w:w="406"/>
        <w:gridCol w:w="375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Roberts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Roberts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Corporate Controller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financial and accounting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hyperlink" Target="https://www.sec.gov/Archives/edgar/data/1768224/000119380522001786/e618047_ex1-2.htm" TargetMode="External"/><Relationship Id="rId5" Type="http://schemas.openxmlformats.org/officeDocument/2006/relationships/hyperlink" Target="https://www.sec.gov/Archives/edgar/data/1768224/000119380523001112/e618839_ex1-1.htm" TargetMode="External"/><Relationship Id="rId6" Type="http://schemas.openxmlformats.org/officeDocument/2006/relationships/hyperlink" Target="https://www.sec.gov/Archives/edgar/data/0001566049/000119312519077140/d721306ds4.htm" TargetMode="External"/><Relationship Id="rId7" Type="http://schemas.openxmlformats.org/officeDocument/2006/relationships/hyperlink" Target="https://www.sec.gov/Archives/edgar/data/0001566049/000119312519077140/d721306ds4.htm" TargetMode="External"/><Relationship Id="rId8" Type="http://schemas.openxmlformats.org/officeDocument/2006/relationships/hyperlink" Target="https://www.sec.gov/Archives/edgar/data/0001768224/000119380520001470/e620104_ex3-1.htm" TargetMode="External"/><Relationship Id="rId9" Type="http://schemas.openxmlformats.org/officeDocument/2006/relationships/hyperlink" Target="https://www.sec.gov/Archives/edgar/data/0001768224/000119380520000569/e619613_ex3-2.htm" TargetMode="External"/><Relationship Id="rId10" Type="http://schemas.openxmlformats.org/officeDocument/2006/relationships/hyperlink" Target="https://www.sec.gov/Archives/edgar/data/1768224/000156459021009872/arct-ex41_391.htm" TargetMode="External"/><Relationship Id="rId11" Type="http://schemas.openxmlformats.org/officeDocument/2006/relationships/hyperlink" Target="https://www.sec.gov/Archives/edgar/data/1768224/000156459020011037/arct-ex101_364.htm" TargetMode="External"/><Relationship Id="rId12" Type="http://schemas.openxmlformats.org/officeDocument/2006/relationships/hyperlink" Target="https://www.sec.gov/Archives/edgar/data/0001768224/000119380520000940/e619825_ex4-3.htm" TargetMode="External"/><Relationship Id="rId13" Type="http://schemas.openxmlformats.org/officeDocument/2006/relationships/hyperlink" Target="https://www.sec.gov/Archives/edgar/data/1566049/000119380518001024/e618195_ex99-2.htm" TargetMode="External"/><Relationship Id="rId14" Type="http://schemas.openxmlformats.org/officeDocument/2006/relationships/hyperlink" Target="https://www.sec.gov/Archives/edgar/data/0001566049/000156459018013460/arct-ex48_879.htm" TargetMode="External"/><Relationship Id="rId15" Type="http://schemas.openxmlformats.org/officeDocument/2006/relationships/hyperlink" Target="https://www.sec.gov/Archives/edgar/data/1566049/000156459018013460/arct-ex411_878.htm" TargetMode="External"/><Relationship Id="rId16" Type="http://schemas.openxmlformats.org/officeDocument/2006/relationships/hyperlink" Target="https://www.sec.gov/Archives/edgar/data/1768224/000156459019032166/arct-ex1016_165.htm" TargetMode="External"/><Relationship Id="rId17" Type="http://schemas.openxmlformats.org/officeDocument/2006/relationships/hyperlink" Target="https://www.sec.gov/Archives/edgar/data/1566049/000156459018013460/arct-ex414_877.htm" TargetMode="External"/><Relationship Id="rId18" Type="http://schemas.openxmlformats.org/officeDocument/2006/relationships/hyperlink" Target="https://www.sec.gov/Archives/edgar/data/1566049/000156459019011220/arct-ex1014_6.htm" TargetMode="External"/><Relationship Id="rId19" Type="http://schemas.openxmlformats.org/officeDocument/2006/relationships/hyperlink" Target="https://www.sec.gov/Archives/edgar/data/1566049/000156459018013460/arct-ex46_882.htm" TargetMode="External"/><Relationship Id="rId20" Type="http://schemas.openxmlformats.org/officeDocument/2006/relationships/hyperlink" Target="https://www.sec.gov/Archives/edgar/data/1768224/000156459020011037/arct-ex1023_426.htm" TargetMode="External"/><Relationship Id="rId21" Type="http://schemas.openxmlformats.org/officeDocument/2006/relationships/hyperlink" Target="https://www.sec.gov/Archives/edgar/data/0001768224/000156459020011037/arct-ex1024_365.htm" TargetMode="External"/><Relationship Id="rId22" Type="http://schemas.openxmlformats.org/officeDocument/2006/relationships/hyperlink" Target="https://www.sec.gov/Archives/edgar/data/1768224/000156459020052527/arct-ex1033_98.htm" TargetMode="External"/><Relationship Id="rId23" Type="http://schemas.openxmlformats.org/officeDocument/2006/relationships/hyperlink" Target="https://www.sec.gov/Archives/edgar/data/0001768224/000119380520000940/e619825_ex4-3.htm" TargetMode="External"/><Relationship Id="rId24" Type="http://schemas.openxmlformats.org/officeDocument/2006/relationships/hyperlink" Target="https://www.sec.gov/Archives/edgar/data/1768224/000156459021009872/arct-ex1029_392.htm" TargetMode="External"/><Relationship Id="rId25" Type="http://schemas.openxmlformats.org/officeDocument/2006/relationships/hyperlink" Target="https://www.sec.gov/Archives/edgar/data/1768224/000156459021009872/arct-ex1030_393.htm" TargetMode="External"/><Relationship Id="rId26" Type="http://schemas.openxmlformats.org/officeDocument/2006/relationships/hyperlink" Target="https://www.sec.gov/Archives/edgar/data/1768224/000119380521000538/e620514_ex10-1.htm" TargetMode="External"/><Relationship Id="rId27" Type="http://schemas.openxmlformats.org/officeDocument/2006/relationships/hyperlink" Target="https://www.sec.gov/Archives/edgar/data/1768224/000119312519173808/d826633dex101.htm" TargetMode="External"/><Relationship Id="rId28" Type="http://schemas.openxmlformats.org/officeDocument/2006/relationships/hyperlink" Target="https://www.sec.gov/Archives/edgar/data/1768224/000119312519173808/d826633dex102.htm" TargetMode="External"/><Relationship Id="rId29" Type="http://schemas.openxmlformats.org/officeDocument/2006/relationships/hyperlink" Target="https://www.sec.gov/Archives/edgar/data/1768224/000119312519173808/d826633dex103.htm" TargetMode="External"/><Relationship Id="rId30" Type="http://schemas.openxmlformats.org/officeDocument/2006/relationships/hyperlink" Target="https://www.sec.gov/Archives/edgar/data/1768224/000119380521001468/e621018_ex4-1.htm" TargetMode="External"/><Relationship Id="rId31" Type="http://schemas.openxmlformats.org/officeDocument/2006/relationships/hyperlink" Target="https://www.sec.gov/Archives/edgar/data/1768224/000156459021055372/arct-ex1035_75.htm" TargetMode="External"/><Relationship Id="rId32" Type="http://schemas.openxmlformats.org/officeDocument/2006/relationships/hyperlink" Target="https://www.sec.gov/Archives/edgar/data/1768224/000156459021042750/arct-ex1032_47.htm" TargetMode="External"/><Relationship Id="rId33" Type="http://schemas.openxmlformats.org/officeDocument/2006/relationships/hyperlink" Target="https://www.sec.gov/Archives/edgar/data/1768224/000156459021042750/arct-ex1033_46.htm" TargetMode="External"/><Relationship Id="rId34" Type="http://schemas.openxmlformats.org/officeDocument/2006/relationships/hyperlink" Target="https://www.sec.gov/Archives/edgar/data/1768224/000119380522001014/e621778_ex10-1.htm" TargetMode="External"/><Relationship Id="rId35" Type="http://schemas.openxmlformats.org/officeDocument/2006/relationships/hyperlink" Target="https://www.sec.gov/Archives/edgar/data/1768224/000119380522001480/e617791_ex10-1.htm" TargetMode="External"/><Relationship Id="rId36" Type="http://schemas.openxmlformats.org/officeDocument/2006/relationships/hyperlink" Target="https://www.sec.gov/Archives/edgar/data/1768224/000095017022023969/arct-ex10_36.htm" TargetMode="External"/><Relationship Id="rId37" Type="http://schemas.openxmlformats.org/officeDocument/2006/relationships/hyperlink" Target="https://www.sec.gov/Archives/edgar/data/1768224/000095017022023969/arct-ex10_38.htm" TargetMode="External"/><Relationship Id="rId38" Type="http://schemas.openxmlformats.org/officeDocument/2006/relationships/hyperlink" Target="https://www.sec.gov/Archives/edgar/data/1768224/000095017023010380/arct-ex10_41.htm" TargetMode="External"/><Relationship Id="rId39" Type="http://schemas.openxmlformats.org/officeDocument/2006/relationships/hyperlink" Target="https://www.sec.gov/Archives/edgar/data/1768224/000095017023010380/arct-ex10_41.htm" TargetMode="External"/><Relationship Id="rId40" Type="http://schemas.openxmlformats.org/officeDocument/2006/relationships/hyperlink" Target="https://www.sec.gov/Archives/edgar/data/1768224/000095017023019773/arct-ex10_28.htm" TargetMode="External"/><Relationship Id="rId41" Type="http://schemas.openxmlformats.org/officeDocument/2006/relationships/hyperlink" Target="https://www.sec.gov/Archives/edgar/data/1768224/000095017023019773/arct-ex10_28.htm" TargetMode="External"/><Relationship Id="rId42" Type="http://schemas.openxmlformats.org/officeDocument/2006/relationships/hyperlink" Target="https://www.sec.gov/Archives/edgar/data/1768224/000095017023019773/arct-ex10_29.htm" TargetMode="External"/><Relationship Id="rId43" Type="http://schemas.openxmlformats.org/officeDocument/2006/relationships/hyperlink" Target="https://www.sec.gov/Archives/edgar/data/1768224/000095017023019773/arct-ex10_29.htm" TargetMode="External"/><Relationship Id="rId44" Type="http://schemas.openxmlformats.org/officeDocument/2006/relationships/hyperlink" Target="https://www.sec.gov/Archives/edgar/data/1768224/000095017023019773/arct-ex10_30.htm" TargetMode="External"/><Relationship Id="rId45" Type="http://schemas.openxmlformats.org/officeDocument/2006/relationships/hyperlink" Target="https://www.sec.gov/Archives/edgar/data/1768224/000095017023019773/arct-ex10_30.htm" TargetMode="External"/><Relationship Id="rId46" Type="http://schemas.openxmlformats.org/officeDocument/2006/relationships/hyperlink" Target="https://www.sec.gov/Archives/edgar/data/1768224/000095017023063778/arct-ex10_31.htm" TargetMode="External"/><Relationship Id="rId47" Type="http://schemas.openxmlformats.org/officeDocument/2006/relationships/hyperlink" Target="https://www.sec.gov/Archives/edgar/data/1768224/000095017023063778/arct-ex10_31.htm" TargetMode="External"/><Relationship Id="rId48" Type="http://schemas.openxmlformats.org/officeDocument/2006/relationships/hyperlink" Target="https://www.sec.gov/Archives/edgar/data/1768224/000095017023063778/arct-ex10_32.htm" TargetMode="External"/><Relationship Id="rId49" Type="http://schemas.openxmlformats.org/officeDocument/2006/relationships/hyperlink" Target="https://www.sec.gov/Archives/edgar/data/1768224/000095017023063778/arct-ex10_32.htm" TargetMode="External"/><Relationship Id="rId50" Type="http://schemas.openxmlformats.org/officeDocument/2006/relationships/hyperlink" Target="https://www.sec.gov/Archives/edgar/data/1768224/000095017024090905/arct-ex10_35.htm" TargetMode="External"/><Relationship Id="rId51" Type="http://schemas.openxmlformats.org/officeDocument/2006/relationships/hyperlink" Target="https://www.sec.gov/Archives/edgar/data/1768224/000095017024123469/arct-ex10_36.htm" TargetMode="External"/><Relationship Id="rId52" Type="http://schemas.openxmlformats.org/officeDocument/2006/relationships/hyperlink" Target="https://www.sec.gov/Archives/edgar/data/1768224/000119380525001734/e665044_ex10-1.htm" TargetMode="External"/><Relationship Id="rId53" Type="http://schemas.openxmlformats.org/officeDocument/2006/relationships/hyperlink" Target="https://www.sec.gov/Archives/edgar/data/1768224/000119380525001734/e665044_ex10-2.htm" TargetMode="External"/><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14915</Words>
  <Characters>84145</Characters>
  <CharactersWithSpaces>99255</CharactersWithSpaces>
  <Paragraphs>2929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