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SASSINE ANDY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 w:line="3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C/O ARCTURUS THERAPEUTICS LTD. 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ARCT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560"/>
            <w:col w:w="3580" w:space="2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1074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4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268,235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99.29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12/18/2030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-1687830</wp:posOffset>
            </wp:positionV>
            <wp:extent cx="7034530" cy="18249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82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ownership by the reporting person as of the date of this report to reflect a correction from the last filed report.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underlying the option vest on the one year anniversary of the date of grant, with the remainder vesting in 36 successive equal monthly increments thereafter.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Ilan Katz, attorney-in-fact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12/22/2020</w:t>
            </w:r>
          </w:p>
        </w:tc>
      </w:tr>
      <w:tr>
        <w:trPr>
          <w:trHeight w:val="222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532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2020-12-22T18:42:02Z</dcterms:created>
  <dcterms:modified xsi:type="dcterms:W3CDTF">2020-12-22T18:42:02Z</dcterms:modified>
</cp:coreProperties>
</file>