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7149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1494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311"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Kummerfeld Keith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20"/>
        <w:spacing w:after="0" w:line="283"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Arcturus Therapeutics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ARCT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0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64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04/17/2023</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31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jc w:val="center"/>
              <w:ind w:left="60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center"/>
              <w:ind w:left="607"/>
              <w:spacing w:after="0"/>
              <w:rPr>
                <w:sz w:val="20"/>
                <w:szCs w:val="20"/>
                <w:color w:val="auto"/>
              </w:rPr>
            </w:pPr>
            <w:r>
              <w:rPr>
                <w:rFonts w:ascii="Times New Roman" w:cs="Times New Roman" w:eastAsia="Times New Roman" w:hAnsi="Times New Roman"/>
                <w:sz w:val="17"/>
                <w:szCs w:val="17"/>
                <w:color w:val="0000FF"/>
                <w:w w:val="98"/>
              </w:rPr>
              <w:t>04/18/2023</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1,031</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14.12</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1,981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center"/>
              <w:ind w:left="607"/>
              <w:spacing w:after="0"/>
              <w:rPr>
                <w:sz w:val="20"/>
                <w:szCs w:val="20"/>
                <w:color w:val="auto"/>
              </w:rPr>
            </w:pPr>
            <w:r>
              <w:rPr>
                <w:rFonts w:ascii="Times New Roman" w:cs="Times New Roman" w:eastAsia="Times New Roman" w:hAnsi="Times New Roman"/>
                <w:sz w:val="17"/>
                <w:szCs w:val="17"/>
                <w:color w:val="0000FF"/>
                <w:w w:val="98"/>
              </w:rPr>
              <w:t>04/18/2023</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4,500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6,481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center"/>
              <w:ind w:left="607"/>
              <w:spacing w:after="0"/>
              <w:rPr>
                <w:sz w:val="20"/>
                <w:szCs w:val="20"/>
                <w:color w:val="auto"/>
              </w:rPr>
            </w:pPr>
            <w:r>
              <w:rPr>
                <w:rFonts w:ascii="Times New Roman" w:cs="Times New Roman" w:eastAsia="Times New Roman" w:hAnsi="Times New Roman"/>
                <w:sz w:val="17"/>
                <w:szCs w:val="17"/>
                <w:color w:val="0000FF"/>
                <w:w w:val="98"/>
              </w:rPr>
              <w:t>04/18/2023</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1,437</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7,918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607"/>
              <w:spacing w:after="0"/>
              <w:rPr>
                <w:sz w:val="20"/>
                <w:szCs w:val="20"/>
                <w:color w:val="auto"/>
              </w:rPr>
            </w:pPr>
            <w:r>
              <w:rPr>
                <w:rFonts w:ascii="Times New Roman" w:cs="Times New Roman" w:eastAsia="Times New Roman" w:hAnsi="Times New Roman"/>
                <w:sz w:val="17"/>
                <w:szCs w:val="17"/>
                <w:color w:val="0000FF"/>
                <w:w w:val="98"/>
              </w:rPr>
              <w:t>04/18/2023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6,968</w:t>
            </w:r>
            <w:r>
              <w:rPr>
                <w:rFonts w:ascii="Times New Roman" w:cs="Times New Roman" w:eastAsia="Times New Roman" w:hAnsi="Times New Roman"/>
                <w:sz w:val="21"/>
                <w:szCs w:val="21"/>
                <w:color w:val="008000"/>
                <w:w w:val="95"/>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28.18</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1,031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14.12</w:t>
            </w: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04/17/2023</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1,031</w:t>
            </w:r>
          </w:p>
        </w:tc>
        <w:tc>
          <w:tcPr>
            <w:tcW w:w="780" w:type="dxa"/>
            <w:vAlign w:val="bottom"/>
            <w:vMerge w:val="continue"/>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02/18/2030</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5"/>
              </w:rPr>
              <w:t>8,969</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9.04</w:t>
            </w: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04/17/2023</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4,500</w:t>
            </w:r>
          </w:p>
        </w:tc>
        <w:tc>
          <w:tcPr>
            <w:tcW w:w="780" w:type="dxa"/>
            <w:vAlign w:val="bottom"/>
            <w:vMerge w:val="continue"/>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07/04/2028</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25,500</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1,437</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4.99</w:t>
            </w: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04/17/2023</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1,437</w:t>
            </w:r>
          </w:p>
        </w:tc>
        <w:tc>
          <w:tcPr>
            <w:tcW w:w="780" w:type="dxa"/>
            <w:vAlign w:val="bottom"/>
            <w:vMerge w:val="continue"/>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02/06/2029</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5"/>
              </w:rPr>
              <w:t>8,563</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the Reporting Person's written trading plan pursuant to Rule 10b5-1 of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2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at prices ranging from $27.62 to $28.57 per share. The Reporting Person undertakes to provide to the Issuer, any security holder of the Issuer, or the staff of the Securities and Exchange Commission, upon request, full information regarding the number of shares sold by it at each separate price on April 17, 2023.</w:t>
      </w: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options vest on the one year anniversary of the date of grant, with the remainder vesting in 36 successive equal monthly increments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of Finance (Principal Accounting Officer)</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Ilan Katz, attorney-in-fact</w:t>
            </w:r>
          </w:p>
        </w:tc>
        <w:tc>
          <w:tcPr>
            <w:tcW w:w="1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04/19/2023</w:t>
            </w:r>
          </w:p>
        </w:tc>
      </w:tr>
      <w:tr>
        <w:trPr>
          <w:trHeight w:val="20"/>
        </w:trPr>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749"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2023-04-19T16:00:20Z</dcterms:created>
  <dcterms:modified xsi:type="dcterms:W3CDTF">2023-04-19T16:00:20Z</dcterms:modified>
</cp:coreProperties>
</file>