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March 2014</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March 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586105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w w:val="98"/>
              </w:rPr>
              <w:t>U.S. Investor Contacts:</w:t>
            </w:r>
          </w:p>
        </w:tc>
        <w:tc>
          <w:tcPr>
            <w:tcW w:w="48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48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9"/>
              </w:rPr>
              <w:t>Alcobra Investor Relations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48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Debbie Kaye</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7000" w:type="dxa"/>
            <w:vAlign w:val="bottom"/>
            <w:gridSpan w:val="2"/>
          </w:tcPr>
          <w:p>
            <w:pPr>
              <w:ind w:left="4880"/>
              <w:spacing w:after="0"/>
              <w:rPr>
                <w:sz w:val="20"/>
                <w:szCs w:val="20"/>
                <w:color w:val="auto"/>
              </w:rPr>
            </w:pPr>
            <w:r>
              <w:rPr>
                <w:rFonts w:ascii="Arial" w:cs="Arial" w:eastAsia="Arial" w:hAnsi="Arial"/>
                <w:sz w:val="18"/>
                <w:szCs w:val="18"/>
                <w:color w:val="auto"/>
              </w:rPr>
              <w:t>+972-72 2204661</w:t>
            </w:r>
          </w:p>
        </w:tc>
      </w:tr>
      <w:tr>
        <w:trPr>
          <w:trHeight w:val="190"/>
        </w:trPr>
        <w:tc>
          <w:tcPr>
            <w:tcW w:w="198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1"/>
              </w:rPr>
              <w:t>mrice@lifesciadvisors.com</w:t>
            </w:r>
          </w:p>
        </w:tc>
        <w:tc>
          <w:tcPr>
            <w:tcW w:w="4880" w:type="dxa"/>
            <w:vAlign w:val="bottom"/>
          </w:tcPr>
          <w:p>
            <w:pPr>
              <w:spacing w:after="0"/>
              <w:rPr>
                <w:sz w:val="16"/>
                <w:szCs w:val="16"/>
                <w:color w:val="auto"/>
              </w:rPr>
            </w:pPr>
          </w:p>
        </w:tc>
        <w:tc>
          <w:tcPr>
            <w:tcW w:w="212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8"/>
              </w:rPr>
              <w:t>debbie@alcobra-pharma.com</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Announces FDA Clearance of IND for Metadoxine Extended Release (MDX)</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U.S. Based Phase 3 Clinical Trial in Adult ADHD Expected to Begin Enrolling Patients in 1Q14</w:t>
      </w:r>
    </w:p>
    <w:p>
      <w:pPr>
        <w:spacing w:after="0" w:line="221"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 xml:space="preserve">Tel Aviv, Israel – March 6, 2014 </w:t>
      </w:r>
      <w:r>
        <w:rPr>
          <w:rFonts w:ascii="Arial" w:cs="Arial" w:eastAsia="Arial" w:hAnsi="Arial"/>
          <w:sz w:val="17"/>
          <w:szCs w:val="17"/>
          <w:color w:val="auto"/>
        </w:rPr>
        <w:t>– Alcobra Ltd. (NASDAQCM: ADHD), an emerging biopharmaceutical company primarily focused on the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commercialization of its proprietary drug candidate Metadoxine Extended Release (MDX) to treat cognitive dysfunctions, such as Attention Deficit Hyperactivity Disorder (ADHD) and Fragile X Syndrome, announced today that the US. Food and Drug Administration (FDA) has cleared the Company’s Investigational New Drug (IND) application for MDX. This step will allow for the initiation of US clinical trials.</w:t>
      </w:r>
    </w:p>
    <w:p>
      <w:pPr>
        <w:spacing w:after="0" w:line="16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FDA’s acceptance of our IND marks an important development milestone for MDX,” said Dr. Yaron Daniely, President &amp; Chief Executive Officer of Alcobra. “It allows us to commence our U.S. based Phase 3 study in adult patients with ADHD, and we expect to enroll the first patients shortly. The IND will also pave the way for additional studies for other related indications, including a planned trial in Fragile X Syndrome.”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Unlike the most commonly prescribed ADHD medications, MDX is not a stimulant. MDX has a novel mechanism of action that neither targets dopamine nor norepinephrine. MDX has demonstrated significant efficacy and was generally well tolerated in two separate placebo-controlled Phase 2 studies in adults with ADHD. Additionally, MDX has demonstrated significant efficacy following the first dose.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Alcobra Ltd. is an emerging biopharmaceutical company primarily focused on the development and commercialization of a proprietary drug candidate, MDX (Metadoxine Extended Release (MG01CI)), to treat cognitive dysfunctions including Attention Deficit Hyperactivity Disorder (ADHD) and Fragile X Syndrome. MDX has completed Phase II 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auto"/>
        <w:rPr>
          <w:sz w:val="20"/>
          <w:szCs w:val="20"/>
          <w:color w:val="auto"/>
        </w:rPr>
      </w:pPr>
      <w:r>
        <w:rPr>
          <w:rFonts w:ascii="Arial" w:cs="Arial" w:eastAsia="Arial" w:hAnsi="Arial"/>
          <w:sz w:val="17"/>
          <w:szCs w:val="17"/>
          <w:i w:val="1"/>
          <w:iCs w:val="1"/>
          <w:color w:val="auto"/>
        </w:rPr>
        <w:t>Forward Looking Statements – 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that Alcobra will initiate Phase III clinical trials with MDX (if at all) when provided for above and whether the company will conduct additional studies for other related indications, such as Fragile X Syndrome.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registration statement on Form F-1/A filed with the Securities and Exchange Commission (“SEC”) on October 22, 2013,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-1668145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2019-12-08T06:10:53Z</dcterms:created>
  <dcterms:modified xsi:type="dcterms:W3CDTF">2019-12-08T06:10:53Z</dcterms:modified>
</cp:coreProperties>
</file>