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00" w:type="dxa"/>
            <w:vAlign w:val="bottom"/>
          </w:tcPr>
          <w:p>
            <w:pPr>
              <w:spacing w:after="0"/>
              <w:rPr>
                <w:sz w:val="20"/>
                <w:szCs w:val="20"/>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On March 7, 2024, Arcturus Therapeutics Holdings Inc. (the “Company” or “Arcturus”) issued a press release, a copy of which is furnished herewith as Exhibit 99.1, announcing the Company’s financial results for the quarter ended December 31, 2023 and providing a corporate update (the “Press Release”).</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preclinical or clinical data will be predictive of future clinical results, including that the results from Kostaive® (or ARCT-154) will be predictive of results for updated versions of the vaccine, the potential commercial launch of Kostaive®, the continued advancement ARCT-032 or its potential as a treatment for any of the CF population, the continued advancement of ARCT-810, the anticipated timing and sharing of clinical data including for the Company’s ARCT810 Phase 2 study and the ARCT-032 Phase 1b study, the continued efforts for our vaccine discovery programs for lyme disease or gonorrhea, the potential of the Company’s platform technology to be meaningfully differentiated from other technologies, the continued progress of the LUNAR-FLU program, the ability to enroll participants in clinical studies including the Company’s ARCT-810 and ARCT-032 programs, the likelihood and timing of commercial activities for the Company’s LUNAR-COVID program, the likelihood that a patent will issue from any patent application, the likelihood or timing of collection of accounts receivables including expected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18"/>
                <w:szCs w:val="18"/>
                <w:color w:val="auto"/>
              </w:rPr>
            </w:pPr>
          </w:p>
        </w:tc>
        <w:tc>
          <w:tcPr>
            <w:tcW w:w="780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7, 2024</w:t>
            </w:r>
          </w:p>
        </w:tc>
        <w:tc>
          <w:tcPr>
            <w:tcW w:w="780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Arcturus Therapeutics Announces Fourth Quarter and Fiscal Year 2023 Financial Update and Pipeline Progress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Kostaive® anticipated to launch in Japan this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ARCT-032 remains on track for Phase 1b interim data in Q2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ARCT-810 remains on track for Phase 2 interim data by the end of Q2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ARCT-2138 (Quadrivalent LUNAR-FLU) Phase 1 study for seasonal influenza vaccine initiated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STARR® vaccine discovery programs initiated for Lyme Disease and Gonorrhea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runway extended to Q1 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WIRE)--March. 7, 2024-- Arcturus Therapeutics Holdings Inc. (the “Company”, “Arcturus”, Nasdaq: ARCT), a global messenger RNA medicines company focused on the development of infectious disease vaccines and opportunities within liver and respiratory rare diseases, today announced its financial results for the fourth quarter ended December 31, 2023, and provided corporate updates.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excited about the continued pipeline progress and efforts toward commercialization achieved by Arcturus in 2023,” said Joseph Payne, President &amp; CEO of Arcturus Therapeutics. “Alongside our global vaccine partner CSL Seqirus and their COVID vaccine partner in Japan, Meiji,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granted historic approval as the world’s first self-amplifying mRNA (sa-mRNA) product. Recently released clinical trial data, demonstrated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induced a stronger, broader, and more durable immune response compared to an approved conventional mRNA vaccine.”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Payne continued: “We are especially pleased to announce the U.S. FDA and the European Commission recently granted Orphan Drug Designation for ARCT-032, an inhaled mRNA therapeutic candidate for individuals with cystic fibrosis. These regulatory designations will help advance ARCT-032 to become a potential treatment for the segment of the CF population who are not candidates for any of the currently approved drugs for this disease.”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Andy Sassine, Chief Financial Officer of Arcturus said, “I am pleased to announce the cash runway was extended to the first quarter 2027 due to disciplined cost management and progression of the CSL collaboration. This is the second sequential quarter our runway was extended without including any contributions from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revenues or commercial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31" w:lineRule="exact"/>
        <w:rPr>
          <w:sz w:val="20"/>
          <w:szCs w:val="20"/>
          <w:color w:val="auto"/>
        </w:rPr>
      </w:pPr>
    </w:p>
    <w:p>
      <w:pPr>
        <w:jc w:val="both"/>
        <w:ind w:left="66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 xml:space="preserve">In February 2024, the Company </w:t>
      </w:r>
      <w:r>
        <w:rPr>
          <w:rFonts w:ascii="Times New Roman" w:cs="Times New Roman" w:eastAsia="Times New Roman" w:hAnsi="Times New Roman"/>
          <w:sz w:val="18"/>
          <w:szCs w:val="18"/>
          <w:color w:val="000000"/>
        </w:rPr>
        <w:t>announced new COVID-19 sa-mRNA results in collaboration with CSL, demonstrating a longer duration of</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immunity compared to conventional COVID-19 mRNA vaccine booster. Short communication follows previously published data in </w:t>
      </w:r>
      <w:r>
        <w:rPr>
          <w:rFonts w:ascii="Times New Roman" w:cs="Times New Roman" w:eastAsia="Times New Roman" w:hAnsi="Times New Roman"/>
          <w:sz w:val="18"/>
          <w:szCs w:val="18"/>
          <w:i w:val="1"/>
          <w:iCs w:val="1"/>
          <w:color w:val="000000"/>
        </w:rPr>
        <w:t>The Lancet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Infectious Diseases </w:t>
      </w:r>
      <w:r>
        <w:rPr>
          <w:rFonts w:ascii="Times New Roman" w:cs="Times New Roman" w:eastAsia="Times New Roman" w:hAnsi="Times New Roman"/>
          <w:sz w:val="18"/>
          <w:szCs w:val="18"/>
          <w:color w:val="000000"/>
        </w:rPr>
        <w:t>in December 2023. The randomized, double-blind, active-controlled study, conducted at 11 sites in Japan assessed the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immunogenicity of Kostaive</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xml:space="preserve"> and Comirnaty® at one, three- and six-months post-booster.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 w:name="page5"/>
    <w:bookmarkEnd w:id="4"/>
    <w:p>
      <w:pPr>
        <w:ind w:left="1300" w:hanging="320"/>
        <w:spacing w:after="0" w:line="26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analysis extends the time of observation of immune response from 3 months to 6 months post booster dose, demonstrating an advantage in antibody persistence of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Comirnaty against both the original Wuhan strain and the Omicron BA.4/5 variant.</w:t>
      </w:r>
    </w:p>
    <w:p>
      <w:pPr>
        <w:ind w:left="1300" w:right="2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superior immune response of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terms of magnitude and duration of antibody persistence was achieved with one sixth the dose of Comirnaty (5 μg vs 30 μg).</w:t>
      </w:r>
    </w:p>
    <w:p>
      <w:pPr>
        <w:jc w:val="both"/>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Japan's Ministry of Health, Labor and Welfare (MHLW) granted approval for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self-amplifying mRNA COVID-19 vaccine for primary vaccination and booster for adults 18 years and older</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This marks the first marketing approval milestone for CSL and Arcturus since signing the Collaboration and License agreement in November 2022.</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is based on positive clinical data from several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studies, including a 16,000 subject efficacy study performed in Vietnam as well as a Phase 3 COVID-19 booster trial, which achieved higher immunogenicity results and a favorable safety profile compared to a standard mRNA COVID-19 vaccine comparator. The study results have been published in </w:t>
      </w:r>
      <w:r>
        <w:rPr>
          <w:rFonts w:ascii="Times New Roman" w:cs="Times New Roman" w:eastAsia="Times New Roman" w:hAnsi="Times New Roman"/>
          <w:sz w:val="18"/>
          <w:szCs w:val="18"/>
          <w:i w:val="1"/>
          <w:iCs w:val="1"/>
          <w:color w:val="auto"/>
        </w:rPr>
        <w:t>The Lancet Infectious Diseases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anticipated to launch in Japan this year.</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under its collaboration with CSL, initiated a Phase 1 dose-finding study for ARCT-2138 (Quadrivalent LUNAR-FLU) seasonal influenza vaccine in healthy young and older adults.</w:t>
      </w:r>
    </w:p>
    <w:p>
      <w:pPr>
        <w:ind w:left="660" w:right="5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advance the development of ARCT-810, an mRNA therapeutic candidate for ornithine transcarbamylase (OTC) deficiency.</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Phase 1b single ascending dose study in the U.S. has completed enrollment and dosing of all cohorts (N = 16 patients).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Phase 2 study in UK and Europe is enrolling up to 24 adolescents and adults with OTC deficiency. The ongoing study is evaluating two dose levels and includes up to six (6) bi-weekly administrations for each participant. The Company expects to share Phase 2 interim data by the end of Q2.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Arcturus received Orphan Drug Designation from the U.S. FDA for ARCT-032, for the treatment of Cystic Fibrosis.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Arcturus was granted Orphan Medicinal Product Designation from the European Commission for ARCT-032. ARCT-032 remains on track for Phase 1b interim data in Q2 2024.</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clinical and regulatory validation of LUNAR® and STARR® technologies provided by the approval of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Japan, the Company has initiated new vaccine discovery programs for Lyme Disease and Gonorrhea.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Financial Results for the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Revenues in conjunction with collaborations and grants: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Arcturus’ primary sources of revenues were from license fees, consulting and related technology transfer fees, reservation fees and collaborative payments received from research and development arrangements with pharmaceutical and biotechnology partners. For the year ended December 31, 2023, we reported revenue of $169.9 million compared with $206.0 million for the year ended December 31, 2022. Revenue recognized from CSL in 2023 was $157.4 million which slightly increased by $3.0 million compared to 2022. We made significant progress with the BARDA grant agreement that led to an increase in revenue of $8.8 million. The majority of the annual decrease in revenue was driven by the discontinuation of our collaboration agreements with Vinbiocare and Janssen. For the three months ended December 31, 2023, revenue recognized was $34.0 million compared with $160.3 million for the three months ended December 31, 2022. The $200.0 million up front payment for the execution of the CSL collaboration drove the majority of the revenue recognition during the 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333333"/>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operating expenses for the year ended December 31, 2023, were $245.0 million compared with $193.8 million for the year ended December 31, 2022. For the three months ended December 31, 2023, operating expenses were $49.1 million compared with $38.8 million for the three months ended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Research and Development Expenses: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Research and development expenses were $192.1 million for the year ended December 31, 2023, compared with $147.8 million for the year ended December 31, 2022. The increase in research and development expenses were primarily driven by the CSL and BARDA programs as well as our internal OTC and Cystic Fibrosis programs. Additionally, we have increased investments in early stage and discovery technologies. The Company initiated preclinical research related to its Lyme Disease and Gonorrhea vaccine discovery programs. Research and development expenses were $36.6 million for the three months ended December 31, 2023, compared with $27.0 million for the three months ended December 31, 2022. This increase was due to higher professional and personnel-related expenses as well as lower contra research and development expense from grants.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General and Administrative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our executive, administrative, legal and accounting functions and professional service fees for legal and accounting services as well as other general and administrative expenses. For the year ended December 31, 2023, general and administrative expenses were $52.9 million compared with $46.1 million for the year ended December 31, 2022. The annual increase was primarily due to personnel expenses as a result of increased headcount and salaries, travel and consulting expenses. Additionally, we incurred higher rent expenses associated with the new headquarters facility. General and administrative expenses were $12.5 million for the three months ended December 31, 2023, compared with $11.8 million for the three months ended December 31, 2022. The slight increase was due to personnel-related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Net Loss: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we reported a net loss of approximately $26.6 million, or ($1.00) per diluted share, compared with net income of $9.3 million, or $0.35 per diluted share for the year ended December 31, 2022. For the three months ended December 31, 2023, we reported a net loss of approximately $8.6 million or ($0.32) per diluted share, compared with net income of $117.4 million or $4.33 per diluted share for the three months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Cash Position and 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cash equivalents and restricted cash were $348.9 million at December 31, 2023, and $394.0 million at December 31, 2022. We have achieved a total of approximately $396.0 million in upfront payments and milestones from CSL as of December 31, 2023. We expect to continue to receive future milestone payments from CSL that will support the ongoing development of the covid and flu programs and three additional vaccine programs by CSL. The expected cash runway extends at least three years based on the current pipeline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Earnings Call: Thursday, March 7, 2024 @ 4:30 pm ET</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1-877-407-0784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1-201-689-8560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13744044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u w:val="single" w:color="auto"/>
          <w:color w:val="0070C0"/>
        </w:rPr>
        <w:t>Link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global mRNA medicines and vaccines company with enabling technologies: (i) LUNAR® lipid-mediated delivery, (ii) STARR® mRNA Technology (sa-mRNA) and (iii) mRNA drug substance along with drug product manufacturing expertise. Arcturus developed the first self-amplifying messenger RNA (sa-mRNA) COVID vaccine (Kostaive®)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400 patents and patent applications in the U.S., Europe, Japan, China, and other countries). For more information, visit www.ArcturusRx.com. In addition, please connect with us on Twitter and LinkedIn.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1" w:lineRule="exact"/>
        <w:rPr>
          <w:sz w:val="20"/>
          <w:szCs w:val="20"/>
          <w:color w:val="auto"/>
        </w:rPr>
      </w:pPr>
    </w:p>
    <w:p>
      <w:pPr>
        <w:jc w:val="both"/>
        <w:ind w:firstLine="8"/>
        <w:spacing w:after="0" w:line="251"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partnered programs (including the COVID-19 and flu programs partnered with CSL Seqirus), the likelihood that preclinical or clinical data will be predictive of future clinical results, including that the results from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ARCT-154) will be predictive of results for updated versions of the vaccine, the potential commercial launch of Kostaive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continued advancement ARCT-032 or its potential as a treatment for any of the CF population, the continued advancement of ARCT-810, the anticipated timing and sharing of clinical data including for the Company’s ARCT810 Phase 2 study and the ARCT-032 Phase 1b study, the continued efforts for our vaccine discovery programs for lyme disease or gonorrhea, the potential of the Company’s platform technology to be meaningfully differentiated from other technologies, the continued progress of the LUNAR-FLU program, the ability to enroll participants in clinical studies including the Company’s ARCT-810 and ARCT-032 programs, the likelihood and timing of commercial activities for the Company’s LUNAR-COVID program, the likelihood that a patent will issue from any patent application, the likelihood or timing of collection of accounts receivables including expected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292,005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391,883</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386,590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403,333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32,545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450,387</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tcPr>
          <w:p>
            <w:pPr>
              <w:spacing w:after="0"/>
              <w:rPr>
                <w:sz w:val="18"/>
                <w:szCs w:val="18"/>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30,232</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60,655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41,695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0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126,984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30,216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180,075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 outstanding shares were 26,828 at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and 26,555 at December 31, 2022</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646,352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608,426</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(364,732)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(338,141)</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270,312</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450,387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160,882</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205,755</w:t>
            </w:r>
          </w:p>
        </w:tc>
        <w:tc>
          <w:tcPr>
            <w:tcW w:w="5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12,359</w:t>
            </w:r>
          </w:p>
        </w:tc>
      </w:tr>
      <w:tr>
        <w:trPr>
          <w:trHeight w:val="22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169,933</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205,999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12,359</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192,133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173,760</w:t>
            </w: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52,871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46,071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41,451</w:t>
            </w:r>
          </w:p>
        </w:tc>
      </w:tr>
      <w:tr>
        <w:trPr>
          <w:trHeight w:val="209"/>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245,004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193,822</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215,211</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(202,852)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equity-method investment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(expense), net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33,953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(203,674)</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9,349</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(203,674)</w:t>
            </w: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share:</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5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5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calculation of (loss) earnings per share: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26,628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26,317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26,628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26,317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24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9,349</w:t>
            </w:r>
          </w:p>
        </w:tc>
        <w:tc>
          <w:tcPr>
            <w:tcW w:w="5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(203,674)</w:t>
            </w:r>
          </w:p>
        </w:tc>
      </w:tr>
      <w:tr>
        <w:trPr>
          <w:trHeight w:val="223"/>
        </w:trPr>
        <w:tc>
          <w:tcPr>
            <w:tcW w:w="5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(203,674)</w:t>
            </w:r>
          </w:p>
        </w:tc>
      </w:tr>
      <w:tr>
        <w:trPr>
          <w:trHeight w:val="20"/>
        </w:trPr>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5"/>
        </w:trPr>
        <w:tc>
          <w:tcPr>
            <w:tcW w:w="5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28,212</w:t>
            </w:r>
          </w:p>
        </w:tc>
        <w:tc>
          <w:tcPr>
            <w:tcW w:w="70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160,049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43,376</w:t>
            </w: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5,777</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1,764</w:t>
            </w:r>
          </w:p>
        </w:tc>
      </w:tr>
      <w:tr>
        <w:trPr>
          <w:trHeight w:val="209"/>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33,989</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160,293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45,140</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36,620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51,077</w:t>
            </w:r>
          </w:p>
        </w:tc>
      </w:tr>
      <w:tr>
        <w:trPr>
          <w:trHeight w:val="22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12,507</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13,377</w:t>
            </w:r>
          </w:p>
        </w:tc>
      </w:tr>
      <w:tr>
        <w:trPr>
          <w:trHeight w:val="209"/>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49,127</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64,454</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6,881</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3,981</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117,347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w:t>
            </w: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share:</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0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0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calculation of (loss) earnings per share: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26,628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26,574</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26,628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70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117,347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w:t>
            </w:r>
          </w:p>
        </w:tc>
      </w:tr>
      <w:tr>
        <w:trPr>
          <w:trHeight w:val="223"/>
        </w:trPr>
        <w:tc>
          <w:tcPr>
            <w:tcW w:w="5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w:t>
            </w:r>
          </w:p>
        </w:tc>
      </w:tr>
      <w:tr>
        <w:trPr>
          <w:trHeight w:val="20"/>
        </w:trPr>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IR@ArcturusRx.com</w:t>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10"/>
    </w:lvl>
  </w:abstractNum>
  <w:abstractNum w:abstractNumId="5">
    <w:nsid w:val="507ED7AB"/>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2024-03-07T15:24:07Z</dcterms:created>
  <dcterms:modified xsi:type="dcterms:W3CDTF">2024-03-07T15:24:07Z</dcterms:modified>
</cp:coreProperties>
</file>