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bookmarkStart w:id="0" w:name="e618524_8k-arct.htm"/>
      <w:bookmarkStart w:id="1" w:name="kse618524_8karct"/>
      <w:bookmarkEnd w:id="0"/>
      <w:bookmarkEnd w:id="1"/>
      <w:r>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SECURITIES AND EXCHANGE COMMISSION</w:t>
      </w:r>
      <w:r>
        <w:rPr>
          <w:rFonts w:ascii="Times New Roman;Times;Serif" w:hAnsi="Times New Roman;Times;Serif"/>
          <w:b w:val="false"/>
          <w:i w:val="false"/>
          <w:caps w:val="false"/>
          <w:smallCaps w:val="false"/>
          <w:sz w:val="20"/>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C_edei--DocumentType_c20230421__20"/>
      <w:bookmarkEnd w:id="2"/>
      <w:r>
        <w:rPr>
          <w:rFonts w:ascii="Times New Roman;Times;Serif" w:hAnsi="Times New Roman;Times;Serif"/>
          <w:b/>
          <w:i w:val="false"/>
          <w:caps w:val="false"/>
          <w:smallCaps w:val="false"/>
          <w:sz w:val="20"/>
        </w:rPr>
        <w:t>8-K</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7_edei--DocumentPeriodEndDate_c202"/>
      <w:bookmarkEnd w:id="3"/>
      <w:r>
        <w:rPr>
          <w:rFonts w:ascii="Times New Roman;Times;Serif" w:hAnsi="Times New Roman;Times;Serif"/>
          <w:b/>
          <w:i w:val="false"/>
          <w:caps w:val="false"/>
          <w:smallCaps w:val="false"/>
          <w:sz w:val="20"/>
        </w:rPr>
        <w:t>April 21, 2023</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36"/>
        </w:rPr>
      </w:pPr>
      <w:bookmarkStart w:id="4" w:name="xdx_908_edei--EntityRegistrantName_c2023"/>
      <w:bookmarkEnd w:id="4"/>
      <w:r>
        <w:rPr>
          <w:rFonts w:ascii="Times New Roman;Times;Serif" w:hAnsi="Times New Roman;Times;Serif"/>
          <w:b/>
          <w:i w:val="false"/>
          <w:caps w:val="false"/>
          <w:smallCaps w:val="false"/>
          <w:sz w:val="36"/>
        </w:rPr>
        <w:t>ARCTURUS THERAPEUTICS HOLDINGS INC.</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(Exact name of registrant as specified in its charter) </w:t>
      </w:r>
    </w:p>
    <w:p>
      <w:pPr>
        <w:pStyle w:val="TextBody"/>
        <w:spacing w:before="0" w:after="0"/>
        <w:ind w:left="0" w:right="0" w:hanging="0"/>
        <w:jc w:val="center"/>
        <w:rPr>
          <w:caps w:val="false"/>
          <w:smallCaps w:val="false"/>
        </w:rPr>
      </w:pPr>
      <w:r>
        <w:rPr>
          <w:caps w:val="false"/>
          <w:smallCaps w:val="false"/>
        </w:rPr>
        <w:t> </w:t>
      </w:r>
    </w:p>
    <w:tbl>
      <w:tblPr>
        <w:tblW w:w="5100" w:type="dxa"/>
        <w:jc w:val="left"/>
        <w:tblInd w:w="0" w:type="dxa"/>
        <w:tblCellMar>
          <w:top w:w="0" w:type="dxa"/>
          <w:left w:w="0" w:type="dxa"/>
          <w:bottom w:w="0" w:type="dxa"/>
          <w:right w:w="0" w:type="dxa"/>
        </w:tblCellMar>
      </w:tblPr>
      <w:tblGrid>
        <w:gridCol w:w="2270"/>
        <w:gridCol w:w="60"/>
        <w:gridCol w:w="1145"/>
        <w:gridCol w:w="60"/>
        <w:gridCol w:w="1565"/>
      </w:tblGrid>
      <w:tr>
        <w:trPr/>
        <w:tc>
          <w:tcPr>
            <w:tcW w:w="2270" w:type="dxa"/>
            <w:tcBorders/>
            <w:shd w:fill="auto" w:val="clear"/>
            <w:vAlign w:val="center"/>
          </w:tcPr>
          <w:p>
            <w:pPr>
              <w:pStyle w:val="TableContents"/>
              <w:spacing w:before="0" w:after="283"/>
              <w:jc w:val="center"/>
              <w:rPr>
                <w:b/>
                <w:sz w:val="20"/>
              </w:rPr>
            </w:pPr>
            <w:bookmarkStart w:id="5" w:name="xdx_903_edei--EntityIncorporationStateCo"/>
            <w:bookmarkEnd w:id="5"/>
            <w:r>
              <w:rPr>
                <w:b/>
                <w:sz w:val="20"/>
              </w:rPr>
              <w:t>Delaware</w:t>
            </w:r>
          </w:p>
        </w:tc>
        <w:tc>
          <w:tcPr>
            <w:tcW w:w="60" w:type="dxa"/>
            <w:tcBorders/>
            <w:shd w:fill="auto" w:val="clear"/>
            <w:vAlign w:val="center"/>
          </w:tcPr>
          <w:p>
            <w:pPr>
              <w:pStyle w:val="TableContents"/>
              <w:spacing w:before="0" w:after="283"/>
              <w:rPr/>
            </w:pPr>
            <w:r>
              <w:rPr/>
              <w:t> </w:t>
            </w:r>
          </w:p>
        </w:tc>
        <w:tc>
          <w:tcPr>
            <w:tcW w:w="1145" w:type="dxa"/>
            <w:tcBorders/>
            <w:shd w:fill="auto" w:val="clear"/>
            <w:vAlign w:val="center"/>
          </w:tcPr>
          <w:p>
            <w:pPr>
              <w:pStyle w:val="TableContents"/>
              <w:spacing w:before="0" w:after="283"/>
              <w:jc w:val="center"/>
              <w:rPr>
                <w:b/>
                <w:sz w:val="20"/>
              </w:rPr>
            </w:pPr>
            <w:bookmarkStart w:id="6" w:name="xdx_904_edei--EntityFileNumber_c20230421"/>
            <w:bookmarkEnd w:id="6"/>
            <w:r>
              <w:rPr>
                <w:b/>
                <w:sz w:val="20"/>
              </w:rPr>
              <w:t>001-38942</w:t>
            </w:r>
          </w:p>
        </w:tc>
        <w:tc>
          <w:tcPr>
            <w:tcW w:w="60" w:type="dxa"/>
            <w:tcBorders/>
            <w:shd w:fill="auto" w:val="clear"/>
            <w:vAlign w:val="center"/>
          </w:tcPr>
          <w:p>
            <w:pPr>
              <w:pStyle w:val="TableContents"/>
              <w:spacing w:before="0" w:after="283"/>
              <w:rPr/>
            </w:pPr>
            <w:r>
              <w:rPr/>
              <w:t> </w:t>
            </w:r>
          </w:p>
        </w:tc>
        <w:tc>
          <w:tcPr>
            <w:tcW w:w="1565" w:type="dxa"/>
            <w:tcBorders/>
            <w:shd w:fill="auto" w:val="clear"/>
            <w:vAlign w:val="center"/>
          </w:tcPr>
          <w:p>
            <w:pPr>
              <w:pStyle w:val="TableContents"/>
              <w:spacing w:before="0" w:after="283"/>
              <w:jc w:val="center"/>
              <w:rPr>
                <w:b/>
                <w:sz w:val="20"/>
              </w:rPr>
            </w:pPr>
            <w:bookmarkStart w:id="7" w:name="xdx_90C_edei--EntityTaxIdentificationNum"/>
            <w:bookmarkEnd w:id="7"/>
            <w:r>
              <w:rPr>
                <w:b/>
                <w:sz w:val="20"/>
              </w:rPr>
              <w:t>32-0595345</w:t>
            </w:r>
          </w:p>
        </w:tc>
      </w:tr>
      <w:tr>
        <w:trPr/>
        <w:tc>
          <w:tcPr>
            <w:tcW w:w="2270" w:type="dxa"/>
            <w:tcBorders/>
            <w:shd w:fill="auto" w:val="clear"/>
            <w:vAlign w:val="center"/>
          </w:tcPr>
          <w:p>
            <w:pPr>
              <w:pStyle w:val="TableContents"/>
              <w:spacing w:before="0" w:after="283"/>
              <w:jc w:val="center"/>
              <w:rPr>
                <w:b/>
                <w:sz w:val="20"/>
              </w:rPr>
            </w:pPr>
            <w:r>
              <w:rPr>
                <w:b/>
                <w:sz w:val="20"/>
              </w:rPr>
              <w:t>(State or other jurisdiction</w:t>
              <w:br/>
              <w:t>of incorporation)</w:t>
            </w:r>
          </w:p>
        </w:tc>
        <w:tc>
          <w:tcPr>
            <w:tcW w:w="60" w:type="dxa"/>
            <w:tcBorders/>
            <w:shd w:fill="auto" w:val="clear"/>
            <w:vAlign w:val="center"/>
          </w:tcPr>
          <w:p>
            <w:pPr>
              <w:pStyle w:val="TableContents"/>
              <w:spacing w:before="0" w:after="283"/>
              <w:rPr/>
            </w:pPr>
            <w:r>
              <w:rPr/>
              <w:t> </w:t>
            </w:r>
          </w:p>
        </w:tc>
        <w:tc>
          <w:tcPr>
            <w:tcW w:w="1145" w:type="dxa"/>
            <w:tcBorders/>
            <w:shd w:fill="auto" w:val="clear"/>
            <w:vAlign w:val="center"/>
          </w:tcPr>
          <w:p>
            <w:pPr>
              <w:pStyle w:val="TableContents"/>
              <w:spacing w:before="0" w:after="283"/>
              <w:jc w:val="center"/>
              <w:rPr>
                <w:b/>
                <w:sz w:val="20"/>
              </w:rPr>
            </w:pPr>
            <w:r>
              <w:rPr>
                <w:b/>
                <w:sz w:val="20"/>
              </w:rPr>
              <w:t>(Commission</w:t>
              <w:br/>
              <w:t>File Number)</w:t>
            </w:r>
          </w:p>
        </w:tc>
        <w:tc>
          <w:tcPr>
            <w:tcW w:w="60" w:type="dxa"/>
            <w:tcBorders/>
            <w:shd w:fill="auto" w:val="clear"/>
            <w:vAlign w:val="center"/>
          </w:tcPr>
          <w:p>
            <w:pPr>
              <w:pStyle w:val="TableContents"/>
              <w:spacing w:before="0" w:after="283"/>
              <w:rPr/>
            </w:pPr>
            <w:r>
              <w:rPr/>
              <w:t> </w:t>
            </w:r>
          </w:p>
        </w:tc>
        <w:tc>
          <w:tcPr>
            <w:tcW w:w="1565" w:type="dxa"/>
            <w:tcBorders/>
            <w:shd w:fill="auto" w:val="clear"/>
            <w:vAlign w:val="center"/>
          </w:tcPr>
          <w:p>
            <w:pPr>
              <w:pStyle w:val="TableContents"/>
              <w:spacing w:before="0" w:after="283"/>
              <w:jc w:val="center"/>
              <w:rPr>
                <w:b/>
                <w:sz w:val="20"/>
              </w:rPr>
            </w:pPr>
            <w:r>
              <w:rPr>
                <w:b/>
                <w:sz w:val="20"/>
              </w:rPr>
              <w:t>(I.R.S. Employer</w:t>
              <w:br/>
              <w:t>Identification No.)</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bookmarkStart w:id="8" w:name="xdx_90E_edei--EntityAddressAddressLine1_"/>
      <w:bookmarkEnd w:id="8"/>
      <w:r>
        <w:rPr>
          <w:rFonts w:ascii="Times New Roman;Times;Serif" w:hAnsi="Times New Roman;Times;Serif"/>
          <w:b/>
          <w:i w:val="false"/>
          <w:caps w:val="false"/>
          <w:smallCaps w:val="false"/>
          <w:sz w:val="20"/>
        </w:rPr>
        <w:t xml:space="preserve">10628 Science Center Drive, </w:t>
      </w:r>
      <w:bookmarkStart w:id="9" w:name="xdx_90B_edei--EntityAddressAddressLine2_"/>
      <w:bookmarkEnd w:id="9"/>
      <w:r>
        <w:rPr>
          <w:rFonts w:ascii="Times New Roman;Times;Serif" w:hAnsi="Times New Roman;Times;Serif"/>
          <w:b/>
          <w:i w:val="false"/>
          <w:caps w:val="false"/>
          <w:smallCaps w:val="false"/>
          <w:sz w:val="20"/>
        </w:rPr>
        <w:t>Suite 250</w:t>
      </w:r>
    </w:p>
    <w:p>
      <w:pPr>
        <w:pStyle w:val="TextBody"/>
        <w:spacing w:before="0" w:after="0"/>
        <w:ind w:left="0" w:right="0" w:hanging="0"/>
        <w:jc w:val="center"/>
        <w:rPr>
          <w:rFonts w:ascii="Times New Roman;Times;Serif" w:hAnsi="Times New Roman;Times;Serif"/>
          <w:b/>
          <w:i w:val="false"/>
          <w:caps w:val="false"/>
          <w:smallCaps w:val="false"/>
          <w:sz w:val="20"/>
        </w:rPr>
      </w:pPr>
      <w:bookmarkStart w:id="10" w:name="xdx_903_edei--EntityAddressCityOrTown_c2"/>
      <w:bookmarkEnd w:id="10"/>
      <w:r>
        <w:rPr>
          <w:rFonts w:ascii="Times New Roman;Times;Serif" w:hAnsi="Times New Roman;Times;Serif"/>
          <w:b/>
          <w:i w:val="false"/>
          <w:caps w:val="false"/>
          <w:smallCaps w:val="false"/>
          <w:sz w:val="20"/>
        </w:rPr>
        <w:t xml:space="preserve">San Diego, </w:t>
      </w:r>
      <w:bookmarkStart w:id="11" w:name="xdx_90E_edei--EntityAddressStateOrProvin"/>
      <w:bookmarkEnd w:id="11"/>
      <w:r>
        <w:rPr>
          <w:rFonts w:ascii="Times New Roman;Times;Serif" w:hAnsi="Times New Roman;Times;Serif"/>
          <w:b/>
          <w:i w:val="false"/>
          <w:caps w:val="false"/>
          <w:smallCaps w:val="false"/>
          <w:sz w:val="20"/>
        </w:rPr>
        <w:t xml:space="preserve">California </w:t>
      </w:r>
      <w:bookmarkStart w:id="12" w:name="xdx_90D_edei--EntityAddressPostalZipCode"/>
      <w:bookmarkEnd w:id="12"/>
      <w:r>
        <w:rPr>
          <w:rFonts w:ascii="Times New Roman;Times;Serif" w:hAnsi="Times New Roman;Times;Serif"/>
          <w:b/>
          <w:i w:val="false"/>
          <w:caps w:val="false"/>
          <w:smallCaps w:val="false"/>
          <w:sz w:val="20"/>
        </w:rPr>
        <w:t>92121</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Registrant’s telephone number, including area code: </w:t>
      </w:r>
      <w:bookmarkStart w:id="13" w:name="xdx_900_edei--CityAreaCode_c20230421__20"/>
      <w:bookmarkEnd w:id="13"/>
      <w:r>
        <w:rPr>
          <w:rFonts w:ascii="Times New Roman;Times;Serif" w:hAnsi="Times New Roman;Times;Serif"/>
          <w:b/>
          <w:i w:val="false"/>
          <w:caps w:val="false"/>
          <w:smallCaps w:val="false"/>
          <w:sz w:val="20"/>
        </w:rPr>
        <w:t xml:space="preserve">(858) </w:t>
      </w:r>
      <w:bookmarkStart w:id="14" w:name="xdx_901_edei--LocalPhoneNumber_c20230421"/>
      <w:bookmarkEnd w:id="14"/>
      <w:r>
        <w:rPr>
          <w:rFonts w:ascii="Times New Roman;Times;Serif" w:hAnsi="Times New Roman;Times;Serif"/>
          <w:b/>
          <w:i w:val="false"/>
          <w:caps w:val="false"/>
          <w:smallCaps w:val="false"/>
          <w:sz w:val="20"/>
        </w:rPr>
        <w:t>900-2660</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45"/>
        <w:gridCol w:w="9960"/>
      </w:tblGrid>
      <w:tr>
        <w:trPr/>
        <w:tc>
          <w:tcPr>
            <w:tcW w:w="245" w:type="dxa"/>
            <w:tcBorders/>
            <w:shd w:fill="auto" w:val="clear"/>
            <w:vAlign w:val="center"/>
          </w:tcPr>
          <w:p>
            <w:pPr>
              <w:pStyle w:val="TableContents"/>
              <w:spacing w:before="0" w:after="283"/>
              <w:rPr/>
            </w:pPr>
            <w:bookmarkStart w:id="15" w:name="xdx_90C_edei--WrittenCommunications_c202"/>
            <w:bookmarkEnd w:id="15"/>
            <w:r>
              <w:rPr/>
              <w:t>☐</w:t>
            </w:r>
          </w:p>
        </w:tc>
        <w:tc>
          <w:tcPr>
            <w:tcW w:w="9960" w:type="dxa"/>
            <w:tcBorders/>
            <w:shd w:fill="auto" w:val="clear"/>
            <w:vAlign w:val="center"/>
          </w:tcPr>
          <w:p>
            <w:pPr>
              <w:pStyle w:val="TableContents"/>
              <w:spacing w:before="0" w:after="283"/>
              <w:rPr/>
            </w:pPr>
            <w:r>
              <w:rPr/>
              <w:t xml:space="preserve">Written communications pursuant to Rule 425 under the Securities Act (17 CFR 230.425) </w:t>
            </w:r>
          </w:p>
        </w:tc>
      </w:tr>
      <w:tr>
        <w:trPr/>
        <w:tc>
          <w:tcPr>
            <w:tcW w:w="245" w:type="dxa"/>
            <w:tcBorders/>
            <w:shd w:fill="auto" w:val="clear"/>
            <w:vAlign w:val="center"/>
          </w:tcPr>
          <w:p>
            <w:pPr>
              <w:pStyle w:val="TableContents"/>
              <w:spacing w:before="0" w:after="283"/>
              <w:rPr/>
            </w:pPr>
            <w:bookmarkStart w:id="16" w:name="xdx_906_edei--SolicitingMaterial_c202304"/>
            <w:bookmarkEnd w:id="16"/>
            <w:r>
              <w:rPr/>
              <w:t>☐</w:t>
            </w:r>
          </w:p>
        </w:tc>
        <w:tc>
          <w:tcPr>
            <w:tcW w:w="9960" w:type="dxa"/>
            <w:tcBorders/>
            <w:shd w:fill="auto" w:val="clear"/>
            <w:vAlign w:val="center"/>
          </w:tcPr>
          <w:p>
            <w:pPr>
              <w:pStyle w:val="TableContents"/>
              <w:spacing w:before="0" w:after="283"/>
              <w:rPr/>
            </w:pPr>
            <w:r>
              <w:rPr/>
              <w:t xml:space="preserve">Soliciting material pursuant to Rule 14a-12 under the Exchange Act (17 CFR 240.14a-12) </w:t>
            </w:r>
          </w:p>
        </w:tc>
      </w:tr>
      <w:tr>
        <w:trPr/>
        <w:tc>
          <w:tcPr>
            <w:tcW w:w="245" w:type="dxa"/>
            <w:tcBorders/>
            <w:shd w:fill="auto" w:val="clear"/>
            <w:vAlign w:val="center"/>
          </w:tcPr>
          <w:p>
            <w:pPr>
              <w:pStyle w:val="TableContents"/>
              <w:spacing w:before="0" w:after="283"/>
              <w:rPr/>
            </w:pPr>
            <w:bookmarkStart w:id="17" w:name="xdx_908_edei--PreCommencementTenderOffer"/>
            <w:bookmarkEnd w:id="17"/>
            <w:r>
              <w:rPr/>
              <w:t>☐</w:t>
            </w:r>
          </w:p>
        </w:tc>
        <w:tc>
          <w:tcPr>
            <w:tcW w:w="9960" w:type="dxa"/>
            <w:tcBorders/>
            <w:shd w:fill="auto" w:val="clear"/>
            <w:vAlign w:val="center"/>
          </w:tcPr>
          <w:p>
            <w:pPr>
              <w:pStyle w:val="TableContents"/>
              <w:spacing w:before="0" w:after="283"/>
              <w:rPr/>
            </w:pPr>
            <w:r>
              <w:rPr/>
              <w:t xml:space="preserve">Pre-commencement communications pursuant to Rule 14d-2(b) under the Exchange Act (17 CFR 240.14d-2(b)) </w:t>
            </w:r>
          </w:p>
        </w:tc>
      </w:tr>
      <w:tr>
        <w:trPr/>
        <w:tc>
          <w:tcPr>
            <w:tcW w:w="245" w:type="dxa"/>
            <w:tcBorders/>
            <w:shd w:fill="auto" w:val="clear"/>
            <w:vAlign w:val="center"/>
          </w:tcPr>
          <w:p>
            <w:pPr>
              <w:pStyle w:val="TableContents"/>
              <w:spacing w:before="0" w:after="283"/>
              <w:rPr/>
            </w:pPr>
            <w:bookmarkStart w:id="18" w:name="xdx_908_edei--PreCommencementIssuerTende"/>
            <w:bookmarkEnd w:id="18"/>
            <w:r>
              <w:rPr/>
              <w:t>☐</w:t>
            </w:r>
          </w:p>
        </w:tc>
        <w:tc>
          <w:tcPr>
            <w:tcW w:w="9960" w:type="dxa"/>
            <w:tcBorders/>
            <w:shd w:fill="auto" w:val="clear"/>
            <w:vAlign w:val="center"/>
          </w:tcPr>
          <w:p>
            <w:pPr>
              <w:pStyle w:val="TableContents"/>
              <w:spacing w:before="0" w:after="283"/>
              <w:rPr/>
            </w:pPr>
            <w:r>
              <w:rPr/>
              <w:t xml:space="preserve">Pre-commencement communications pursuant to Rule 13e-4(c) under the Exchange Act (17 CFR 240.13e-4(c))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spacing w:before="0" w:after="0"/>
        <w:ind w:left="0" w:right="0" w:hanging="0"/>
        <w:rPr>
          <w:caps w:val="false"/>
          <w:smallCaps w:val="false"/>
        </w:rPr>
      </w:pPr>
      <w:r>
        <w:rPr>
          <w:caps w:val="false"/>
          <w:smallCaps w:val="false"/>
        </w:rPr>
        <w:t> </w:t>
      </w:r>
    </w:p>
    <w:tbl>
      <w:tblPr>
        <w:tblW w:w="7305" w:type="dxa"/>
        <w:jc w:val="left"/>
        <w:tblInd w:w="0" w:type="dxa"/>
        <w:tblCellMar>
          <w:top w:w="0" w:type="dxa"/>
          <w:left w:w="0" w:type="dxa"/>
          <w:bottom w:w="28" w:type="dxa"/>
          <w:right w:w="0" w:type="dxa"/>
        </w:tblCellMar>
      </w:tblPr>
      <w:tblGrid>
        <w:gridCol w:w="3650"/>
        <w:gridCol w:w="60"/>
        <w:gridCol w:w="860"/>
        <w:gridCol w:w="60"/>
        <w:gridCol w:w="2675"/>
      </w:tblGrid>
      <w:tr>
        <w:trPr/>
        <w:tc>
          <w:tcPr>
            <w:tcW w:w="3650" w:type="dxa"/>
            <w:tcBorders>
              <w:bottom w:val="single" w:sz="8" w:space="0" w:color="000000"/>
            </w:tcBorders>
            <w:shd w:fill="auto" w:val="clear"/>
            <w:vAlign w:val="center"/>
          </w:tcPr>
          <w:p>
            <w:pPr>
              <w:pStyle w:val="TableContents"/>
              <w:spacing w:before="0" w:after="283"/>
              <w:jc w:val="center"/>
              <w:rPr>
                <w:b/>
                <w:sz w:val="20"/>
              </w:rPr>
            </w:pPr>
            <w:r>
              <w:rPr>
                <w:b/>
                <w:sz w:val="20"/>
              </w:rPr>
              <w:t>Title of each class</w:t>
            </w:r>
          </w:p>
        </w:tc>
        <w:tc>
          <w:tcPr>
            <w:tcW w:w="60" w:type="dxa"/>
            <w:tcBorders/>
            <w:shd w:fill="auto" w:val="clear"/>
            <w:tcMar>
              <w:bottom w:w="0" w:type="dxa"/>
            </w:tcMar>
            <w:vAlign w:val="center"/>
          </w:tcPr>
          <w:p>
            <w:pPr>
              <w:pStyle w:val="TableContents"/>
              <w:spacing w:before="0" w:after="283"/>
              <w:rPr/>
            </w:pPr>
            <w:r>
              <w:rPr/>
              <w:t> </w:t>
            </w:r>
          </w:p>
        </w:tc>
        <w:tc>
          <w:tcPr>
            <w:tcW w:w="860" w:type="dxa"/>
            <w:tcBorders>
              <w:bottom w:val="single" w:sz="8" w:space="0" w:color="000000"/>
            </w:tcBorders>
            <w:shd w:fill="auto" w:val="cle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Symbol(s)</w:t>
            </w:r>
          </w:p>
        </w:tc>
        <w:tc>
          <w:tcPr>
            <w:tcW w:w="60" w:type="dxa"/>
            <w:tcBorders/>
            <w:shd w:fill="auto" w:val="clear"/>
            <w:tcMar>
              <w:bottom w:w="0" w:type="dxa"/>
            </w:tcMar>
            <w:vAlign w:val="center"/>
          </w:tcPr>
          <w:p>
            <w:pPr>
              <w:pStyle w:val="TableContents"/>
              <w:spacing w:before="0" w:after="283"/>
              <w:rPr/>
            </w:pPr>
            <w:r>
              <w:rPr/>
              <w:t> </w:t>
            </w:r>
          </w:p>
        </w:tc>
        <w:tc>
          <w:tcPr>
            <w:tcW w:w="2675" w:type="dxa"/>
            <w:tcBorders>
              <w:bottom w:val="single" w:sz="8" w:space="0" w:color="000000"/>
            </w:tcBorders>
            <w:shd w:fill="auto" w:val="clear"/>
            <w:vAlign w:val="center"/>
          </w:tcPr>
          <w:p>
            <w:pPr>
              <w:pStyle w:val="TableContents"/>
              <w:spacing w:before="0" w:after="283"/>
              <w:jc w:val="center"/>
              <w:rPr>
                <w:b/>
                <w:sz w:val="20"/>
              </w:rPr>
            </w:pPr>
            <w:r>
              <w:rPr>
                <w:b/>
                <w:sz w:val="20"/>
              </w:rPr>
              <w:t>Name of each exchange</w:t>
              <w:br/>
              <w:t>on which registered</w:t>
            </w:r>
          </w:p>
        </w:tc>
      </w:tr>
      <w:tr>
        <w:trPr/>
        <w:tc>
          <w:tcPr>
            <w:tcW w:w="3650" w:type="dxa"/>
            <w:tcBorders/>
            <w:shd w:fill="auto" w:val="clear"/>
            <w:tcMar>
              <w:bottom w:w="0" w:type="dxa"/>
            </w:tcMar>
            <w:vAlign w:val="center"/>
          </w:tcPr>
          <w:p>
            <w:pPr>
              <w:pStyle w:val="TableContents"/>
              <w:spacing w:before="0" w:after="283"/>
              <w:jc w:val="center"/>
              <w:rPr>
                <w:b/>
                <w:sz w:val="20"/>
              </w:rPr>
            </w:pPr>
            <w:bookmarkStart w:id="19" w:name="xdx_90D_edei--Security12bTitle_c20230421"/>
            <w:bookmarkEnd w:id="19"/>
            <w:r>
              <w:rPr>
                <w:b/>
                <w:sz w:val="20"/>
              </w:rPr>
              <w:t>Common stock, par value $0.001 per share</w:t>
            </w:r>
          </w:p>
        </w:tc>
        <w:tc>
          <w:tcPr>
            <w:tcW w:w="60" w:type="dxa"/>
            <w:tcBorders/>
            <w:shd w:fill="auto" w:val="clear"/>
            <w:tcMar>
              <w:bottom w:w="0" w:type="dxa"/>
            </w:tcMar>
            <w:vAlign w:val="center"/>
          </w:tcPr>
          <w:p>
            <w:pPr>
              <w:pStyle w:val="TableContents"/>
              <w:spacing w:before="0" w:after="283"/>
              <w:rPr/>
            </w:pPr>
            <w:r>
              <w:rPr/>
              <w:t> </w:t>
            </w:r>
          </w:p>
        </w:tc>
        <w:tc>
          <w:tcPr>
            <w:tcW w:w="860" w:type="dxa"/>
            <w:tcBorders/>
            <w:shd w:fill="auto" w:val="clear"/>
            <w:tcMar>
              <w:bottom w:w="0" w:type="dxa"/>
            </w:tcMar>
            <w:vAlign w:val="center"/>
          </w:tcPr>
          <w:p>
            <w:pPr>
              <w:pStyle w:val="TableContents"/>
              <w:spacing w:before="0" w:after="283"/>
              <w:jc w:val="center"/>
              <w:rPr>
                <w:b/>
                <w:sz w:val="20"/>
              </w:rPr>
            </w:pPr>
            <w:bookmarkStart w:id="20" w:name="xdx_90F_edei--TradingSymbol_c20230421__2"/>
            <w:bookmarkEnd w:id="20"/>
            <w:r>
              <w:rPr>
                <w:b/>
                <w:sz w:val="20"/>
              </w:rPr>
              <w:t>ARCT</w:t>
            </w:r>
          </w:p>
        </w:tc>
        <w:tc>
          <w:tcPr>
            <w:tcW w:w="60" w:type="dxa"/>
            <w:tcBorders/>
            <w:shd w:fill="auto" w:val="clear"/>
            <w:tcMar>
              <w:bottom w:w="0" w:type="dxa"/>
            </w:tcMar>
            <w:vAlign w:val="center"/>
          </w:tcPr>
          <w:p>
            <w:pPr>
              <w:pStyle w:val="TableContents"/>
              <w:spacing w:before="0" w:after="283"/>
              <w:rPr/>
            </w:pPr>
            <w:r>
              <w:rPr/>
              <w:t> </w:t>
            </w:r>
          </w:p>
        </w:tc>
        <w:tc>
          <w:tcPr>
            <w:tcW w:w="2675" w:type="dxa"/>
            <w:tcBorders/>
            <w:shd w:fill="auto" w:val="clear"/>
            <w:tcMar>
              <w:bottom w:w="0" w:type="dxa"/>
            </w:tcMar>
            <w:vAlign w:val="center"/>
          </w:tcPr>
          <w:p>
            <w:pPr>
              <w:pStyle w:val="TableContents"/>
              <w:spacing w:before="0" w:after="283"/>
              <w:jc w:val="center"/>
              <w:rPr>
                <w:b/>
                <w:sz w:val="20"/>
              </w:rPr>
            </w:pPr>
            <w:bookmarkStart w:id="21" w:name="xdx_90D_edei--SecurityExchangeName_c2023"/>
            <w:bookmarkEnd w:id="21"/>
            <w:r>
              <w:rPr>
                <w:b/>
                <w:sz w:val="20"/>
              </w:rPr>
              <w:t>The Nasdaq Stock Market LLC</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A_edei--EntityEmergingGrowthCompan"/>
      <w:bookmarkEnd w:id="22"/>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bdr w:val="single" w:sz="8" w:space="1" w:color="000000"/>
        </w:rPr>
      </w:pPr>
      <w:r>
        <w:rPr>
          <w:bdr w:val="single" w:sz="8" w:space="1" w:color="000000"/>
        </w:rPr>
        <w:t> </w:t>
      </w:r>
    </w:p>
    <w:p>
      <w:pPr>
        <w:pStyle w:val="TextBody"/>
        <w:spacing w:before="0" w:after="0"/>
        <w:ind w:left="0" w:right="0" w:hanging="0"/>
        <w:jc w:val="right"/>
        <w:rPr/>
      </w:pPr>
      <w:r>
        <w:rPr/>
        <w:t> </w:t>
      </w:r>
    </w:p>
    <w:p>
      <w:pPr>
        <w:pStyle w:val="TextBody"/>
        <w:spacing w:before="0" w:after="0"/>
        <w:ind w:left="0" w:right="0" w:hanging="0"/>
        <w:rPr>
          <w:caps w:val="false"/>
          <w:smallCaps w:val="false"/>
        </w:rPr>
      </w:pPr>
      <w:r>
        <w:rPr>
          <w:caps w:val="false"/>
          <w:smallCaps w:val="false"/>
        </w:rPr>
        <w:t> </w:t>
      </w:r>
    </w:p>
    <w:tbl>
      <w:tblPr>
        <w:tblW w:w="4675" w:type="dxa"/>
        <w:jc w:val="left"/>
        <w:tblInd w:w="0" w:type="dxa"/>
        <w:tblCellMar>
          <w:top w:w="0" w:type="dxa"/>
          <w:left w:w="0" w:type="dxa"/>
          <w:bottom w:w="0" w:type="dxa"/>
          <w:right w:w="0" w:type="dxa"/>
        </w:tblCellMar>
      </w:tblPr>
      <w:tblGrid>
        <w:gridCol w:w="75"/>
        <w:gridCol w:w="860"/>
        <w:gridCol w:w="3740"/>
      </w:tblGrid>
      <w:tr>
        <w:trPr/>
        <w:tc>
          <w:tcPr>
            <w:tcW w:w="75" w:type="dxa"/>
            <w:tcBorders/>
            <w:shd w:fill="auto" w:val="clear"/>
            <w:vAlign w:val="center"/>
          </w:tcPr>
          <w:p>
            <w:pPr>
              <w:pStyle w:val="TableContents"/>
              <w:spacing w:before="0" w:after="283"/>
              <w:rPr/>
            </w:pPr>
            <w:r>
              <w:rPr/>
              <w:t> </w:t>
            </w:r>
          </w:p>
        </w:tc>
        <w:tc>
          <w:tcPr>
            <w:tcW w:w="860" w:type="dxa"/>
            <w:tcBorders/>
            <w:shd w:fill="auto" w:val="clear"/>
            <w:vAlign w:val="center"/>
          </w:tcPr>
          <w:p>
            <w:pPr>
              <w:pStyle w:val="TableContents"/>
              <w:spacing w:before="0" w:after="283"/>
              <w:rPr>
                <w:b/>
                <w:sz w:val="20"/>
              </w:rPr>
            </w:pPr>
            <w:r>
              <w:rPr>
                <w:b/>
                <w:sz w:val="20"/>
              </w:rPr>
              <w:t>Item 1.01.</w:t>
            </w:r>
          </w:p>
        </w:tc>
        <w:tc>
          <w:tcPr>
            <w:tcW w:w="3740" w:type="dxa"/>
            <w:tcBorders/>
            <w:shd w:fill="auto" w:val="clear"/>
            <w:vAlign w:val="center"/>
          </w:tcPr>
          <w:p>
            <w:pPr>
              <w:pStyle w:val="TableContents"/>
              <w:spacing w:before="0" w:after="283"/>
              <w:jc w:val="both"/>
              <w:rPr>
                <w:b/>
                <w:sz w:val="20"/>
              </w:rPr>
            </w:pPr>
            <w:r>
              <w:rPr>
                <w:b/>
                <w:sz w:val="20"/>
              </w:rPr>
              <w:t>Entry into a Material Definitive Agreement.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disclosure set forth under Item 2.03 of this Current Report on Form 8-K is incorporated by reference into this Item 1.01.</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830"/>
        <w:gridCol w:w="9300"/>
      </w:tblGrid>
      <w:tr>
        <w:trPr/>
        <w:tc>
          <w:tcPr>
            <w:tcW w:w="75" w:type="dxa"/>
            <w:tcBorders/>
            <w:shd w:fill="auto" w:val="clear"/>
            <w:vAlign w:val="center"/>
          </w:tcPr>
          <w:p>
            <w:pPr>
              <w:pStyle w:val="TableContents"/>
              <w:spacing w:before="0" w:after="283"/>
              <w:rPr/>
            </w:pPr>
            <w:r>
              <w:rPr/>
              <w:t> </w:t>
            </w:r>
          </w:p>
        </w:tc>
        <w:tc>
          <w:tcPr>
            <w:tcW w:w="830" w:type="dxa"/>
            <w:tcBorders/>
            <w:shd w:fill="auto" w:val="clear"/>
            <w:vAlign w:val="center"/>
          </w:tcPr>
          <w:p>
            <w:pPr>
              <w:pStyle w:val="TableContents"/>
              <w:spacing w:before="0" w:after="283"/>
              <w:rPr>
                <w:b/>
                <w:sz w:val="20"/>
              </w:rPr>
            </w:pPr>
            <w:r>
              <w:rPr>
                <w:b/>
                <w:sz w:val="20"/>
              </w:rPr>
              <w:t>Item 2.03.</w:t>
            </w:r>
          </w:p>
        </w:tc>
        <w:tc>
          <w:tcPr>
            <w:tcW w:w="9300" w:type="dxa"/>
            <w:tcBorders/>
            <w:shd w:fill="auto" w:val="clear"/>
            <w:vAlign w:val="center"/>
          </w:tcPr>
          <w:p>
            <w:pPr>
              <w:pStyle w:val="TableContents"/>
              <w:spacing w:before="0" w:after="283"/>
              <w:jc w:val="both"/>
              <w:rPr>
                <w:b/>
                <w:sz w:val="20"/>
              </w:rPr>
            </w:pPr>
            <w:r>
              <w:rPr>
                <w:b/>
                <w:sz w:val="20"/>
              </w:rPr>
              <w:t>Creation of a Direct Financial Obligation or an Obligation under an Off-Balance Sheet Arrangement of a Registrant.</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21, 2023, Arcturus Therapeutics, Inc. (“Borrower”), a wholly-owned subsidiary of Arcturus Therapeutics Holdings Inc. (the “Company”, and together with Borrower, “Arcturus”), entered into a credit agreement (the “Credit Agreement”) Wells Fargo Bank, National Association (“Wells Fargo”) whereby Wells Fargo will make a $50 million revolving credit line available to Arcturus (the “Loan”) and each Loan evidenced by a revolving line of credit note (the “Note”).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Borrowings under the Credit Agreement will bear interest at a rate of 1.00% above either the Daily Simple SOFR or Term SOFR (as such terms are defined in the Note), with “SOFR” being the rate per annum equal to the secured overnight financing rate as administered by the Federal Reserve Bank of New York. All Loans shall bear interest during an Event of Default (as defined in the Credit Agreement) at a rate equal to 2.00% above the interest rate applicable immediately prior to the occurrence of the Event of Default (as defined in the Credit Agreement).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of the Credit Agreement is two years, with an option for one-year renewals subject to Wells Fargo approval and Arcturus furnishing to Wells Fargo a non-refundable commitment fee equal to 0.25% of the Loan amount for each such renewal. There is no penalty for terminating the Credit Agreement. There is no penalty for terminating the facility prior to the maturity date of the Note. As collateral, Borrower has agreed to pledge $55 million in cash to be held at Arcturus’ securities accounts with Wells Fargo Securities, LLC, an affiliate of Wells Fargo, pursuant to a security agreement.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descriptions of the Credit Agreement, Note, and security agreement are not complete descriptions of all terms and are qualified in their entirety by reference to the full text of the Credit Agreement, Note and security agreement, respectively, that will be filed as exhibits to a subsequent filing on a periodic report.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 Exhibits.</w:t>
      </w:r>
    </w:p>
    <w:p>
      <w:pPr>
        <w:pStyle w:val="TextBody"/>
        <w:spacing w:before="0" w:after="0"/>
        <w:ind w:left="0" w:right="0" w:hanging="0"/>
        <w:rPr>
          <w:caps w:val="false"/>
          <w:smallCaps w:val="false"/>
        </w:rPr>
      </w:pPr>
      <w:r>
        <w:rPr>
          <w:caps w:val="false"/>
          <w:smallCaps w:val="false"/>
        </w:rPr>
        <w:t> </w:t>
      </w:r>
    </w:p>
    <w:tbl>
      <w:tblPr>
        <w:tblW w:w="6205" w:type="dxa"/>
        <w:jc w:val="left"/>
        <w:tblInd w:w="0" w:type="dxa"/>
        <w:tblCellMar>
          <w:top w:w="0" w:type="dxa"/>
          <w:left w:w="0" w:type="dxa"/>
          <w:bottom w:w="0" w:type="dxa"/>
          <w:right w:w="0" w:type="dxa"/>
        </w:tblCellMar>
      </w:tblPr>
      <w:tblGrid>
        <w:gridCol w:w="995"/>
        <w:gridCol w:w="60"/>
        <w:gridCol w:w="5150"/>
      </w:tblGrid>
      <w:tr>
        <w:trPr/>
        <w:tc>
          <w:tcPr>
            <w:tcW w:w="995" w:type="dxa"/>
            <w:tcBorders/>
            <w:shd w:fill="auto" w:val="clear"/>
            <w:vAlign w:val="center"/>
          </w:tcPr>
          <w:p>
            <w:pPr>
              <w:pStyle w:val="TableContents"/>
              <w:spacing w:before="0" w:after="283"/>
              <w:rPr>
                <w:b/>
                <w:sz w:val="20"/>
              </w:rPr>
            </w:pPr>
            <w:r>
              <w:rPr>
                <w:b/>
                <w:sz w:val="20"/>
              </w:rPr>
              <w:t>Exhibit No.</w:t>
            </w:r>
          </w:p>
        </w:tc>
        <w:tc>
          <w:tcPr>
            <w:tcW w:w="60" w:type="dxa"/>
            <w:tcBorders/>
            <w:shd w:fill="auto" w:val="clear"/>
            <w:vAlign w:val="center"/>
          </w:tcPr>
          <w:p>
            <w:pPr>
              <w:pStyle w:val="TableContents"/>
              <w:spacing w:before="0" w:after="283"/>
              <w:rPr/>
            </w:pPr>
            <w:r>
              <w:rPr/>
              <w:t> </w:t>
            </w:r>
          </w:p>
        </w:tc>
        <w:tc>
          <w:tcPr>
            <w:tcW w:w="5150" w:type="dxa"/>
            <w:tcBorders/>
            <w:shd w:fill="auto" w:val="clear"/>
            <w:vAlign w:val="center"/>
          </w:tcPr>
          <w:p>
            <w:pPr>
              <w:pStyle w:val="TableContents"/>
              <w:spacing w:before="0" w:after="283"/>
              <w:rPr>
                <w:b/>
                <w:sz w:val="20"/>
              </w:rPr>
            </w:pPr>
            <w:r>
              <w:rPr>
                <w:b/>
                <w:sz w:val="20"/>
              </w:rPr>
              <w:t>Description of Exhibit</w:t>
            </w:r>
          </w:p>
        </w:tc>
      </w:tr>
      <w:tr>
        <w:trPr/>
        <w:tc>
          <w:tcPr>
            <w:tcW w:w="995" w:type="dxa"/>
            <w:tcBorders/>
            <w:shd w:fill="auto" w:val="clear"/>
            <w:vAlign w:val="center"/>
          </w:tcPr>
          <w:p>
            <w:pPr>
              <w:pStyle w:val="TableContents"/>
              <w:spacing w:before="0" w:after="283"/>
              <w:rPr/>
            </w:pPr>
            <w:r>
              <w:rPr/>
              <w:t> </w:t>
            </w:r>
          </w:p>
        </w:tc>
        <w:tc>
          <w:tcPr>
            <w:tcW w:w="5210" w:type="dxa"/>
            <w:gridSpan w:val="2"/>
            <w:tcBorders/>
            <w:shd w:fill="auto" w:val="clear"/>
            <w:vAlign w:val="center"/>
          </w:tcPr>
          <w:p>
            <w:pPr>
              <w:pStyle w:val="TableContents"/>
              <w:spacing w:before="0" w:after="283"/>
              <w:rPr/>
            </w:pPr>
            <w:r>
              <w:rPr/>
              <w:t> </w:t>
            </w:r>
          </w:p>
        </w:tc>
      </w:tr>
      <w:tr>
        <w:trPr/>
        <w:tc>
          <w:tcPr>
            <w:tcW w:w="995" w:type="dxa"/>
            <w:tcBorders/>
            <w:shd w:fill="auto" w:val="clear"/>
            <w:vAlign w:val="center"/>
          </w:tcPr>
          <w:p>
            <w:pPr>
              <w:pStyle w:val="TableContents"/>
              <w:spacing w:before="0" w:after="283"/>
              <w:rPr>
                <w:sz w:val="20"/>
              </w:rPr>
            </w:pPr>
            <w:r>
              <w:rPr>
                <w:sz w:val="20"/>
              </w:rPr>
              <w:t>104</w:t>
            </w:r>
          </w:p>
        </w:tc>
        <w:tc>
          <w:tcPr>
            <w:tcW w:w="60" w:type="dxa"/>
            <w:tcBorders/>
            <w:shd w:fill="auto" w:val="clear"/>
            <w:vAlign w:val="center"/>
          </w:tcPr>
          <w:p>
            <w:pPr>
              <w:pStyle w:val="TableContents"/>
              <w:spacing w:before="0" w:after="283"/>
              <w:rPr/>
            </w:pPr>
            <w:r>
              <w:rPr/>
              <w:t> </w:t>
            </w:r>
          </w:p>
        </w:tc>
        <w:tc>
          <w:tcPr>
            <w:tcW w:w="5150" w:type="dxa"/>
            <w:tcBorders/>
            <w:shd w:fill="auto" w:val="clear"/>
            <w:vAlign w:val="center"/>
          </w:tcPr>
          <w:p>
            <w:pPr>
              <w:pStyle w:val="TableContents"/>
              <w:spacing w:before="0" w:after="283"/>
              <w:rPr>
                <w:sz w:val="20"/>
              </w:rPr>
            </w:pPr>
            <w:r>
              <w:rPr>
                <w:sz w:val="20"/>
              </w:rPr>
              <w:t>Cover Page to this Current Report on Form 8-K in Inline XBRL</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bdr w:val="single" w:sz="8" w:space="1" w:color="000000"/>
        </w:rPr>
      </w:pPr>
      <w:r>
        <w:rPr>
          <w:bdr w:val="single" w:sz="8" w:space="1" w:color="000000"/>
        </w:rPr>
        <w:t> </w:t>
      </w:r>
    </w:p>
    <w:p>
      <w:pPr>
        <w:pStyle w:val="TextBody"/>
        <w:spacing w:before="0" w:after="0"/>
        <w:ind w:left="0" w:right="0" w:hanging="0"/>
        <w:jc w:val="right"/>
        <w:rPr/>
      </w:pPr>
      <w:r>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spacing w:before="0" w:after="0"/>
        <w:ind w:left="0" w:right="0" w:hanging="0"/>
        <w:rPr>
          <w:caps w:val="false"/>
          <w:smallCaps w:val="false"/>
        </w:rPr>
      </w:pPr>
      <w:r>
        <w:rPr>
          <w:caps w:val="false"/>
          <w:smallCaps w:val="false"/>
        </w:rPr>
        <w:t> </w:t>
      </w:r>
    </w:p>
    <w:tbl>
      <w:tblPr>
        <w:tblW w:w="4809" w:type="dxa"/>
        <w:jc w:val="left"/>
        <w:tblInd w:w="0" w:type="dxa"/>
        <w:tblCellMar>
          <w:top w:w="0" w:type="dxa"/>
          <w:left w:w="0" w:type="dxa"/>
          <w:bottom w:w="0" w:type="dxa"/>
          <w:right w:w="0" w:type="dxa"/>
        </w:tblCellMar>
      </w:tblPr>
      <w:tblGrid>
        <w:gridCol w:w="1700"/>
        <w:gridCol w:w="662"/>
        <w:gridCol w:w="72"/>
        <w:gridCol w:w="2375"/>
      </w:tblGrid>
      <w:tr>
        <w:trPr/>
        <w:tc>
          <w:tcPr>
            <w:tcW w:w="1700" w:type="dxa"/>
            <w:tcBorders/>
            <w:shd w:fill="auto" w:val="clear"/>
            <w:vAlign w:val="center"/>
          </w:tcPr>
          <w:p>
            <w:pPr>
              <w:pStyle w:val="TableContents"/>
              <w:spacing w:before="0" w:after="283"/>
              <w:rPr/>
            </w:pPr>
            <w:r>
              <w:rPr/>
              <w:t> </w:t>
            </w:r>
          </w:p>
        </w:tc>
        <w:tc>
          <w:tcPr>
            <w:tcW w:w="3109" w:type="dxa"/>
            <w:gridSpan w:val="3"/>
            <w:tcBorders/>
            <w:shd w:fill="auto" w:val="clear"/>
            <w:vAlign w:val="center"/>
          </w:tcPr>
          <w:p>
            <w:pPr>
              <w:pStyle w:val="TableContents"/>
              <w:spacing w:before="0" w:after="283"/>
              <w:rPr>
                <w:b/>
                <w:sz w:val="20"/>
              </w:rPr>
            </w:pPr>
            <w:r>
              <w:rPr>
                <w:b/>
                <w:sz w:val="20"/>
              </w:rPr>
              <w:t>Arcturus Therapeutics Holdings Inc.</w:t>
            </w:r>
          </w:p>
        </w:tc>
      </w:tr>
      <w:tr>
        <w:trPr/>
        <w:tc>
          <w:tcPr>
            <w:tcW w:w="1700" w:type="dxa"/>
            <w:tcBorders/>
            <w:shd w:fill="auto" w:val="clear"/>
            <w:vAlign w:val="center"/>
          </w:tcPr>
          <w:p>
            <w:pPr>
              <w:pStyle w:val="TableContents"/>
              <w:spacing w:before="0" w:after="283"/>
              <w:rPr>
                <w:sz w:val="20"/>
              </w:rPr>
            </w:pPr>
            <w:r>
              <w:rPr>
                <w:sz w:val="20"/>
              </w:rPr>
              <w:t>Date: April 21, 2023</w:t>
            </w:r>
          </w:p>
        </w:tc>
        <w:tc>
          <w:tcPr>
            <w:tcW w:w="3109" w:type="dxa"/>
            <w:gridSpan w:val="3"/>
            <w:tcBorders/>
            <w:shd w:fill="auto" w:val="clear"/>
            <w:vAlign w:val="center"/>
          </w:tcPr>
          <w:p>
            <w:pPr>
              <w:pStyle w:val="TableContents"/>
              <w:spacing w:before="0" w:after="283"/>
              <w:rPr/>
            </w:pPr>
            <w:r>
              <w:rPr/>
              <w:t> </w:t>
            </w:r>
          </w:p>
        </w:tc>
      </w:tr>
      <w:tr>
        <w:trPr/>
        <w:tc>
          <w:tcPr>
            <w:tcW w:w="1700" w:type="dxa"/>
            <w:tcBorders/>
            <w:shd w:fill="auto" w:val="clear"/>
            <w:vAlign w:val="center"/>
          </w:tcPr>
          <w:p>
            <w:pPr>
              <w:pStyle w:val="TableContents"/>
              <w:spacing w:before="0" w:after="283"/>
              <w:rPr/>
            </w:pPr>
            <w:r>
              <w:rPr/>
              <w:t> </w:t>
            </w:r>
          </w:p>
        </w:tc>
        <w:tc>
          <w:tcPr>
            <w:tcW w:w="662" w:type="dxa"/>
            <w:tcBorders/>
            <w:shd w:fill="auto" w:val="clear"/>
            <w:vAlign w:val="center"/>
          </w:tcPr>
          <w:p>
            <w:pPr>
              <w:pStyle w:val="TableContents"/>
              <w:spacing w:before="0" w:after="283"/>
              <w:rPr/>
            </w:pPr>
            <w:r>
              <w:rPr/>
              <w:t> </w:t>
            </w:r>
          </w:p>
        </w:tc>
        <w:tc>
          <w:tcPr>
            <w:tcW w:w="2447" w:type="dxa"/>
            <w:gridSpan w:val="2"/>
            <w:tcBorders/>
            <w:shd w:fill="auto" w:val="clear"/>
            <w:vAlign w:val="center"/>
          </w:tcPr>
          <w:p>
            <w:pPr>
              <w:pStyle w:val="TableContents"/>
              <w:spacing w:before="0" w:after="283"/>
              <w:rPr/>
            </w:pPr>
            <w:r>
              <w:rPr/>
              <w:t> </w:t>
            </w:r>
          </w:p>
        </w:tc>
      </w:tr>
      <w:tr>
        <w:trPr/>
        <w:tc>
          <w:tcPr>
            <w:tcW w:w="1700" w:type="dxa"/>
            <w:tcBorders/>
            <w:shd w:fill="auto" w:val="clear"/>
            <w:vAlign w:val="center"/>
          </w:tcPr>
          <w:p>
            <w:pPr>
              <w:pStyle w:val="TableContents"/>
              <w:spacing w:before="0" w:after="283"/>
              <w:rPr/>
            </w:pPr>
            <w:r>
              <w:rPr/>
              <w:t> </w:t>
            </w:r>
          </w:p>
        </w:tc>
        <w:tc>
          <w:tcPr>
            <w:tcW w:w="662" w:type="dxa"/>
            <w:tcBorders/>
            <w:shd w:fill="auto" w:val="clear"/>
            <w:vAlign w:val="center"/>
          </w:tcPr>
          <w:p>
            <w:pPr>
              <w:pStyle w:val="TableContents"/>
              <w:spacing w:before="0" w:after="283"/>
              <w:rPr>
                <w:sz w:val="20"/>
              </w:rPr>
            </w:pPr>
            <w:r>
              <w:rPr>
                <w:sz w:val="20"/>
              </w:rPr>
              <w:t>By:</w:t>
            </w:r>
          </w:p>
        </w:tc>
        <w:tc>
          <w:tcPr>
            <w:tcW w:w="72" w:type="dxa"/>
            <w:tcBorders/>
            <w:shd w:fill="auto" w:val="clear"/>
            <w:vAlign w:val="center"/>
          </w:tcPr>
          <w:p>
            <w:pPr>
              <w:pStyle w:val="TableContents"/>
              <w:spacing w:before="0" w:after="283"/>
              <w:rPr/>
            </w:pPr>
            <w:r>
              <w:rPr/>
              <w:t> </w:t>
            </w:r>
          </w:p>
        </w:tc>
        <w:tc>
          <w:tcPr>
            <w:tcW w:w="2375" w:type="dxa"/>
            <w:tcBorders/>
            <w:shd w:fill="auto" w:val="clear"/>
            <w:vAlign w:val="center"/>
          </w:tcPr>
          <w:p>
            <w:pPr>
              <w:pStyle w:val="TableContents"/>
              <w:pBdr>
                <w:bottom w:val="single" w:sz="6" w:space="1" w:color="000000"/>
              </w:pBdr>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Joseph E. Payne</w:t>
            </w:r>
          </w:p>
        </w:tc>
      </w:tr>
      <w:tr>
        <w:trPr/>
        <w:tc>
          <w:tcPr>
            <w:tcW w:w="1700" w:type="dxa"/>
            <w:tcBorders/>
            <w:shd w:fill="auto" w:val="clear"/>
            <w:vAlign w:val="center"/>
          </w:tcPr>
          <w:p>
            <w:pPr>
              <w:pStyle w:val="TableContents"/>
              <w:spacing w:before="0" w:after="283"/>
              <w:rPr/>
            </w:pPr>
            <w:r>
              <w:rPr/>
              <w:t> </w:t>
            </w:r>
          </w:p>
        </w:tc>
        <w:tc>
          <w:tcPr>
            <w:tcW w:w="662" w:type="dxa"/>
            <w:tcBorders/>
            <w:shd w:fill="auto" w:val="clear"/>
            <w:vAlign w:val="center"/>
          </w:tcPr>
          <w:p>
            <w:pPr>
              <w:pStyle w:val="TableContents"/>
              <w:spacing w:before="0" w:after="283"/>
              <w:rPr>
                <w:sz w:val="20"/>
              </w:rPr>
            </w:pPr>
            <w:r>
              <w:rPr>
                <w:sz w:val="20"/>
              </w:rPr>
              <w:t>Name:</w:t>
            </w:r>
          </w:p>
        </w:tc>
        <w:tc>
          <w:tcPr>
            <w:tcW w:w="72" w:type="dxa"/>
            <w:tcBorders/>
            <w:shd w:fill="auto" w:val="clear"/>
            <w:vAlign w:val="center"/>
          </w:tcPr>
          <w:p>
            <w:pPr>
              <w:pStyle w:val="TableContents"/>
              <w:spacing w:before="0" w:after="283"/>
              <w:rPr/>
            </w:pPr>
            <w:r>
              <w:rPr/>
              <w:t> </w:t>
            </w:r>
          </w:p>
        </w:tc>
        <w:tc>
          <w:tcPr>
            <w:tcW w:w="2375" w:type="dxa"/>
            <w:tcBorders/>
            <w:shd w:fill="auto" w:val="clear"/>
            <w:vAlign w:val="center"/>
          </w:tcPr>
          <w:p>
            <w:pPr>
              <w:pStyle w:val="TableContents"/>
              <w:spacing w:before="0" w:after="283"/>
              <w:rPr>
                <w:sz w:val="20"/>
              </w:rPr>
            </w:pPr>
            <w:r>
              <w:rPr>
                <w:sz w:val="20"/>
              </w:rPr>
              <w:t>Joseph E. Payne</w:t>
            </w:r>
          </w:p>
        </w:tc>
      </w:tr>
      <w:tr>
        <w:trPr/>
        <w:tc>
          <w:tcPr>
            <w:tcW w:w="1700" w:type="dxa"/>
            <w:tcBorders/>
            <w:shd w:fill="auto" w:val="clear"/>
            <w:vAlign w:val="center"/>
          </w:tcPr>
          <w:p>
            <w:pPr>
              <w:pStyle w:val="TableContents"/>
              <w:spacing w:before="0" w:after="283"/>
              <w:rPr/>
            </w:pPr>
            <w:r>
              <w:rPr/>
              <w:t> </w:t>
            </w:r>
          </w:p>
        </w:tc>
        <w:tc>
          <w:tcPr>
            <w:tcW w:w="662" w:type="dxa"/>
            <w:tcBorders/>
            <w:shd w:fill="auto" w:val="clear"/>
            <w:vAlign w:val="center"/>
          </w:tcPr>
          <w:p>
            <w:pPr>
              <w:pStyle w:val="TableContents"/>
              <w:spacing w:before="0" w:after="283"/>
              <w:rPr>
                <w:sz w:val="20"/>
              </w:rPr>
            </w:pPr>
            <w:r>
              <w:rPr>
                <w:sz w:val="20"/>
              </w:rPr>
              <w:t>Title:</w:t>
            </w:r>
          </w:p>
        </w:tc>
        <w:tc>
          <w:tcPr>
            <w:tcW w:w="72" w:type="dxa"/>
            <w:tcBorders/>
            <w:shd w:fill="auto" w:val="clear"/>
            <w:vAlign w:val="center"/>
          </w:tcPr>
          <w:p>
            <w:pPr>
              <w:pStyle w:val="TableContents"/>
              <w:spacing w:before="0" w:after="283"/>
              <w:rPr/>
            </w:pPr>
            <w:r>
              <w:rPr/>
              <w:t> </w:t>
            </w:r>
          </w:p>
        </w:tc>
        <w:tc>
          <w:tcPr>
            <w:tcW w:w="2375" w:type="dxa"/>
            <w:tcBorders/>
            <w:shd w:fill="auto" w:val="clear"/>
            <w:vAlign w:val="center"/>
          </w:tcPr>
          <w:p>
            <w:pPr>
              <w:pStyle w:val="TableContents"/>
              <w:spacing w:before="0" w:after="283"/>
              <w:rPr>
                <w:sz w:val="20"/>
              </w:rPr>
            </w:pPr>
            <w:r>
              <w:rPr>
                <w:sz w:val="20"/>
              </w:rPr>
              <w:t>Chief Executive Officer</w:t>
            </w:r>
          </w:p>
        </w:tc>
      </w:tr>
    </w:tbl>
    <w:p>
      <w:pPr>
        <w:pStyle w:val="TextBody"/>
        <w:rPr/>
      </w:pPr>
      <w:r>
        <w:rPr/>
        <w:t> </w:t>
      </w:r>
    </w:p>
    <w:p>
      <w:pPr>
        <w:pStyle w:val="TextBody"/>
        <w:rPr/>
      </w:pPr>
      <w:r>
        <w:rPr/>
        <w:t> </w:t>
      </w:r>
    </w:p>
    <w:p>
      <w:pPr>
        <w:pStyle w:val="TextBody"/>
        <w:rPr/>
      </w:pPr>
      <w:r>
        <w:rPr/>
        <w:t> </w:t>
      </w:r>
    </w:p>
    <w:p>
      <w:pPr>
        <w:pStyle w:val="TextBody"/>
        <w:rPr/>
      </w:pPr>
      <w:r>
        <w:rPr/>
        <w:t> </w:t>
      </w:r>
    </w:p>
    <w:p>
      <w:pPr>
        <w:pStyle w:val="TextBody"/>
        <w:rPr/>
      </w:pPr>
      <w:r>
        <w:rPr/>
        <w:t> </w:t>
      </w:r>
    </w:p>
    <w:p>
      <w:pPr>
        <w:pStyle w:val="TextBody"/>
        <w:spacing w:before="0" w:after="283"/>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Pages>
  <Words>746</Words>
  <CharactersWithSpaces>4748</CharactersWithSpaces>
  <Paragraphs>131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