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
        <w:spacing w:after="0"/>
        <w:rPr>
          <w:sz w:val="20"/>
          <w:szCs w:val="20"/>
          <w:color w:val="auto"/>
        </w:rPr>
      </w:pPr>
      <w:r>
        <w:rPr>
          <w:rFonts w:ascii="Arial" w:cs="Arial" w:eastAsia="Arial" w:hAnsi="Arial"/>
          <w:sz w:val="23"/>
          <w:szCs w:val="23"/>
          <w:b w:val="1"/>
          <w:bCs w:val="1"/>
          <w:color w:val="auto"/>
        </w:rPr>
        <w:t>UNITED STATES</w:t>
      </w:r>
    </w:p>
    <w:p>
      <w:pPr>
        <w:spacing w:after="0" w:line="24" w:lineRule="exact"/>
        <w:rPr>
          <w:sz w:val="24"/>
          <w:szCs w:val="24"/>
          <w:color w:val="auto"/>
        </w:rPr>
      </w:pPr>
    </w:p>
    <w:p>
      <w:pPr>
        <w:jc w:val="center"/>
        <w:ind w:right="-105"/>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ind w:right="-105"/>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ind w:right="-105"/>
        <w:spacing w:after="0"/>
        <w:rPr>
          <w:sz w:val="20"/>
          <w:szCs w:val="20"/>
          <w:color w:val="auto"/>
        </w:rPr>
      </w:pPr>
      <w:r>
        <w:rPr>
          <w:rFonts w:ascii="Arial" w:cs="Arial" w:eastAsia="Arial" w:hAnsi="Arial"/>
          <w:sz w:val="19"/>
          <w:szCs w:val="19"/>
          <w:b w:val="1"/>
          <w:bCs w:val="1"/>
          <w:color w:val="auto"/>
        </w:rPr>
        <w:t>SCHEDULE 13G</w:t>
      </w:r>
    </w:p>
    <w:p>
      <w:pPr>
        <w:spacing w:after="0" w:line="29" w:lineRule="exact"/>
        <w:rPr>
          <w:sz w:val="24"/>
          <w:szCs w:val="24"/>
          <w:color w:val="auto"/>
        </w:rPr>
      </w:pPr>
    </w:p>
    <w:p>
      <w:pPr>
        <w:jc w:val="center"/>
        <w:ind w:right="-105"/>
        <w:spacing w:after="0"/>
        <w:rPr>
          <w:sz w:val="20"/>
          <w:szCs w:val="20"/>
          <w:color w:val="auto"/>
        </w:rPr>
      </w:pPr>
      <w:r>
        <w:rPr>
          <w:rFonts w:ascii="Arial" w:cs="Arial" w:eastAsia="Arial" w:hAnsi="Arial"/>
          <w:sz w:val="19"/>
          <w:szCs w:val="19"/>
          <w:color w:val="auto"/>
        </w:rPr>
        <w:t>(Rule 13d-102)</w:t>
      </w:r>
    </w:p>
    <w:p>
      <w:pPr>
        <w:spacing w:after="0" w:line="225" w:lineRule="exact"/>
        <w:rPr>
          <w:sz w:val="24"/>
          <w:szCs w:val="24"/>
          <w:color w:val="auto"/>
        </w:rPr>
      </w:pPr>
    </w:p>
    <w:p>
      <w:pPr>
        <w:jc w:val="center"/>
        <w:ind w:left="240" w:right="2860"/>
        <w:spacing w:after="0" w:line="263" w:lineRule="auto"/>
        <w:rPr>
          <w:sz w:val="20"/>
          <w:szCs w:val="20"/>
          <w:color w:val="auto"/>
        </w:rPr>
      </w:pPr>
      <w:r>
        <w:rPr>
          <w:rFonts w:ascii="Arial" w:cs="Arial" w:eastAsia="Arial" w:hAnsi="Arial"/>
          <w:sz w:val="19"/>
          <w:szCs w:val="19"/>
          <w:color w:val="auto"/>
        </w:rPr>
        <w:t>INFORMATION TO BE INCLUDED IN STATEMENTS FILED PURSUANT TO RULES 13d-1(b), (c), AND (d) AND AMENDMENTS THERETO FILED PURSUANT TO RULE 13d-2(b)</w:t>
      </w:r>
    </w:p>
    <w:p>
      <w:pPr>
        <w:spacing w:after="0" w:line="196" w:lineRule="exact"/>
        <w:rPr>
          <w:sz w:val="24"/>
          <w:szCs w:val="24"/>
          <w:color w:val="auto"/>
        </w:rPr>
      </w:pPr>
    </w:p>
    <w:p>
      <w:pPr>
        <w:jc w:val="center"/>
        <w:ind w:right="-105"/>
        <w:spacing w:after="0"/>
        <w:rPr>
          <w:sz w:val="20"/>
          <w:szCs w:val="20"/>
          <w:color w:val="auto"/>
        </w:rPr>
      </w:pPr>
      <w:r>
        <w:rPr>
          <w:rFonts w:ascii="Arial" w:cs="Arial" w:eastAsia="Arial" w:hAnsi="Arial"/>
          <w:sz w:val="19"/>
          <w:szCs w:val="19"/>
          <w:color w:val="auto"/>
        </w:rPr>
        <w:t>(Amendment No. 1)</w:t>
      </w:r>
      <w:r>
        <w:rPr>
          <w:rFonts w:ascii="Arial" w:cs="Arial" w:eastAsia="Arial" w:hAnsi="Arial"/>
          <w:sz w:val="31"/>
          <w:szCs w:val="31"/>
          <w:color w:val="auto"/>
          <w:vertAlign w:val="superscript"/>
        </w:rPr>
        <w:t>1</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5006"/>
        <w:spacing w:after="0"/>
        <w:rPr>
          <w:sz w:val="20"/>
          <w:szCs w:val="20"/>
          <w:color w:val="auto"/>
        </w:rPr>
      </w:pPr>
      <w:r>
        <w:rPr>
          <w:rFonts w:ascii="Arial" w:cs="Arial" w:eastAsia="Arial" w:hAnsi="Arial"/>
          <w:sz w:val="19"/>
          <w:szCs w:val="19"/>
          <w:color w:val="auto"/>
        </w:rPr>
        <w:t>Arcturus Therapeutics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ind w:left="5386"/>
        <w:spacing w:after="0"/>
        <w:rPr>
          <w:sz w:val="20"/>
          <w:szCs w:val="20"/>
          <w:color w:val="auto"/>
        </w:rPr>
      </w:pPr>
      <w:r>
        <w:rPr>
          <w:rFonts w:ascii="Arial" w:cs="Arial" w:eastAsia="Arial" w:hAnsi="Arial"/>
          <w:sz w:val="19"/>
          <w:szCs w:val="19"/>
          <w:color w:val="auto"/>
        </w:rPr>
        <w:t>(Name of Issuer)</w:t>
      </w:r>
    </w:p>
    <w:p>
      <w:pPr>
        <w:spacing w:after="0" w:line="238" w:lineRule="exact"/>
        <w:rPr>
          <w:sz w:val="24"/>
          <w:szCs w:val="24"/>
          <w:color w:val="auto"/>
        </w:rPr>
      </w:pPr>
    </w:p>
    <w:p>
      <w:pPr>
        <w:ind w:left="4506"/>
        <w:spacing w:after="0"/>
        <w:rPr>
          <w:sz w:val="20"/>
          <w:szCs w:val="20"/>
          <w:color w:val="auto"/>
        </w:rPr>
      </w:pPr>
      <w:r>
        <w:rPr>
          <w:rFonts w:ascii="Arial" w:cs="Arial" w:eastAsia="Arial" w:hAnsi="Arial"/>
          <w:sz w:val="19"/>
          <w:szCs w:val="19"/>
          <w:color w:val="auto"/>
        </w:rPr>
        <w:t>Ordinary Shares, par value of NIS 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ind w:left="4946"/>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ind w:left="5526"/>
        <w:spacing w:after="0"/>
        <w:rPr>
          <w:sz w:val="20"/>
          <w:szCs w:val="20"/>
          <w:color w:val="auto"/>
        </w:rPr>
      </w:pPr>
      <w:r>
        <w:rPr>
          <w:rFonts w:ascii="Arial" w:cs="Arial" w:eastAsia="Arial" w:hAnsi="Arial"/>
          <w:sz w:val="19"/>
          <w:szCs w:val="19"/>
          <w:color w:val="auto"/>
        </w:rPr>
        <w:t>M1492T105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ind w:left="5366"/>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ind w:right="-105"/>
        <w:spacing w:after="0"/>
        <w:rPr>
          <w:sz w:val="20"/>
          <w:szCs w:val="20"/>
          <w:color w:val="auto"/>
        </w:rPr>
      </w:pPr>
      <w:r>
        <w:rPr>
          <w:rFonts w:ascii="Arial" w:cs="Arial" w:eastAsia="Arial" w:hAnsi="Arial"/>
          <w:sz w:val="19"/>
          <w:szCs w:val="19"/>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165"/>
        <w:spacing w:after="0"/>
        <w:rPr>
          <w:sz w:val="20"/>
          <w:szCs w:val="20"/>
          <w:color w:val="auto"/>
        </w:rPr>
      </w:pPr>
      <w:r>
        <w:rPr>
          <w:rFonts w:ascii="Arial" w:cs="Arial" w:eastAsia="Arial" w:hAnsi="Arial"/>
          <w:sz w:val="19"/>
          <w:szCs w:val="19"/>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6"/>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195" w:lineRule="exact"/>
        <w:rPr>
          <w:sz w:val="24"/>
          <w:szCs w:val="24"/>
          <w:color w:val="auto"/>
        </w:rPr>
      </w:pPr>
    </w:p>
    <w:p>
      <w:pPr>
        <w:ind w:left="1026" w:hanging="365"/>
        <w:spacing w:after="0"/>
        <w:tabs>
          <w:tab w:leader="none" w:pos="1026" w:val="left"/>
        </w:tabs>
        <w:numPr>
          <w:ilvl w:val="1"/>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7" w:lineRule="exact"/>
        <w:rPr>
          <w:rFonts w:ascii="MS PGothic" w:cs="MS PGothic" w:eastAsia="MS PGothic" w:hAnsi="MS PGothic"/>
          <w:sz w:val="19"/>
          <w:szCs w:val="19"/>
          <w:color w:val="auto"/>
        </w:rPr>
      </w:pPr>
    </w:p>
    <w:p>
      <w:pPr>
        <w:ind w:left="1026" w:hanging="413"/>
        <w:spacing w:after="0"/>
        <w:tabs>
          <w:tab w:leader="none" w:pos="10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37" w:lineRule="exact"/>
        <w:rPr>
          <w:rFonts w:ascii="MS PGothic" w:cs="MS PGothic" w:eastAsia="MS PGothic" w:hAnsi="MS PGothic"/>
          <w:sz w:val="19"/>
          <w:szCs w:val="19"/>
          <w:color w:val="auto"/>
        </w:rPr>
      </w:pPr>
    </w:p>
    <w:p>
      <w:pPr>
        <w:ind w:left="1026" w:hanging="365"/>
        <w:spacing w:after="0"/>
        <w:tabs>
          <w:tab w:leader="none" w:pos="1026" w:val="left"/>
        </w:tabs>
        <w:numPr>
          <w:ilvl w:val="1"/>
          <w:numId w:val="1"/>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775970</wp:posOffset>
            </wp:positionV>
            <wp:extent cx="1910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6" w:right="40" w:hanging="6"/>
        <w:spacing w:after="0" w:line="245" w:lineRule="auto"/>
        <w:tabs>
          <w:tab w:leader="none" w:pos="867" w:val="left"/>
        </w:tabs>
        <w:numPr>
          <w:ilvl w:val="0"/>
          <w:numId w:val="2"/>
        </w:numPr>
        <w:rPr>
          <w:rFonts w:ascii="Arial" w:cs="Arial" w:eastAsia="Arial" w:hAnsi="Arial"/>
          <w:sz w:val="13"/>
          <w:szCs w:val="13"/>
          <w:color w:val="auto"/>
        </w:rPr>
      </w:pPr>
      <w:r>
        <w:rPr>
          <w:rFonts w:ascii="Arial" w:cs="Arial" w:eastAsia="Arial" w:hAnsi="Arial"/>
          <w:sz w:val="23"/>
          <w:szCs w:val="23"/>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5" w:lineRule="exact"/>
        <w:rPr>
          <w:sz w:val="24"/>
          <w:szCs w:val="24"/>
          <w:color w:val="auto"/>
        </w:rPr>
      </w:pPr>
    </w:p>
    <w:p>
      <w:pPr>
        <w:ind w:left="6" w:firstLine="685"/>
        <w:spacing w:after="0" w:line="263" w:lineRule="auto"/>
        <w:rPr>
          <w:sz w:val="20"/>
          <w:szCs w:val="20"/>
          <w:color w:val="auto"/>
        </w:rPr>
      </w:pPr>
      <w:r>
        <w:rPr>
          <w:rFonts w:ascii="Arial" w:cs="Arial" w:eastAsia="Arial" w:hAnsi="Arial"/>
          <w:sz w:val="19"/>
          <w:szCs w:val="19"/>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9"/>
          <w:szCs w:val="19"/>
          <w:i w:val="1"/>
          <w:iCs w:val="1"/>
          <w:color w:val="auto"/>
        </w:rPr>
        <w:t xml:space="preserve">see </w:t>
      </w:r>
      <w:r>
        <w:rPr>
          <w:rFonts w:ascii="Arial" w:cs="Arial" w:eastAsia="Arial" w:hAnsi="Arial"/>
          <w:sz w:val="19"/>
          <w:szCs w:val="19"/>
          <w:color w:val="auto"/>
        </w:rPr>
        <w:t>the</w:t>
      </w:r>
      <w:r>
        <w:rPr>
          <w:rFonts w:ascii="Arial" w:cs="Arial" w:eastAsia="Arial" w:hAnsi="Arial"/>
          <w:sz w:val="19"/>
          <w:szCs w:val="19"/>
          <w:i w:val="1"/>
          <w:iCs w:val="1"/>
          <w:color w:val="auto"/>
        </w:rPr>
        <w:t xml:space="preserve"> Notes</w:t>
      </w:r>
      <w:r>
        <w:rPr>
          <w:rFonts w:ascii="Arial" w:cs="Arial" w:eastAsia="Arial" w:hAnsi="Arial"/>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886"/>
          </w:cols>
          <w:pgMar w:left="114" w:top="84" w:right="240" w:bottom="1440" w:gutter="0" w:footer="0" w:header="0"/>
        </w:sectPr>
      </w:pPr>
    </w:p>
    <w:bookmarkStart w:id="1" w:name="page2"/>
    <w:bookmarkEnd w:id="1"/>
    <w:p>
      <w:pPr>
        <w:spacing w:after="0"/>
        <w:rPr>
          <w:sz w:val="20"/>
          <w:szCs w:val="20"/>
          <w:color w:val="auto"/>
        </w:rPr>
      </w:pPr>
      <w:r>
        <w:rPr>
          <w:rFonts w:ascii="Arial" w:cs="Arial" w:eastAsia="Arial" w:hAnsi="Arial"/>
          <w:sz w:val="23"/>
          <w:szCs w:val="23"/>
          <w:color w:val="auto"/>
        </w:rPr>
        <w:t>CUSIP NO. M1492T105</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44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color w:val="auto"/>
              </w:rPr>
              <w:t>Brosh Capital Partners, L.P.</w:t>
            </w:r>
          </w:p>
        </w:tc>
        <w:tc>
          <w:tcPr>
            <w:tcW w:w="1880" w:type="dxa"/>
            <w:vAlign w:val="bottom"/>
            <w:tcBorders>
              <w:bottom w:val="single" w:sz="8" w:color="auto"/>
              <w:right w:val="single" w:sz="8" w:color="auto"/>
            </w:tcBorders>
          </w:tcPr>
          <w:p>
            <w:pPr>
              <w:spacing w:after="0"/>
              <w:rPr>
                <w:sz w:val="24"/>
                <w:szCs w:val="24"/>
                <w:color w:val="auto"/>
              </w:rPr>
            </w:pPr>
          </w:p>
        </w:tc>
      </w:tr>
      <w:tr>
        <w:trPr>
          <w:trHeight w:val="174"/>
        </w:trPr>
        <w:tc>
          <w:tcPr>
            <w:tcW w:w="184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2</w:t>
            </w:r>
          </w:p>
        </w:tc>
        <w:tc>
          <w:tcPr>
            <w:tcW w:w="8280" w:type="dxa"/>
            <w:vAlign w:val="bottom"/>
            <w:gridSpan w:val="3"/>
          </w:tcPr>
          <w:p>
            <w:pPr>
              <w:ind w:left="120"/>
              <w:spacing w:after="0" w:line="173"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ind w:left="680"/>
              <w:spacing w:after="0" w:line="173"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r>
      <w:tr>
        <w:trPr>
          <w:trHeight w:val="298"/>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880" w:type="dxa"/>
            <w:vAlign w:val="bottom"/>
            <w:tcBorders>
              <w:right w:val="single" w:sz="8" w:color="auto"/>
            </w:tcBorders>
          </w:tcPr>
          <w:p>
            <w:pPr>
              <w:ind w:left="68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r>
      <w:tr>
        <w:trPr>
          <w:trHeight w:val="207"/>
        </w:trPr>
        <w:tc>
          <w:tcPr>
            <w:tcW w:w="1840" w:type="dxa"/>
            <w:vAlign w:val="bottom"/>
            <w:tcBorders>
              <w:left w:val="single" w:sz="8" w:color="auto"/>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840" w:type="dxa"/>
            <w:vAlign w:val="bottom"/>
            <w:gridSpan w:val="2"/>
          </w:tcPr>
          <w:p>
            <w:pPr>
              <w:ind w:left="120"/>
              <w:spacing w:after="0"/>
              <w:rPr>
                <w:sz w:val="20"/>
                <w:szCs w:val="20"/>
                <w:color w:val="auto"/>
              </w:rPr>
            </w:pPr>
            <w:r>
              <w:rPr>
                <w:rFonts w:ascii="Arial" w:cs="Arial" w:eastAsia="Arial" w:hAnsi="Arial"/>
                <w:sz w:val="19"/>
                <w:szCs w:val="19"/>
                <w:color w:val="auto"/>
              </w:rPr>
              <w:t>SEC USE ONLY</w:t>
            </w:r>
          </w:p>
        </w:tc>
        <w:tc>
          <w:tcPr>
            <w:tcW w:w="64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w w:val="91"/>
              </w:rPr>
              <w:t>Cayman Islands</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0" w:type="dxa"/>
            <w:vAlign w:val="bottom"/>
          </w:tcPr>
          <w:p>
            <w:pPr>
              <w:spacing w:after="0"/>
              <w:rPr>
                <w:sz w:val="18"/>
                <w:szCs w:val="18"/>
                <w:color w:val="auto"/>
              </w:rPr>
            </w:pPr>
          </w:p>
        </w:tc>
        <w:tc>
          <w:tcPr>
            <w:tcW w:w="6440" w:type="dxa"/>
            <w:vAlign w:val="bottom"/>
          </w:tcPr>
          <w:p>
            <w:pPr>
              <w:ind w:left="6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0" w:type="dxa"/>
            <w:vAlign w:val="bottom"/>
          </w:tcPr>
          <w:p>
            <w:pPr>
              <w:spacing w:after="0"/>
              <w:rPr>
                <w:sz w:val="18"/>
                <w:szCs w:val="18"/>
                <w:color w:val="auto"/>
              </w:rPr>
            </w:pPr>
          </w:p>
        </w:tc>
        <w:tc>
          <w:tcPr>
            <w:tcW w:w="6440" w:type="dxa"/>
            <w:vAlign w:val="bottom"/>
          </w:tcPr>
          <w:p>
            <w:pPr>
              <w:ind w:left="6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391,754</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540"/>
              <w:spacing w:after="0"/>
              <w:rPr>
                <w:sz w:val="20"/>
                <w:szCs w:val="20"/>
                <w:color w:val="auto"/>
              </w:rPr>
            </w:pPr>
            <w:r>
              <w:rPr>
                <w:rFonts w:ascii="Arial" w:cs="Arial" w:eastAsia="Arial" w:hAnsi="Arial"/>
                <w:sz w:val="19"/>
                <w:szCs w:val="19"/>
                <w:color w:val="auto"/>
              </w:rPr>
              <w:t>391,754</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9</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20"/>
                <w:szCs w:val="20"/>
                <w:color w:val="auto"/>
              </w:rPr>
            </w:pPr>
          </w:p>
        </w:tc>
      </w:tr>
      <w:tr>
        <w:trPr>
          <w:trHeight w:val="442"/>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391,754</w:t>
            </w: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9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ind w:left="880"/>
              <w:spacing w:after="0" w:line="191" w:lineRule="exact"/>
              <w:rPr>
                <w:sz w:val="20"/>
                <w:szCs w:val="20"/>
                <w:color w:val="auto"/>
              </w:rPr>
            </w:pPr>
            <w:r>
              <w:rPr>
                <w:rFonts w:ascii="MS PGothic" w:cs="MS PGothic" w:eastAsia="MS PGothic" w:hAnsi="MS PGothic"/>
                <w:sz w:val="19"/>
                <w:szCs w:val="19"/>
                <w:color w:val="auto"/>
              </w:rPr>
              <w:t>☐</w:t>
            </w:r>
          </w:p>
        </w:tc>
      </w:tr>
      <w:tr>
        <w:trPr>
          <w:trHeight w:val="386"/>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3"/>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3.7%</w:t>
            </w: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3"/>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PN</w:t>
            </w:r>
          </w:p>
        </w:tc>
        <w:tc>
          <w:tcPr>
            <w:tcW w:w="644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5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2280"/>
              <w:spacing w:after="0"/>
              <w:rPr>
                <w:sz w:val="20"/>
                <w:szCs w:val="20"/>
                <w:color w:val="auto"/>
              </w:rPr>
            </w:pPr>
            <w:r>
              <w:rPr>
                <w:rFonts w:ascii="Arial" w:cs="Arial" w:eastAsia="Arial" w:hAnsi="Arial"/>
                <w:sz w:val="19"/>
                <w:szCs w:val="19"/>
                <w:color w:val="auto"/>
              </w:rPr>
              <w:t>2</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2" w:name="page3"/>
    <w:bookmarkEnd w:id="2"/>
    <w:p>
      <w:pPr>
        <w:spacing w:after="0"/>
        <w:rPr>
          <w:sz w:val="20"/>
          <w:szCs w:val="20"/>
          <w:color w:val="auto"/>
        </w:rPr>
      </w:pPr>
      <w:r>
        <w:rPr>
          <w:rFonts w:ascii="Arial" w:cs="Arial" w:eastAsia="Arial" w:hAnsi="Arial"/>
          <w:sz w:val="23"/>
          <w:szCs w:val="23"/>
          <w:color w:val="auto"/>
        </w:rPr>
        <w:t>CUSIP NO. M1492T105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5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ind w:left="580"/>
              <w:spacing w:after="0"/>
              <w:rPr>
                <w:sz w:val="20"/>
                <w:szCs w:val="20"/>
                <w:color w:val="auto"/>
              </w:rPr>
            </w:pPr>
            <w:r>
              <w:rPr>
                <w:rFonts w:ascii="Arial" w:cs="Arial" w:eastAsia="Arial" w:hAnsi="Arial"/>
                <w:sz w:val="19"/>
                <w:szCs w:val="19"/>
                <w:color w:val="auto"/>
              </w:rPr>
              <w:t>Exodus Management Israel Ltd.</w:t>
            </w:r>
          </w:p>
        </w:tc>
        <w:tc>
          <w:tcPr>
            <w:tcW w:w="1880" w:type="dxa"/>
            <w:vAlign w:val="bottom"/>
            <w:tcBorders>
              <w:bottom w:val="single" w:sz="8" w:color="auto"/>
              <w:right w:val="single" w:sz="8" w:color="auto"/>
            </w:tcBorders>
          </w:tcPr>
          <w:p>
            <w:pPr>
              <w:spacing w:after="0"/>
              <w:rPr>
                <w:sz w:val="24"/>
                <w:szCs w:val="24"/>
                <w:color w:val="auto"/>
              </w:rPr>
            </w:pPr>
          </w:p>
        </w:tc>
      </w:tr>
      <w:tr>
        <w:trPr>
          <w:trHeight w:val="174"/>
        </w:trPr>
        <w:tc>
          <w:tcPr>
            <w:tcW w:w="184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2</w:t>
            </w:r>
          </w:p>
        </w:tc>
        <w:tc>
          <w:tcPr>
            <w:tcW w:w="8280" w:type="dxa"/>
            <w:vAlign w:val="bottom"/>
            <w:gridSpan w:val="2"/>
          </w:tcPr>
          <w:p>
            <w:pPr>
              <w:ind w:left="120"/>
              <w:spacing w:after="0" w:line="173"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ind w:left="680"/>
              <w:spacing w:after="0" w:line="173"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r>
      <w:tr>
        <w:trPr>
          <w:trHeight w:val="298"/>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80" w:type="dxa"/>
            <w:vAlign w:val="bottom"/>
            <w:tcBorders>
              <w:right w:val="single" w:sz="8" w:color="auto"/>
            </w:tcBorders>
          </w:tcPr>
          <w:p>
            <w:pPr>
              <w:ind w:left="68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r>
      <w:tr>
        <w:trPr>
          <w:trHeight w:val="207"/>
        </w:trPr>
        <w:tc>
          <w:tcPr>
            <w:tcW w:w="1840" w:type="dxa"/>
            <w:vAlign w:val="bottom"/>
            <w:tcBorders>
              <w:left w:val="single" w:sz="8" w:color="auto"/>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780" w:type="dxa"/>
            <w:vAlign w:val="bottom"/>
          </w:tcPr>
          <w:p>
            <w:pPr>
              <w:ind w:left="12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Israel</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391,754</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391,754</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9</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391,754</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93"/>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ind w:left="880"/>
              <w:spacing w:after="0" w:line="191" w:lineRule="exact"/>
              <w:rPr>
                <w:sz w:val="20"/>
                <w:szCs w:val="20"/>
                <w:color w:val="auto"/>
              </w:rPr>
            </w:pPr>
            <w:r>
              <w:rPr>
                <w:rFonts w:ascii="MS PGothic" w:cs="MS PGothic" w:eastAsia="MS PGothic" w:hAnsi="MS PGothic"/>
                <w:sz w:val="19"/>
                <w:szCs w:val="19"/>
                <w:color w:val="auto"/>
              </w:rPr>
              <w:t>☐</w:t>
            </w:r>
          </w:p>
        </w:tc>
      </w:tr>
      <w:tr>
        <w:trPr>
          <w:trHeight w:val="386"/>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3.7 %</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CO</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5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3</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3" w:name="page4"/>
    <w:bookmarkEnd w:id="3"/>
    <w:p>
      <w:pPr>
        <w:spacing w:after="0"/>
        <w:rPr>
          <w:sz w:val="20"/>
          <w:szCs w:val="20"/>
          <w:color w:val="auto"/>
        </w:rPr>
      </w:pPr>
      <w:r>
        <w:rPr>
          <w:rFonts w:ascii="Arial" w:cs="Arial" w:eastAsia="Arial" w:hAnsi="Arial"/>
          <w:sz w:val="23"/>
          <w:szCs w:val="23"/>
          <w:color w:val="auto"/>
        </w:rPr>
        <w:t>CUSIP NO. M1492T105</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5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2"/>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Amir Efrati</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174"/>
        </w:trPr>
        <w:tc>
          <w:tcPr>
            <w:tcW w:w="1840" w:type="dxa"/>
            <w:vAlign w:val="bottom"/>
            <w:tcBorders>
              <w:left w:val="single" w:sz="8" w:color="auto"/>
              <w:right w:val="single" w:sz="8" w:color="auto"/>
            </w:tcBorders>
          </w:tcPr>
          <w:p>
            <w:pPr>
              <w:jc w:val="center"/>
              <w:spacing w:after="0" w:line="174" w:lineRule="exact"/>
              <w:rPr>
                <w:sz w:val="20"/>
                <w:szCs w:val="20"/>
                <w:color w:val="auto"/>
              </w:rPr>
            </w:pPr>
            <w:r>
              <w:rPr>
                <w:rFonts w:ascii="Arial" w:cs="Arial" w:eastAsia="Arial" w:hAnsi="Arial"/>
                <w:sz w:val="19"/>
                <w:szCs w:val="19"/>
                <w:color w:val="auto"/>
                <w:w w:val="94"/>
              </w:rPr>
              <w:t>2</w:t>
            </w:r>
          </w:p>
        </w:tc>
        <w:tc>
          <w:tcPr>
            <w:tcW w:w="8280" w:type="dxa"/>
            <w:vAlign w:val="bottom"/>
            <w:gridSpan w:val="2"/>
          </w:tcPr>
          <w:p>
            <w:pPr>
              <w:ind w:left="120"/>
              <w:spacing w:after="0" w:line="174"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ind w:left="680"/>
              <w:spacing w:after="0" w:line="174"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r>
      <w:tr>
        <w:trPr>
          <w:trHeight w:val="298"/>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80" w:type="dxa"/>
            <w:vAlign w:val="bottom"/>
            <w:tcBorders>
              <w:right w:val="single" w:sz="8" w:color="auto"/>
            </w:tcBorders>
          </w:tcPr>
          <w:p>
            <w:pPr>
              <w:ind w:left="68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r>
      <w:tr>
        <w:trPr>
          <w:trHeight w:val="207"/>
        </w:trPr>
        <w:tc>
          <w:tcPr>
            <w:tcW w:w="1840" w:type="dxa"/>
            <w:vAlign w:val="bottom"/>
            <w:tcBorders>
              <w:left w:val="single" w:sz="8" w:color="auto"/>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780" w:type="dxa"/>
            <w:vAlign w:val="bottom"/>
          </w:tcPr>
          <w:p>
            <w:pPr>
              <w:ind w:left="12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Israel</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473,885</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6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473,885</w:t>
            </w:r>
          </w:p>
        </w:tc>
        <w:tc>
          <w:tcPr>
            <w:tcW w:w="1880" w:type="dxa"/>
            <w:vAlign w:val="bottom"/>
            <w:tcBorders>
              <w:bottom w:val="single" w:sz="8" w:color="auto"/>
              <w:right w:val="single" w:sz="8" w:color="auto"/>
            </w:tcBorders>
          </w:tcPr>
          <w:p>
            <w:pPr>
              <w:spacing w:after="0"/>
              <w:rPr>
                <w:sz w:val="24"/>
                <w:szCs w:val="24"/>
                <w:color w:val="auto"/>
              </w:rPr>
            </w:pPr>
          </w:p>
        </w:tc>
      </w:tr>
      <w:tr>
        <w:trPr>
          <w:trHeight w:val="216"/>
        </w:trPr>
        <w:tc>
          <w:tcPr>
            <w:tcW w:w="184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94"/>
              </w:rPr>
              <w:t>9</w:t>
            </w:r>
          </w:p>
        </w:tc>
        <w:tc>
          <w:tcPr>
            <w:tcW w:w="8280" w:type="dxa"/>
            <w:vAlign w:val="bottom"/>
            <w:gridSpan w:val="2"/>
          </w:tcPr>
          <w:p>
            <w:pPr>
              <w:ind w:left="120"/>
              <w:spacing w:after="0" w:line="216" w:lineRule="exact"/>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18"/>
                <w:szCs w:val="18"/>
                <w:color w:val="auto"/>
              </w:rPr>
            </w:pPr>
          </w:p>
        </w:tc>
      </w:tr>
      <w:tr>
        <w:trPr>
          <w:trHeight w:val="442"/>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473,885</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9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ind w:left="880"/>
              <w:spacing w:after="0" w:line="191" w:lineRule="exact"/>
              <w:rPr>
                <w:sz w:val="20"/>
                <w:szCs w:val="20"/>
                <w:color w:val="auto"/>
              </w:rPr>
            </w:pPr>
            <w:r>
              <w:rPr>
                <w:rFonts w:ascii="MS PGothic" w:cs="MS PGothic" w:eastAsia="MS PGothic" w:hAnsi="MS PGothic"/>
                <w:sz w:val="19"/>
                <w:szCs w:val="19"/>
                <w:color w:val="auto"/>
              </w:rPr>
              <w:t>☐</w:t>
            </w:r>
          </w:p>
        </w:tc>
      </w:tr>
      <w:tr>
        <w:trPr>
          <w:trHeight w:val="386"/>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4.4%</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IN</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5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4</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CUSIP NO. M1492T105</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8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65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r>
      <w:tr>
        <w:trPr>
          <w:trHeight w:val="22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NAME OF REPORTING PERSON</w:t>
            </w:r>
          </w:p>
        </w:tc>
        <w:tc>
          <w:tcPr>
            <w:tcW w:w="1880" w:type="dxa"/>
            <w:vAlign w:val="bottom"/>
            <w:tcBorders>
              <w:right w:val="single" w:sz="8" w:color="auto"/>
            </w:tcBorders>
          </w:tcPr>
          <w:p>
            <w:pPr>
              <w:spacing w:after="0"/>
              <w:rPr>
                <w:sz w:val="19"/>
                <w:szCs w:val="19"/>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w w:val="99"/>
              </w:rPr>
              <w:t>Aharon Biram</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174"/>
        </w:trPr>
        <w:tc>
          <w:tcPr>
            <w:tcW w:w="184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2</w:t>
            </w:r>
          </w:p>
        </w:tc>
        <w:tc>
          <w:tcPr>
            <w:tcW w:w="8280" w:type="dxa"/>
            <w:vAlign w:val="bottom"/>
            <w:gridSpan w:val="2"/>
          </w:tcPr>
          <w:p>
            <w:pPr>
              <w:ind w:left="120"/>
              <w:spacing w:after="0" w:line="173" w:lineRule="exact"/>
              <w:rPr>
                <w:sz w:val="20"/>
                <w:szCs w:val="20"/>
                <w:color w:val="auto"/>
              </w:rPr>
            </w:pPr>
            <w:r>
              <w:rPr>
                <w:rFonts w:ascii="Arial" w:cs="Arial" w:eastAsia="Arial" w:hAnsi="Arial"/>
                <w:sz w:val="19"/>
                <w:szCs w:val="19"/>
                <w:color w:val="auto"/>
              </w:rPr>
              <w:t>CHECK THE APPROPRIATE BOX IF A MEMBER OF A GROUP</w:t>
            </w:r>
          </w:p>
        </w:tc>
        <w:tc>
          <w:tcPr>
            <w:tcW w:w="1880" w:type="dxa"/>
            <w:vAlign w:val="bottom"/>
            <w:tcBorders>
              <w:right w:val="single" w:sz="8" w:color="auto"/>
            </w:tcBorders>
          </w:tcPr>
          <w:p>
            <w:pPr>
              <w:ind w:left="680"/>
              <w:spacing w:after="0" w:line="173"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r>
      <w:tr>
        <w:trPr>
          <w:trHeight w:val="298"/>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80" w:type="dxa"/>
            <w:vAlign w:val="bottom"/>
            <w:tcBorders>
              <w:right w:val="single" w:sz="8" w:color="auto"/>
            </w:tcBorders>
          </w:tcPr>
          <w:p>
            <w:pPr>
              <w:ind w:left="68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r>
      <w:tr>
        <w:trPr>
          <w:trHeight w:val="207"/>
        </w:trPr>
        <w:tc>
          <w:tcPr>
            <w:tcW w:w="1840" w:type="dxa"/>
            <w:vAlign w:val="bottom"/>
            <w:tcBorders>
              <w:left w:val="single" w:sz="8" w:color="auto"/>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780" w:type="dxa"/>
            <w:vAlign w:val="bottom"/>
          </w:tcPr>
          <w:p>
            <w:pPr>
              <w:ind w:left="12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Israel</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SHARES</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184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780" w:type="dxa"/>
            <w:vAlign w:val="bottom"/>
            <w:tcBorders>
              <w:right w:val="single" w:sz="8" w:color="auto"/>
            </w:tcBorders>
          </w:tcPr>
          <w:p>
            <w:pPr>
              <w:ind w:left="84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Borders>
              <w:right w:val="single" w:sz="8" w:color="auto"/>
            </w:tcBorders>
          </w:tcPr>
          <w:p>
            <w:pPr>
              <w:spacing w:after="0"/>
              <w:rPr>
                <w:sz w:val="18"/>
                <w:szCs w:val="18"/>
                <w:color w:val="auto"/>
              </w:rPr>
            </w:pPr>
          </w:p>
        </w:tc>
      </w:tr>
      <w:tr>
        <w:trPr>
          <w:trHeight w:val="228"/>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178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41"/>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17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41,071</w:t>
            </w:r>
          </w:p>
        </w:tc>
        <w:tc>
          <w:tcPr>
            <w:tcW w:w="1880" w:type="dxa"/>
            <w:vAlign w:val="bottom"/>
            <w:tcBorders>
              <w:bottom w:val="single" w:sz="8" w:color="auto"/>
              <w:right w:val="single" w:sz="8" w:color="auto"/>
            </w:tcBorders>
          </w:tcPr>
          <w:p>
            <w:pPr>
              <w:spacing w:after="0"/>
              <w:rPr>
                <w:sz w:val="20"/>
                <w:szCs w:val="20"/>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PERSON WITH</w:t>
            </w: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4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41,071</w:t>
            </w: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9</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Borders>
              <w:right w:val="single" w:sz="8" w:color="auto"/>
            </w:tcBorders>
          </w:tcPr>
          <w:p>
            <w:pPr>
              <w:spacing w:after="0"/>
              <w:rPr>
                <w:sz w:val="20"/>
                <w:szCs w:val="20"/>
                <w:color w:val="auto"/>
              </w:rPr>
            </w:pPr>
          </w:p>
        </w:tc>
      </w:tr>
      <w:tr>
        <w:trPr>
          <w:trHeight w:val="442"/>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41,071</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94"/>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10</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Borders>
              <w:right w:val="single" w:sz="8" w:color="auto"/>
            </w:tcBorders>
          </w:tcPr>
          <w:p>
            <w:pPr>
              <w:ind w:left="880"/>
              <w:spacing w:after="0" w:line="191" w:lineRule="exact"/>
              <w:rPr>
                <w:sz w:val="20"/>
                <w:szCs w:val="20"/>
                <w:color w:val="auto"/>
              </w:rPr>
            </w:pPr>
            <w:r>
              <w:rPr>
                <w:rFonts w:ascii="MS PGothic" w:cs="MS PGothic" w:eastAsia="MS PGothic" w:hAnsi="MS PGothic"/>
                <w:sz w:val="19"/>
                <w:szCs w:val="19"/>
                <w:color w:val="auto"/>
              </w:rPr>
              <w:t>☐</w:t>
            </w:r>
          </w:p>
        </w:tc>
      </w:tr>
      <w:tr>
        <w:trPr>
          <w:trHeight w:val="386"/>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11</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Less than 1%</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36"/>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12</w:t>
            </w:r>
          </w:p>
        </w:tc>
        <w:tc>
          <w:tcPr>
            <w:tcW w:w="8280" w:type="dxa"/>
            <w:vAlign w:val="bottom"/>
            <w:gridSpan w:val="2"/>
          </w:tcPr>
          <w:p>
            <w:pPr>
              <w:ind w:left="120"/>
              <w:spacing w:after="0"/>
              <w:rPr>
                <w:sz w:val="20"/>
                <w:szCs w:val="20"/>
                <w:color w:val="auto"/>
              </w:rPr>
            </w:pPr>
            <w:r>
              <w:rPr>
                <w:rFonts w:ascii="Arial" w:cs="Arial" w:eastAsia="Arial" w:hAnsi="Arial"/>
                <w:sz w:val="19"/>
                <w:szCs w:val="19"/>
                <w:color w:val="auto"/>
              </w:rPr>
              <w:t>TYPE OF REPORTING PERSON</w:t>
            </w:r>
          </w:p>
        </w:tc>
        <w:tc>
          <w:tcPr>
            <w:tcW w:w="1880" w:type="dxa"/>
            <w:vAlign w:val="bottom"/>
            <w:tcBorders>
              <w:right w:val="single" w:sz="8" w:color="auto"/>
            </w:tcBorders>
          </w:tcPr>
          <w:p>
            <w:pPr>
              <w:spacing w:after="0"/>
              <w:rPr>
                <w:sz w:val="20"/>
                <w:szCs w:val="20"/>
                <w:color w:val="auto"/>
              </w:rPr>
            </w:pPr>
          </w:p>
        </w:tc>
      </w:tr>
      <w:tr>
        <w:trPr>
          <w:trHeight w:val="44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IN</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40"/>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56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9"/>
                <w:szCs w:val="19"/>
                <w:color w:val="auto"/>
              </w:rPr>
              <w:t>5</w:t>
            </w:r>
          </w:p>
        </w:tc>
        <w:tc>
          <w:tcPr>
            <w:tcW w:w="18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5" w:name="page6"/>
    <w:bookmarkEnd w:id="5"/>
    <w:p>
      <w:pPr>
        <w:spacing w:after="0"/>
        <w:rPr>
          <w:sz w:val="20"/>
          <w:szCs w:val="20"/>
          <w:color w:val="auto"/>
        </w:rPr>
      </w:pPr>
      <w:r>
        <w:rPr>
          <w:rFonts w:ascii="Arial" w:cs="Arial" w:eastAsia="Arial" w:hAnsi="Arial"/>
          <w:sz w:val="23"/>
          <w:szCs w:val="23"/>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245745</wp:posOffset>
            </wp:positionV>
            <wp:extent cx="380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36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263525</wp:posOffset>
            </wp:positionV>
            <wp:extent cx="380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395" w:lineRule="exact"/>
        <w:rPr>
          <w:sz w:val="20"/>
          <w:szCs w:val="20"/>
          <w:color w:val="auto"/>
        </w:rPr>
      </w:pPr>
    </w:p>
    <w:p>
      <w:pPr>
        <w:ind w:left="2420" w:right="7320" w:hanging="1554"/>
        <w:spacing w:after="0" w:line="394" w:lineRule="auto"/>
        <w:tabs>
          <w:tab w:leader="none" w:pos="1954" w:val="left"/>
        </w:tabs>
        <w:numPr>
          <w:ilvl w:val="0"/>
          <w:numId w:val="3"/>
        </w:numPr>
        <w:rPr>
          <w:rFonts w:ascii="Arial" w:cs="Arial" w:eastAsia="Arial" w:hAnsi="Arial"/>
          <w:sz w:val="19"/>
          <w:szCs w:val="19"/>
          <w:color w:val="auto"/>
        </w:rPr>
      </w:pPr>
      <w:r>
        <w:rPr>
          <w:rFonts w:ascii="Arial" w:cs="Arial" w:eastAsia="Arial" w:hAnsi="Arial"/>
          <w:sz w:val="19"/>
          <w:szCs w:val="19"/>
          <w:color w:val="auto"/>
        </w:rPr>
        <w:t>NAME OF REPORTING PERSON Ester Deutsch</w:t>
      </w:r>
    </w:p>
    <w:tbl>
      <w:tblPr>
        <w:tblLayout w:type="fixed"/>
        <w:tblInd w:w="0" w:type="dxa"/>
        <w:tblCellMar>
          <w:top w:w="0" w:type="dxa"/>
          <w:left w:w="0" w:type="dxa"/>
          <w:bottom w:w="0" w:type="dxa"/>
          <w:right w:w="0" w:type="dxa"/>
        </w:tblCellMar>
      </w:tblPr>
      <w:tr>
        <w:trPr>
          <w:trHeight w:val="155"/>
        </w:trPr>
        <w:tc>
          <w:tcPr>
            <w:tcW w:w="18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rPr>
              <w:t>2</w:t>
            </w:r>
          </w:p>
        </w:tc>
        <w:tc>
          <w:tcPr>
            <w:tcW w:w="8300" w:type="dxa"/>
            <w:vAlign w:val="bottom"/>
            <w:tcBorders>
              <w:top w:val="single" w:sz="8" w:color="auto"/>
            </w:tcBorders>
            <w:gridSpan w:val="2"/>
          </w:tcPr>
          <w:p>
            <w:pPr>
              <w:ind w:left="140"/>
              <w:spacing w:after="0" w:line="154" w:lineRule="exact"/>
              <w:rPr>
                <w:sz w:val="20"/>
                <w:szCs w:val="20"/>
                <w:color w:val="auto"/>
              </w:rPr>
            </w:pPr>
            <w:r>
              <w:rPr>
                <w:rFonts w:ascii="Arial" w:cs="Arial" w:eastAsia="Arial" w:hAnsi="Arial"/>
                <w:sz w:val="17"/>
                <w:szCs w:val="17"/>
                <w:color w:val="auto"/>
              </w:rPr>
              <w:t>CHECK THE APPROPRIATE BOX IF A MEMBER OF A GROUP</w:t>
            </w:r>
          </w:p>
        </w:tc>
        <w:tc>
          <w:tcPr>
            <w:tcW w:w="1900" w:type="dxa"/>
            <w:vAlign w:val="bottom"/>
            <w:tcBorders>
              <w:top w:val="single" w:sz="8" w:color="auto"/>
            </w:tcBorders>
            <w:gridSpan w:val="2"/>
          </w:tcPr>
          <w:p>
            <w:pPr>
              <w:ind w:left="680"/>
              <w:spacing w:after="0" w:line="154"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98"/>
        </w:trPr>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900" w:type="dxa"/>
            <w:vAlign w:val="bottom"/>
            <w:gridSpan w:val="2"/>
          </w:tcPr>
          <w:p>
            <w:pPr>
              <w:ind w:left="68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r>
      <w:tr>
        <w:trPr>
          <w:trHeight w:val="207"/>
        </w:trPr>
        <w:tc>
          <w:tcPr>
            <w:tcW w:w="18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3</w:t>
            </w:r>
          </w:p>
        </w:tc>
        <w:tc>
          <w:tcPr>
            <w:tcW w:w="1800" w:type="dxa"/>
            <w:vAlign w:val="bottom"/>
          </w:tcPr>
          <w:p>
            <w:pPr>
              <w:ind w:left="140"/>
              <w:spacing w:after="0"/>
              <w:rPr>
                <w:sz w:val="20"/>
                <w:szCs w:val="20"/>
                <w:color w:val="auto"/>
              </w:rPr>
            </w:pPr>
            <w:r>
              <w:rPr>
                <w:rFonts w:ascii="Arial" w:cs="Arial" w:eastAsia="Arial" w:hAnsi="Arial"/>
                <w:sz w:val="19"/>
                <w:szCs w:val="19"/>
                <w:color w:val="auto"/>
              </w:rPr>
              <w:t>SEC USE ONLY</w:t>
            </w:r>
          </w:p>
        </w:tc>
        <w:tc>
          <w:tcPr>
            <w:tcW w:w="6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4</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CITIZENSHIP OR PLACE OF ORGANIZATION</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Israel</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6"/>
              </w:rPr>
              <w:t>NUMBER OF</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5</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SOLE VOTING POWER</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4"/>
              </w:rPr>
              <w:t>SHARES</w:t>
            </w:r>
          </w:p>
        </w:tc>
        <w:tc>
          <w:tcPr>
            <w:tcW w:w="180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9"/>
              </w:rPr>
              <w:t>BENEFICIALLY</w:t>
            </w:r>
          </w:p>
        </w:tc>
        <w:tc>
          <w:tcPr>
            <w:tcW w:w="180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820" w:type="dxa"/>
            <w:vAlign w:val="bottom"/>
          </w:tcPr>
          <w:p>
            <w:pPr>
              <w:jc w:val="center"/>
              <w:spacing w:after="0" w:line="209" w:lineRule="exact"/>
              <w:rPr>
                <w:sz w:val="20"/>
                <w:szCs w:val="20"/>
                <w:color w:val="auto"/>
              </w:rPr>
            </w:pPr>
            <w:r>
              <w:rPr>
                <w:rFonts w:ascii="Arial" w:cs="Arial" w:eastAsia="Arial" w:hAnsi="Arial"/>
                <w:sz w:val="19"/>
                <w:szCs w:val="19"/>
                <w:color w:val="auto"/>
                <w:w w:val="98"/>
              </w:rPr>
              <w:t>OWNED BY</w:t>
            </w:r>
          </w:p>
        </w:tc>
        <w:tc>
          <w:tcPr>
            <w:tcW w:w="1800" w:type="dxa"/>
            <w:vAlign w:val="bottom"/>
            <w:tcBorders>
              <w:right w:val="single" w:sz="8" w:color="auto"/>
            </w:tcBorders>
          </w:tcPr>
          <w:p>
            <w:pPr>
              <w:ind w:left="860"/>
              <w:spacing w:after="0" w:line="209" w:lineRule="exact"/>
              <w:rPr>
                <w:sz w:val="20"/>
                <w:szCs w:val="20"/>
                <w:color w:val="auto"/>
              </w:rPr>
            </w:pPr>
            <w:r>
              <w:rPr>
                <w:rFonts w:ascii="Arial" w:cs="Arial" w:eastAsia="Arial" w:hAnsi="Arial"/>
                <w:sz w:val="19"/>
                <w:szCs w:val="19"/>
                <w:color w:val="auto"/>
              </w:rPr>
              <w:t>6</w:t>
            </w:r>
          </w:p>
        </w:tc>
        <w:tc>
          <w:tcPr>
            <w:tcW w:w="6500" w:type="dxa"/>
            <w:vAlign w:val="bottom"/>
          </w:tcPr>
          <w:p>
            <w:pPr>
              <w:ind w:left="120"/>
              <w:spacing w:after="0" w:line="209" w:lineRule="exact"/>
              <w:rPr>
                <w:sz w:val="20"/>
                <w:szCs w:val="20"/>
                <w:color w:val="auto"/>
              </w:rPr>
            </w:pPr>
            <w:r>
              <w:rPr>
                <w:rFonts w:ascii="Arial" w:cs="Arial" w:eastAsia="Arial" w:hAnsi="Arial"/>
                <w:sz w:val="19"/>
                <w:szCs w:val="19"/>
                <w:color w:val="auto"/>
              </w:rPr>
              <w:t>SHARED VOTING POWER</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820" w:type="dxa"/>
            <w:vAlign w:val="bottom"/>
          </w:tcPr>
          <w:p>
            <w:pPr>
              <w:jc w:val="center"/>
              <w:spacing w:after="0"/>
              <w:rPr>
                <w:sz w:val="20"/>
                <w:szCs w:val="20"/>
                <w:color w:val="auto"/>
              </w:rPr>
            </w:pPr>
            <w:r>
              <w:rPr>
                <w:rFonts w:ascii="Arial" w:cs="Arial" w:eastAsia="Arial" w:hAnsi="Arial"/>
                <w:sz w:val="19"/>
                <w:szCs w:val="19"/>
                <w:color w:val="auto"/>
                <w:w w:val="98"/>
              </w:rPr>
              <w:t>EACH</w:t>
            </w:r>
          </w:p>
        </w:tc>
        <w:tc>
          <w:tcPr>
            <w:tcW w:w="1800" w:type="dxa"/>
            <w:vAlign w:val="bottom"/>
            <w:tcBorders>
              <w:right w:val="single" w:sz="8" w:color="auto"/>
            </w:tcBorders>
          </w:tcPr>
          <w:p>
            <w:pPr>
              <w:spacing w:after="0"/>
              <w:rPr>
                <w:sz w:val="19"/>
                <w:szCs w:val="19"/>
                <w:color w:val="auto"/>
              </w:rPr>
            </w:pPr>
          </w:p>
        </w:tc>
        <w:tc>
          <w:tcPr>
            <w:tcW w:w="6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1820" w:type="dxa"/>
            <w:vAlign w:val="bottom"/>
          </w:tcPr>
          <w:p>
            <w:pPr>
              <w:jc w:val="center"/>
              <w:spacing w:after="0"/>
              <w:rPr>
                <w:sz w:val="20"/>
                <w:szCs w:val="20"/>
                <w:color w:val="auto"/>
              </w:rPr>
            </w:pPr>
            <w:r>
              <w:rPr>
                <w:rFonts w:ascii="Arial" w:cs="Arial" w:eastAsia="Arial" w:hAnsi="Arial"/>
                <w:sz w:val="19"/>
                <w:szCs w:val="19"/>
                <w:color w:val="auto"/>
                <w:w w:val="93"/>
              </w:rPr>
              <w:t>REPORTING</w:t>
            </w:r>
          </w:p>
        </w:tc>
        <w:tc>
          <w:tcPr>
            <w:tcW w:w="180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41,060</w:t>
            </w:r>
          </w:p>
        </w:tc>
        <w:tc>
          <w:tcPr>
            <w:tcW w:w="1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820" w:type="dxa"/>
            <w:vAlign w:val="bottom"/>
          </w:tcPr>
          <w:p>
            <w:pPr>
              <w:jc w:val="center"/>
              <w:spacing w:after="0"/>
              <w:rPr>
                <w:sz w:val="20"/>
                <w:szCs w:val="20"/>
                <w:color w:val="auto"/>
              </w:rPr>
            </w:pPr>
            <w:r>
              <w:rPr>
                <w:rFonts w:ascii="Arial" w:cs="Arial" w:eastAsia="Arial" w:hAnsi="Arial"/>
                <w:sz w:val="19"/>
                <w:szCs w:val="19"/>
                <w:color w:val="auto"/>
                <w:w w:val="93"/>
              </w:rPr>
              <w:t>PERSON WITH</w:t>
            </w: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7</w:t>
            </w:r>
          </w:p>
        </w:tc>
        <w:tc>
          <w:tcPr>
            <w:tcW w:w="65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- 0 -</w:t>
            </w: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spacing w:after="0"/>
              <w:rPr>
                <w:sz w:val="20"/>
                <w:szCs w:val="20"/>
                <w:color w:val="auto"/>
              </w:rPr>
            </w:pPr>
          </w:p>
        </w:tc>
        <w:tc>
          <w:tcPr>
            <w:tcW w:w="1800" w:type="dxa"/>
            <w:vAlign w:val="bottom"/>
            <w:tcBorders>
              <w:right w:val="single" w:sz="8" w:color="auto"/>
            </w:tcBorders>
          </w:tcPr>
          <w:p>
            <w:pPr>
              <w:ind w:left="860"/>
              <w:spacing w:after="0"/>
              <w:rPr>
                <w:sz w:val="20"/>
                <w:szCs w:val="20"/>
                <w:color w:val="auto"/>
              </w:rPr>
            </w:pPr>
            <w:r>
              <w:rPr>
                <w:rFonts w:ascii="Arial" w:cs="Arial" w:eastAsia="Arial" w:hAnsi="Arial"/>
                <w:sz w:val="19"/>
                <w:szCs w:val="19"/>
                <w:color w:val="auto"/>
              </w:rPr>
              <w:t>8</w:t>
            </w:r>
          </w:p>
        </w:tc>
        <w:tc>
          <w:tcPr>
            <w:tcW w:w="6500" w:type="dxa"/>
            <w:vAlign w:val="bottom"/>
          </w:tcPr>
          <w:p>
            <w:pPr>
              <w:ind w:left="120"/>
              <w:spacing w:after="0"/>
              <w:rPr>
                <w:sz w:val="20"/>
                <w:szCs w:val="20"/>
                <w:color w:val="auto"/>
              </w:rPr>
            </w:pPr>
            <w:r>
              <w:rPr>
                <w:rFonts w:ascii="Arial" w:cs="Arial" w:eastAsia="Arial" w:hAnsi="Arial"/>
                <w:sz w:val="19"/>
                <w:szCs w:val="19"/>
                <w:color w:val="auto"/>
              </w:rPr>
              <w:t>SHARED DISPOSITIVE POWER</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3"/>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41,060</w:t>
            </w: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94"/>
              </w:rPr>
              <w:t>9</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AGGREGATE AMOUNT BENEFICIALLY OWNED BY EACH REPORTING PERSON</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2"/>
        </w:trPr>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9"/>
                <w:szCs w:val="19"/>
                <w:color w:val="auto"/>
              </w:rPr>
              <w:t>41,060</w:t>
            </w:r>
          </w:p>
        </w:tc>
        <w:tc>
          <w:tcPr>
            <w:tcW w:w="6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10</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80" w:type="dxa"/>
            <w:vAlign w:val="bottom"/>
          </w:tcPr>
          <w:p>
            <w:pPr>
              <w:ind w:left="880"/>
              <w:spacing w:after="0" w:line="191" w:lineRule="exact"/>
              <w:rPr>
                <w:sz w:val="20"/>
                <w:szCs w:val="20"/>
                <w:color w:val="auto"/>
              </w:rPr>
            </w:pPr>
            <w:r>
              <w:rPr>
                <w:rFonts w:ascii="MS PGothic" w:cs="MS PGothic" w:eastAsia="MS PGothic" w:hAnsi="MS PGothic"/>
                <w:sz w:val="19"/>
                <w:szCs w:val="19"/>
                <w:color w:val="auto"/>
              </w:rPr>
              <w:t>☐</w:t>
            </w:r>
          </w:p>
        </w:tc>
        <w:tc>
          <w:tcPr>
            <w:tcW w:w="20" w:type="dxa"/>
            <w:vAlign w:val="bottom"/>
          </w:tcPr>
          <w:p>
            <w:pPr>
              <w:spacing w:after="0"/>
              <w:rPr>
                <w:sz w:val="24"/>
                <w:szCs w:val="24"/>
                <w:color w:val="auto"/>
              </w:rPr>
            </w:pPr>
          </w:p>
        </w:tc>
      </w:tr>
      <w:tr>
        <w:trPr>
          <w:trHeight w:val="386"/>
        </w:trPr>
        <w:tc>
          <w:tcPr>
            <w:tcW w:w="18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820" w:type="dxa"/>
            <w:vAlign w:val="bottom"/>
          </w:tcPr>
          <w:p>
            <w:pPr>
              <w:jc w:val="center"/>
              <w:spacing w:after="0"/>
              <w:rPr>
                <w:sz w:val="20"/>
                <w:szCs w:val="20"/>
                <w:color w:val="auto"/>
              </w:rPr>
            </w:pPr>
            <w:r>
              <w:rPr>
                <w:rFonts w:ascii="Arial" w:cs="Arial" w:eastAsia="Arial" w:hAnsi="Arial"/>
                <w:sz w:val="19"/>
                <w:szCs w:val="19"/>
                <w:color w:val="auto"/>
                <w:w w:val="84"/>
              </w:rPr>
              <w:t>11</w:t>
            </w:r>
          </w:p>
        </w:tc>
        <w:tc>
          <w:tcPr>
            <w:tcW w:w="8300" w:type="dxa"/>
            <w:vAlign w:val="bottom"/>
            <w:gridSpan w:val="2"/>
          </w:tcPr>
          <w:p>
            <w:pPr>
              <w:ind w:left="140"/>
              <w:spacing w:after="0"/>
              <w:rPr>
                <w:sz w:val="20"/>
                <w:szCs w:val="20"/>
                <w:color w:val="auto"/>
              </w:rPr>
            </w:pPr>
            <w:r>
              <w:rPr>
                <w:rFonts w:ascii="Arial" w:cs="Arial" w:eastAsia="Arial" w:hAnsi="Arial"/>
                <w:sz w:val="19"/>
                <w:szCs w:val="19"/>
                <w:color w:val="auto"/>
              </w:rPr>
              <w:t>PERCENT OF CLASS REPRESENTED BY AMOUNT IN ROW (9)</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1"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15240</wp:posOffset>
            </wp:positionV>
            <wp:extent cx="380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4" w:lineRule="exact"/>
        <w:rPr>
          <w:sz w:val="20"/>
          <w:szCs w:val="20"/>
          <w:color w:val="auto"/>
        </w:rPr>
      </w:pPr>
    </w:p>
    <w:p>
      <w:pPr>
        <w:ind w:left="2420" w:right="7400" w:hanging="1601"/>
        <w:spacing w:after="0" w:line="526" w:lineRule="auto"/>
        <w:tabs>
          <w:tab w:leader="none" w:pos="1954" w:val="left"/>
        </w:tabs>
        <w:numPr>
          <w:ilvl w:val="0"/>
          <w:numId w:val="4"/>
        </w:numPr>
        <w:rPr>
          <w:rFonts w:ascii="Arial" w:cs="Arial" w:eastAsia="Arial" w:hAnsi="Arial"/>
          <w:sz w:val="19"/>
          <w:szCs w:val="19"/>
          <w:color w:val="auto"/>
        </w:rPr>
      </w:pPr>
      <w:r>
        <w:rPr>
          <w:rFonts w:ascii="Arial" w:cs="Arial" w:eastAsia="Arial" w:hAnsi="Arial"/>
          <w:sz w:val="19"/>
          <w:szCs w:val="19"/>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8890" cy="172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-308610</wp:posOffset>
            </wp:positionV>
            <wp:extent cx="8890" cy="172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-308610</wp:posOffset>
            </wp:positionV>
            <wp:extent cx="8890" cy="172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2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-308610</wp:posOffset>
            </wp:positionV>
            <wp:extent cx="380365" cy="172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365" cy="17208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6" w:name="page7"/>
    <w:bookmarkEnd w:id="6"/>
    <w:p>
      <w:pPr>
        <w:spacing w:after="0"/>
        <w:rPr>
          <w:sz w:val="20"/>
          <w:szCs w:val="20"/>
          <w:color w:val="auto"/>
        </w:rPr>
      </w:pPr>
      <w:r>
        <w:rPr>
          <w:rFonts w:ascii="Arial" w:cs="Arial" w:eastAsia="Arial" w:hAnsi="Arial"/>
          <w:sz w:val="23"/>
          <w:szCs w:val="23"/>
          <w:color w:val="auto"/>
        </w:rPr>
        <w:t>CUSIP NO. M1492T105</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Reporting Persons (as defined below) initially filed a Schedule 13G with respect to the securities of the Issuer (as defined below) on April 9, 2018. Subsequently, the Reporting Persons’ investment intent changed with respect to the securities of the Issuer and the Reporting Persons filed a Schedule 13D on April 30, 2018, in accordance with Rule 13d-1(e) of the Securities Exchange Act of 1934, as amended (the “Exchange Act”). As of June 11, 2018, the Reporting Persons no longer hold securities of the Issuer with a purpose or effect of changing or influencing control of the Issuer, or in connection with or as a participant in any transaction having that purpose or effect. Accordingly, the Reporting Persons are transitioned back to a Schedule 13G pursuant to Rule 13d-1(c) of the Exchange Act. This 13G Amendment reflects the changes in the ownership of the Reporting Persons in the Issuer subsequent to the filing of the Schedule 13G on June 11,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r>
              <w:rPr>
                <w:rFonts w:ascii="Arial" w:cs="Arial" w:eastAsia="Arial" w:hAnsi="Arial"/>
                <w:sz w:val="19"/>
                <w:szCs w:val="19"/>
                <w:color w:val="auto"/>
              </w:rPr>
              <w:t>Item 1(a).</w:t>
            </w:r>
          </w:p>
        </w:tc>
        <w:tc>
          <w:tcPr>
            <w:tcW w:w="10940" w:type="dxa"/>
            <w:vAlign w:val="bottom"/>
          </w:tcPr>
          <w:p>
            <w:pPr>
              <w:ind w:left="300"/>
              <w:spacing w:after="0"/>
              <w:rPr>
                <w:sz w:val="20"/>
                <w:szCs w:val="20"/>
                <w:color w:val="auto"/>
              </w:rPr>
            </w:pPr>
            <w:r>
              <w:rPr>
                <w:rFonts w:ascii="Arial" w:cs="Arial" w:eastAsia="Arial" w:hAnsi="Arial"/>
                <w:sz w:val="19"/>
                <w:szCs w:val="19"/>
                <w:color w:val="auto"/>
              </w:rPr>
              <w:t>Name of Issuer:</w:t>
            </w:r>
          </w:p>
        </w:tc>
      </w:tr>
      <w:tr>
        <w:trPr>
          <w:trHeight w:val="456"/>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Arcturus Therapeutics Ltd., an Israeli corporation (the “Issuer”).</w:t>
            </w:r>
          </w:p>
        </w:tc>
      </w:tr>
      <w:tr>
        <w:trPr>
          <w:trHeight w:val="456"/>
        </w:trPr>
        <w:tc>
          <w:tcPr>
            <w:tcW w:w="1060" w:type="dxa"/>
            <w:vAlign w:val="bottom"/>
          </w:tcPr>
          <w:p>
            <w:pPr>
              <w:spacing w:after="0"/>
              <w:rPr>
                <w:sz w:val="20"/>
                <w:szCs w:val="20"/>
                <w:color w:val="auto"/>
              </w:rPr>
            </w:pPr>
            <w:r>
              <w:rPr>
                <w:rFonts w:ascii="Arial" w:cs="Arial" w:eastAsia="Arial" w:hAnsi="Arial"/>
                <w:sz w:val="19"/>
                <w:szCs w:val="19"/>
                <w:color w:val="auto"/>
              </w:rPr>
              <w:t>Item 1(b).</w:t>
            </w:r>
          </w:p>
        </w:tc>
        <w:tc>
          <w:tcPr>
            <w:tcW w:w="10940" w:type="dxa"/>
            <w:vAlign w:val="bottom"/>
          </w:tcPr>
          <w:p>
            <w:pPr>
              <w:ind w:left="300"/>
              <w:spacing w:after="0"/>
              <w:rPr>
                <w:sz w:val="20"/>
                <w:szCs w:val="20"/>
                <w:color w:val="auto"/>
              </w:rPr>
            </w:pPr>
            <w:r>
              <w:rPr>
                <w:rFonts w:ascii="Arial" w:cs="Arial" w:eastAsia="Arial" w:hAnsi="Arial"/>
                <w:sz w:val="19"/>
                <w:szCs w:val="19"/>
                <w:color w:val="auto"/>
              </w:rPr>
              <w:t>Address of Issuer's Principal Executive Offices:</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10628 Science Center Drive, Suite 200</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San Diego, California 92121</w:t>
            </w:r>
          </w:p>
        </w:tc>
      </w:tr>
      <w:tr>
        <w:trPr>
          <w:trHeight w:val="443"/>
        </w:trPr>
        <w:tc>
          <w:tcPr>
            <w:tcW w:w="1060" w:type="dxa"/>
            <w:vAlign w:val="bottom"/>
          </w:tcPr>
          <w:p>
            <w:pPr>
              <w:spacing w:after="0"/>
              <w:rPr>
                <w:sz w:val="20"/>
                <w:szCs w:val="20"/>
                <w:color w:val="auto"/>
              </w:rPr>
            </w:pPr>
            <w:r>
              <w:rPr>
                <w:rFonts w:ascii="Arial" w:cs="Arial" w:eastAsia="Arial" w:hAnsi="Arial"/>
                <w:sz w:val="19"/>
                <w:szCs w:val="19"/>
                <w:color w:val="auto"/>
              </w:rPr>
              <w:t>Item 2(a).</w:t>
            </w:r>
          </w:p>
        </w:tc>
        <w:tc>
          <w:tcPr>
            <w:tcW w:w="10940" w:type="dxa"/>
            <w:vAlign w:val="bottom"/>
          </w:tcPr>
          <w:p>
            <w:pPr>
              <w:ind w:left="300"/>
              <w:spacing w:after="0"/>
              <w:rPr>
                <w:sz w:val="20"/>
                <w:szCs w:val="20"/>
                <w:color w:val="auto"/>
              </w:rPr>
            </w:pPr>
            <w:r>
              <w:rPr>
                <w:rFonts w:ascii="Arial" w:cs="Arial" w:eastAsia="Arial" w:hAnsi="Arial"/>
                <w:sz w:val="19"/>
                <w:szCs w:val="19"/>
                <w:color w:val="auto"/>
              </w:rPr>
              <w:t>Name of Person Filing</w:t>
            </w:r>
          </w:p>
        </w:tc>
      </w:tr>
      <w:tr>
        <w:trPr>
          <w:trHeight w:val="228"/>
        </w:trPr>
        <w:tc>
          <w:tcPr>
            <w:tcW w:w="1060" w:type="dxa"/>
            <w:vAlign w:val="bottom"/>
          </w:tcPr>
          <w:p>
            <w:pPr>
              <w:spacing w:after="0"/>
              <w:rPr>
                <w:sz w:val="20"/>
                <w:szCs w:val="20"/>
                <w:color w:val="auto"/>
              </w:rPr>
            </w:pPr>
            <w:r>
              <w:rPr>
                <w:rFonts w:ascii="Arial" w:cs="Arial" w:eastAsia="Arial" w:hAnsi="Arial"/>
                <w:sz w:val="19"/>
                <w:szCs w:val="19"/>
                <w:color w:val="auto"/>
              </w:rPr>
              <w:t>Item 2(b).</w:t>
            </w:r>
          </w:p>
        </w:tc>
        <w:tc>
          <w:tcPr>
            <w:tcW w:w="10940" w:type="dxa"/>
            <w:vAlign w:val="bottom"/>
          </w:tcPr>
          <w:p>
            <w:pPr>
              <w:ind w:left="300"/>
              <w:spacing w:after="0"/>
              <w:rPr>
                <w:sz w:val="20"/>
                <w:szCs w:val="20"/>
                <w:color w:val="auto"/>
              </w:rPr>
            </w:pPr>
            <w:r>
              <w:rPr>
                <w:rFonts w:ascii="Arial" w:cs="Arial" w:eastAsia="Arial" w:hAnsi="Arial"/>
                <w:sz w:val="19"/>
                <w:szCs w:val="19"/>
                <w:color w:val="auto"/>
              </w:rPr>
              <w:t>Address of Principal Business Office or, if None, Residence</w:t>
            </w:r>
          </w:p>
        </w:tc>
      </w:tr>
      <w:tr>
        <w:trPr>
          <w:trHeight w:val="241"/>
        </w:trPr>
        <w:tc>
          <w:tcPr>
            <w:tcW w:w="1060" w:type="dxa"/>
            <w:vAlign w:val="bottom"/>
          </w:tcPr>
          <w:p>
            <w:pPr>
              <w:spacing w:after="0"/>
              <w:rPr>
                <w:sz w:val="20"/>
                <w:szCs w:val="20"/>
                <w:color w:val="auto"/>
              </w:rPr>
            </w:pPr>
            <w:r>
              <w:rPr>
                <w:rFonts w:ascii="Arial" w:cs="Arial" w:eastAsia="Arial" w:hAnsi="Arial"/>
                <w:sz w:val="19"/>
                <w:szCs w:val="19"/>
                <w:color w:val="auto"/>
              </w:rPr>
              <w:t>Item 2(c).</w:t>
            </w: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Brosh Capital Partners, L.P. (“Brosh”)</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4 Ariel Sharon Street</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Givataim, Israel</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Cayman Islands</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Exodus Management Israel Ltd. (“Exodus GP”)</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4 Ariel Sharon Street</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Givataim, Israel</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Israel</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Amir Efrati (“Mr. Efrati’)</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4 Ariel Sharon Street</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Givataim, Israel</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Israel</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Aharon Biram (“Mr. Biram”)</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4 Ariel Sharon Street</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Givataim, Israel</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Israel</w:t>
            </w:r>
          </w:p>
        </w:tc>
      </w:tr>
      <w:tr>
        <w:trPr>
          <w:trHeight w:val="443"/>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Ester Deutsch (“Ms. Deutsch”)</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4 Ariel Sharon Street</w:t>
            </w:r>
          </w:p>
        </w:tc>
      </w:tr>
      <w:tr>
        <w:trPr>
          <w:trHeight w:val="228"/>
        </w:trPr>
        <w:tc>
          <w:tcPr>
            <w:tcW w:w="1060" w:type="dxa"/>
            <w:vAlign w:val="bottom"/>
          </w:tcPr>
          <w:p>
            <w:pPr>
              <w:spacing w:after="0"/>
              <w:rPr>
                <w:sz w:val="19"/>
                <w:szCs w:val="19"/>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Givataim, Israel</w:t>
            </w:r>
          </w:p>
        </w:tc>
      </w:tr>
      <w:tr>
        <w:trPr>
          <w:trHeight w:val="241"/>
        </w:trPr>
        <w:tc>
          <w:tcPr>
            <w:tcW w:w="1060" w:type="dxa"/>
            <w:vAlign w:val="bottom"/>
          </w:tcPr>
          <w:p>
            <w:pPr>
              <w:spacing w:after="0"/>
              <w:rPr>
                <w:sz w:val="20"/>
                <w:szCs w:val="20"/>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Citizenship: Israel</w:t>
            </w:r>
          </w:p>
        </w:tc>
      </w:tr>
      <w:tr>
        <w:trPr>
          <w:trHeight w:val="456"/>
        </w:trPr>
        <w:tc>
          <w:tcPr>
            <w:tcW w:w="1060" w:type="dxa"/>
            <w:vAlign w:val="bottom"/>
          </w:tcPr>
          <w:p>
            <w:pPr>
              <w:spacing w:after="0"/>
              <w:rPr>
                <w:sz w:val="24"/>
                <w:szCs w:val="24"/>
                <w:color w:val="auto"/>
              </w:rPr>
            </w:pPr>
          </w:p>
        </w:tc>
        <w:tc>
          <w:tcPr>
            <w:tcW w:w="10940" w:type="dxa"/>
            <w:vAlign w:val="bottom"/>
          </w:tcPr>
          <w:p>
            <w:pPr>
              <w:ind w:left="300"/>
              <w:spacing w:after="0"/>
              <w:rPr>
                <w:sz w:val="20"/>
                <w:szCs w:val="20"/>
                <w:color w:val="auto"/>
              </w:rPr>
            </w:pPr>
            <w:r>
              <w:rPr>
                <w:rFonts w:ascii="Arial" w:cs="Arial" w:eastAsia="Arial" w:hAnsi="Arial"/>
                <w:sz w:val="19"/>
                <w:szCs w:val="19"/>
                <w:color w:val="auto"/>
              </w:rPr>
              <w:t>Each of the foregoing is referred to as a “Reporting Person” and collectively as the “Reporting Persons.”</w:t>
            </w:r>
          </w:p>
        </w:tc>
      </w:tr>
      <w:tr>
        <w:trPr>
          <w:trHeight w:val="343"/>
        </w:trPr>
        <w:tc>
          <w:tcPr>
            <w:tcW w:w="106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4900"/>
              <w:spacing w:after="0"/>
              <w:rPr>
                <w:sz w:val="20"/>
                <w:szCs w:val="20"/>
                <w:color w:val="auto"/>
              </w:rPr>
            </w:pPr>
            <w:r>
              <w:rPr>
                <w:rFonts w:ascii="Arial" w:cs="Arial" w:eastAsia="Arial" w:hAnsi="Arial"/>
                <w:sz w:val="19"/>
                <w:szCs w:val="19"/>
                <w:color w:val="auto"/>
              </w:rPr>
              <w:t>7</w:t>
            </w:r>
          </w:p>
        </w:tc>
      </w:tr>
    </w:tbl>
    <w:p>
      <w:pPr>
        <w:sectPr>
          <w:pgSz w:w="12240" w:h="15840" w:orient="portrait"/>
          <w:cols w:equalWidth="0" w:num="1">
            <w:col w:w="12000"/>
          </w:cols>
          <w:pgMar w:left="120" w:top="90" w:right="120"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CUSIP NO. M1492T105</w:t>
      </w:r>
    </w:p>
    <w:p>
      <w:pPr>
        <w:sectPr>
          <w:pgSz w:w="12240" w:h="15840" w:orient="portrait"/>
          <w:cols w:equalWidth="0" w:num="1">
            <w:col w:w="11900"/>
          </w:cols>
          <w:pgMar w:left="120" w:top="90" w:right="220"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Item 3.</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Ordinary Shares, par value of NIS 0.07 (the “Shares”)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CUSIP Number:</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M1492T105</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If This Statement is Filed Pursuant to Rule 13d-1(b), or 13d-2(b) or (c), Check Whether the Person Filing is a:</w:t>
      </w:r>
    </w:p>
    <w:p>
      <w:pPr>
        <w:spacing w:after="0" w:line="261"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color w:val="auto"/>
        </w:rPr>
        <w:t>/x/</w:t>
      </w:r>
      <w:r>
        <w:rPr>
          <w:sz w:val="20"/>
          <w:szCs w:val="20"/>
          <w:color w:val="auto"/>
        </w:rPr>
        <w:tab/>
      </w:r>
      <w:r>
        <w:rPr>
          <w:rFonts w:ascii="Arial" w:cs="Arial" w:eastAsia="Arial" w:hAnsi="Arial"/>
          <w:sz w:val="19"/>
          <w:szCs w:val="19"/>
          <w:color w:val="auto"/>
        </w:rPr>
        <w:t>Not applicable.</w:t>
      </w:r>
    </w:p>
    <w:p>
      <w:pPr>
        <w:spacing w:after="0" w:line="200" w:lineRule="exact"/>
        <w:rPr>
          <w:sz w:val="20"/>
          <w:szCs w:val="20"/>
          <w:color w:val="auto"/>
        </w:rPr>
      </w:pPr>
    </w:p>
    <w:p>
      <w:pPr>
        <w:sectPr>
          <w:pgSz w:w="12240" w:h="15840" w:orient="portrait"/>
          <w:cols w:equalWidth="0" w:num="2">
            <w:col w:w="760" w:space="600"/>
            <w:col w:w="10540"/>
          </w:cols>
          <w:pgMar w:left="120" w:top="90" w:right="220" w:bottom="1440" w:gutter="0" w:footer="0" w:header="0"/>
          <w:type w:val="continuous"/>
        </w:sectPr>
      </w:pPr>
    </w:p>
    <w:p>
      <w:pPr>
        <w:spacing w:after="0" w:line="38" w:lineRule="exact"/>
        <w:rPr>
          <w:sz w:val="20"/>
          <w:szCs w:val="20"/>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Broker or dealer registered under Section 15 of the Exchange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Bank as defined in Section 3(a)(6) of the Exchange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Insurance company as defined in Section 3(a)(19) of the Exchange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Investment company registered under Section 8 of the Investment Company Act.</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An investment adviser in accordance with Rule 13d-1(b)(1)(ii)(E).</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An employee benefit plan or endowment fund in accordance with Rule 13d-1(b)(1)(ii)(F).</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parent holding company or control person in accordance with Rule 13d-1(b)(1)(ii)(G).</w:t>
      </w:r>
    </w:p>
    <w:p>
      <w:pPr>
        <w:spacing w:after="0" w:line="237"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savings association as defined in Section 3(b) of the Federal Deposit Insurance Act.</w:t>
      </w:r>
    </w:p>
    <w:p>
      <w:pPr>
        <w:spacing w:after="0" w:line="237" w:lineRule="exact"/>
        <w:rPr>
          <w:rFonts w:ascii="Arial" w:cs="Arial" w:eastAsia="Arial" w:hAnsi="Arial"/>
          <w:sz w:val="19"/>
          <w:szCs w:val="19"/>
          <w:color w:val="auto"/>
        </w:rPr>
      </w:pPr>
    </w:p>
    <w:p>
      <w:pPr>
        <w:ind w:left="2600" w:hanging="1206"/>
        <w:spacing w:after="0" w:line="275" w:lineRule="auto"/>
        <w:tabs>
          <w:tab w:leader="none" w:pos="2001" w:val="left"/>
        </w:tabs>
        <w:numPr>
          <w:ilvl w:val="0"/>
          <w:numId w:val="5"/>
        </w:numPr>
        <w:rPr>
          <w:rFonts w:ascii="Arial" w:cs="Arial" w:eastAsia="Arial" w:hAnsi="Arial"/>
          <w:sz w:val="19"/>
          <w:szCs w:val="19"/>
          <w:color w:val="auto"/>
        </w:rPr>
      </w:pPr>
      <w:r>
        <w:rPr>
          <w:rFonts w:ascii="Arial" w:cs="Arial" w:eastAsia="Arial" w:hAnsi="Arial"/>
          <w:sz w:val="19"/>
          <w:szCs w:val="19"/>
          <w:color w:val="auto"/>
        </w:rPr>
        <w:t>/ /A church plan that is excluded from the definition of an investment company under Section 3(c)(14) of the Investment Company Act.</w:t>
      </w:r>
    </w:p>
    <w:p>
      <w:pPr>
        <w:spacing w:after="0" w:line="183" w:lineRule="exact"/>
        <w:rPr>
          <w:rFonts w:ascii="Arial" w:cs="Arial" w:eastAsia="Arial" w:hAnsi="Arial"/>
          <w:sz w:val="19"/>
          <w:szCs w:val="19"/>
          <w:color w:val="auto"/>
        </w:rPr>
      </w:pPr>
    </w:p>
    <w:p>
      <w:pPr>
        <w:ind w:left="2000" w:hanging="606"/>
        <w:spacing w:after="0"/>
        <w:tabs>
          <w:tab w:leader="none" w:pos="20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Group, in accordance with Rule 13d-1(b)(1)(ii)(J).</w:t>
      </w:r>
    </w:p>
    <w:p>
      <w:pPr>
        <w:spacing w:after="0" w:line="237" w:lineRule="exact"/>
        <w:rPr>
          <w:rFonts w:ascii="Arial" w:cs="Arial" w:eastAsia="Arial" w:hAnsi="Arial"/>
          <w:sz w:val="19"/>
          <w:szCs w:val="19"/>
          <w:color w:val="auto"/>
        </w:rPr>
      </w:pPr>
    </w:p>
    <w:p>
      <w:pPr>
        <w:ind w:left="2600" w:hanging="1206"/>
        <w:spacing w:after="0" w:line="275" w:lineRule="auto"/>
        <w:tabs>
          <w:tab w:leader="none" w:pos="2001" w:val="left"/>
        </w:tabs>
        <w:numPr>
          <w:ilvl w:val="0"/>
          <w:numId w:val="5"/>
        </w:numPr>
        <w:rPr>
          <w:rFonts w:ascii="Arial" w:cs="Arial" w:eastAsia="Arial" w:hAnsi="Arial"/>
          <w:sz w:val="19"/>
          <w:szCs w:val="19"/>
          <w:color w:val="auto"/>
        </w:rPr>
      </w:pPr>
      <w:r>
        <w:rPr>
          <w:rFonts w:ascii="Arial" w:cs="Arial" w:eastAsia="Arial" w:hAnsi="Arial"/>
          <w:sz w:val="19"/>
          <w:szCs w:val="19"/>
          <w:color w:val="auto"/>
        </w:rPr>
        <w:t>/ /Group, in accordance with Rule 240.13d-1(b)(1)(ii)(K). If filing as a non-U.S. institution in accordance with Rule 240.13d-1(b)(1)(ii)(J), please specify the type of institution: ____</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4.</w:t>
      </w:r>
      <w:r>
        <w:rPr>
          <w:sz w:val="20"/>
          <w:szCs w:val="20"/>
          <w:color w:val="auto"/>
        </w:rPr>
        <w:tab/>
      </w:r>
      <w:r>
        <w:rPr>
          <w:rFonts w:ascii="Arial" w:cs="Arial" w:eastAsia="Arial" w:hAnsi="Arial"/>
          <w:sz w:val="17"/>
          <w:szCs w:val="17"/>
          <w:color w:val="auto"/>
        </w:rPr>
        <w:t>Ownership</w:t>
      </w:r>
    </w:p>
    <w:p>
      <w:pPr>
        <w:spacing w:after="0" w:line="238" w:lineRule="exact"/>
        <w:rPr>
          <w:sz w:val="20"/>
          <w:szCs w:val="20"/>
          <w:color w:val="auto"/>
        </w:rPr>
      </w:pPr>
    </w:p>
    <w:p>
      <w:pPr>
        <w:ind w:left="1360" w:hanging="681"/>
        <w:spacing w:after="0"/>
        <w:tabs>
          <w:tab w:leader="none" w:pos="1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Amount beneficially owned:</w:t>
      </w:r>
    </w:p>
    <w:p>
      <w:pPr>
        <w:spacing w:after="0" w:line="237" w:lineRule="exact"/>
        <w:rPr>
          <w:rFonts w:ascii="Arial" w:cs="Arial" w:eastAsia="Arial" w:hAnsi="Arial"/>
          <w:sz w:val="19"/>
          <w:szCs w:val="19"/>
          <w:color w:val="auto"/>
        </w:rPr>
      </w:pPr>
    </w:p>
    <w:p>
      <w:pPr>
        <w:ind w:left="1360" w:right="40"/>
        <w:spacing w:after="0" w:line="275" w:lineRule="auto"/>
        <w:rPr>
          <w:rFonts w:ascii="Arial" w:cs="Arial" w:eastAsia="Arial" w:hAnsi="Arial"/>
          <w:sz w:val="19"/>
          <w:szCs w:val="19"/>
          <w:color w:val="auto"/>
        </w:rPr>
      </w:pPr>
      <w:r>
        <w:rPr>
          <w:rFonts w:ascii="Arial" w:cs="Arial" w:eastAsia="Arial" w:hAnsi="Arial"/>
          <w:sz w:val="19"/>
          <w:szCs w:val="19"/>
          <w:color w:val="auto"/>
        </w:rPr>
        <w:t>As of the close of business on December 31,2018, (i) Brosh beneficially owned 391,754 Shares, (ii) Mr. Biram beneficially owned 41,071 Shares, and (iii) Ms. Deutsch beneficially owned 41,060 Shares.</w:t>
      </w:r>
    </w:p>
    <w:p>
      <w:pPr>
        <w:spacing w:after="0" w:line="184"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Exodus GP, as the general partner of Brosh, may be deemed to beneficially own the 391,754 Shares owned by Brosh.</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00"/>
          </w:cols>
          <w:pgMar w:left="120" w:top="90" w:right="220" w:bottom="1440" w:gutter="0" w:footer="0" w:header="0"/>
          <w:type w:val="continuous"/>
        </w:sectPr>
      </w:pPr>
    </w:p>
    <w:bookmarkStart w:id="8" w:name="page9"/>
    <w:bookmarkEnd w:id="8"/>
    <w:p>
      <w:pPr>
        <w:spacing w:after="0"/>
        <w:rPr>
          <w:sz w:val="20"/>
          <w:szCs w:val="20"/>
          <w:color w:val="auto"/>
        </w:rPr>
      </w:pPr>
      <w:r>
        <w:rPr>
          <w:rFonts w:ascii="Arial" w:cs="Arial" w:eastAsia="Arial" w:hAnsi="Arial"/>
          <w:sz w:val="23"/>
          <w:szCs w:val="23"/>
          <w:color w:val="auto"/>
        </w:rPr>
        <w:t>CUSIP NO. M1492T105</w:t>
      </w:r>
    </w:p>
    <w:p>
      <w:pPr>
        <w:spacing w:after="0" w:line="344"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Mr. Efrati, as the portfolio manager of each of Brosh and Exodus GP and because of certain Power of Attorney Agreements between him</w:t>
      </w:r>
    </w:p>
    <w:p>
      <w:pPr>
        <w:spacing w:after="0" w:line="4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and each of Mr. Biram and Ms. Deutsch, may be deemed to beneficially own: (i) 391,754 Shares owned by Brosh; (ii) 41,071 Shares</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owned by Mr. Biram and (iii) 41,060 Shares owned by Ms. Deutsch</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owned by another Reporting Person. Exodus GP disclaims beneficial ownership of the Shares beneficially owned by Brosh Mr. Efrati disclaims beneficial ownership of the Shares beneficially owned by Brosh, Mr. Biram, and Ms. Deutsch, and the filing of this statement shall not be construed as an admission that any such person or entity is the beneficial owner of any such securities.</w:t>
      </w:r>
    </w:p>
    <w:p>
      <w:pPr>
        <w:spacing w:after="0" w:line="185" w:lineRule="exact"/>
        <w:rPr>
          <w:sz w:val="20"/>
          <w:szCs w:val="20"/>
          <w:color w:val="auto"/>
        </w:rPr>
      </w:pPr>
    </w:p>
    <w:p>
      <w:pPr>
        <w:ind w:left="1360" w:hanging="681"/>
        <w:spacing w:after="0"/>
        <w:tabs>
          <w:tab w:leader="none" w:pos="1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237" w:lineRule="exact"/>
        <w:rPr>
          <w:rFonts w:ascii="Arial" w:cs="Arial" w:eastAsia="Arial" w:hAnsi="Arial"/>
          <w:sz w:val="19"/>
          <w:szCs w:val="19"/>
          <w:color w:val="auto"/>
        </w:rPr>
      </w:pPr>
    </w:p>
    <w:p>
      <w:pPr>
        <w:ind w:left="1360"/>
        <w:spacing w:after="0" w:line="275" w:lineRule="auto"/>
        <w:rPr>
          <w:rFonts w:ascii="Arial" w:cs="Arial" w:eastAsia="Arial" w:hAnsi="Arial"/>
          <w:sz w:val="19"/>
          <w:szCs w:val="19"/>
          <w:color w:val="auto"/>
        </w:rPr>
      </w:pPr>
      <w:r>
        <w:rPr>
          <w:rFonts w:ascii="Arial" w:cs="Arial" w:eastAsia="Arial" w:hAnsi="Arial"/>
          <w:sz w:val="19"/>
          <w:szCs w:val="19"/>
          <w:color w:val="auto"/>
        </w:rPr>
        <w:t>The following percentages are based on 10,699,271 Shares outstanding, as reported in the Issuer’s Annual Report on Form 20-F filed with the Securities and Exchange Commission on May 14, 2018.</w:t>
      </w:r>
    </w:p>
    <w:p>
      <w:pPr>
        <w:spacing w:after="0" w:line="183" w:lineRule="exact"/>
        <w:rPr>
          <w:rFonts w:ascii="Arial" w:cs="Arial" w:eastAsia="Arial" w:hAnsi="Arial"/>
          <w:sz w:val="19"/>
          <w:szCs w:val="19"/>
          <w:color w:val="auto"/>
        </w:rPr>
      </w:pPr>
    </w:p>
    <w:p>
      <w:pPr>
        <w:jc w:val="both"/>
        <w:ind w:left="1360"/>
        <w:spacing w:after="0" w:line="259" w:lineRule="auto"/>
        <w:rPr>
          <w:rFonts w:ascii="Arial" w:cs="Arial" w:eastAsia="Arial" w:hAnsi="Arial"/>
          <w:sz w:val="19"/>
          <w:szCs w:val="19"/>
          <w:color w:val="auto"/>
        </w:rPr>
      </w:pPr>
      <w:r>
        <w:rPr>
          <w:rFonts w:ascii="Arial" w:cs="Arial" w:eastAsia="Arial" w:hAnsi="Arial"/>
          <w:sz w:val="19"/>
          <w:szCs w:val="19"/>
          <w:color w:val="auto"/>
        </w:rPr>
        <w:t>As of the close of business on December 31,2018 (i) Brosh beneficially owned approximately 3.7% of the outstanding Shares, (ii) Exodus GP may be deemed to beneficially own approximately 3.7% of the outstanding Shares, (iii) Mr. Biram beneficially owned less than 1% of the outstanding Shares, (iv) Ms. Deutsch beneficially owned less than 1% of the outstanding Shares, and (v) Mr. Efrati may be deemed to beneficially own approximately 4.4 % of the outstanding Shares.</w:t>
      </w:r>
    </w:p>
    <w:p>
      <w:pPr>
        <w:spacing w:after="0" w:line="197" w:lineRule="exact"/>
        <w:rPr>
          <w:rFonts w:ascii="Arial" w:cs="Arial" w:eastAsia="Arial" w:hAnsi="Arial"/>
          <w:sz w:val="19"/>
          <w:szCs w:val="19"/>
          <w:color w:val="auto"/>
        </w:rPr>
      </w:pPr>
    </w:p>
    <w:p>
      <w:pPr>
        <w:ind w:left="1360" w:hanging="681"/>
        <w:spacing w:after="0"/>
        <w:tabs>
          <w:tab w:leader="none" w:pos="1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38" w:lineRule="exact"/>
        <w:rPr>
          <w:sz w:val="20"/>
          <w:szCs w:val="20"/>
          <w:color w:val="auto"/>
        </w:rPr>
      </w:pPr>
    </w:p>
    <w:p>
      <w:pPr>
        <w:ind w:left="1360" w:right="7680" w:hanging="681"/>
        <w:spacing w:after="0" w:line="501" w:lineRule="auto"/>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Sole power to vote or to direct the vote See Cover Pages Items 5-9.</w:t>
      </w:r>
    </w:p>
    <w:p>
      <w:pPr>
        <w:ind w:left="1360" w:right="7480" w:hanging="681"/>
        <w:spacing w:after="0" w:line="501" w:lineRule="auto"/>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Shared power to vote or to direct the vote See Cover Pages Items 5-9.</w:t>
      </w:r>
    </w:p>
    <w:p>
      <w:pPr>
        <w:ind w:left="1360" w:right="6720" w:hanging="681"/>
        <w:spacing w:after="0" w:line="501" w:lineRule="auto"/>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Cover Pages Items 5-9.</w:t>
      </w:r>
    </w:p>
    <w:p>
      <w:pPr>
        <w:ind w:left="1360" w:right="6520" w:hanging="681"/>
        <w:spacing w:after="0" w:line="501" w:lineRule="auto"/>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See Cover Pages Items 5-9.</w:t>
      </w:r>
    </w:p>
    <w:p>
      <w:pPr>
        <w:spacing w:after="0" w:line="1"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color w:val="auto"/>
        </w:rPr>
        <w:t>Ownership of Five Percent or Less of a Class.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38"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Mr. Efrati has voting and dispositive power over the Shares beneficially owned by Brosh, Mr. Biram, and Ms. Deutsch.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9" w:name="page10"/>
    <w:bookmarkEnd w:id="9"/>
    <w:p>
      <w:pPr>
        <w:spacing w:after="0"/>
        <w:rPr>
          <w:sz w:val="20"/>
          <w:szCs w:val="20"/>
          <w:color w:val="auto"/>
        </w:rPr>
      </w:pPr>
      <w:r>
        <w:rPr>
          <w:rFonts w:ascii="Arial" w:cs="Arial" w:eastAsia="Arial" w:hAnsi="Arial"/>
          <w:sz w:val="23"/>
          <w:szCs w:val="23"/>
          <w:color w:val="auto"/>
        </w:rPr>
        <w:t>CUSIP NO. M1492T105</w:t>
      </w:r>
    </w:p>
    <w:p>
      <w:pPr>
        <w:spacing w:after="0" w:line="344" w:lineRule="exact"/>
        <w:rPr>
          <w:sz w:val="20"/>
          <w:szCs w:val="20"/>
          <w:color w:val="auto"/>
        </w:rPr>
      </w:pPr>
    </w:p>
    <w:p>
      <w:pPr>
        <w:jc w:val="both"/>
        <w:ind w:left="1360" w:hanging="1368"/>
        <w:spacing w:after="0" w:line="275" w:lineRule="auto"/>
        <w:tabs>
          <w:tab w:leader="none" w:pos="1340" w:val="left"/>
        </w:tabs>
        <w:rPr>
          <w:sz w:val="20"/>
          <w:szCs w:val="20"/>
          <w:color w:val="auto"/>
        </w:rPr>
      </w:pPr>
      <w:r>
        <w:rPr>
          <w:rFonts w:ascii="Arial" w:cs="Arial" w:eastAsia="Arial" w:hAnsi="Arial"/>
          <w:sz w:val="19"/>
          <w:szCs w:val="19"/>
          <w:color w:val="auto"/>
        </w:rPr>
        <w:t>Item 7.</w:t>
      </w:r>
      <w:r>
        <w:rPr>
          <w:sz w:val="20"/>
          <w:szCs w:val="20"/>
          <w:color w:val="auto"/>
        </w:rPr>
        <w:tab/>
      </w:r>
      <w:r>
        <w:rPr>
          <w:rFonts w:ascii="Arial" w:cs="Arial" w:eastAsia="Arial" w:hAnsi="Arial"/>
          <w:sz w:val="19"/>
          <w:szCs w:val="19"/>
          <w:color w:val="auto"/>
        </w:rPr>
        <w:t>Identification and Classification of the Subsidiary That Acquired the Security Being Reported on by the Parent Holding Company or Control Person.</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See Exhibit 99.1.</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7"/>
          <w:szCs w:val="17"/>
          <w:color w:val="auto"/>
        </w:rPr>
        <w:t>Notice of Dissolution of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10.</w:t>
      </w:r>
      <w:r>
        <w:rPr>
          <w:sz w:val="20"/>
          <w:szCs w:val="20"/>
          <w:color w:val="auto"/>
        </w:rPr>
        <w:tab/>
      </w:r>
      <w:r>
        <w:rPr>
          <w:rFonts w:ascii="Arial" w:cs="Arial" w:eastAsia="Arial" w:hAnsi="Arial"/>
          <w:sz w:val="17"/>
          <w:szCs w:val="17"/>
          <w:color w:val="auto"/>
        </w:rPr>
        <w:t>Certifications.</w:t>
      </w:r>
    </w:p>
    <w:p>
      <w:pPr>
        <w:spacing w:after="0" w:line="238" w:lineRule="exact"/>
        <w:rPr>
          <w:sz w:val="20"/>
          <w:szCs w:val="20"/>
          <w:color w:val="auto"/>
        </w:rPr>
      </w:pPr>
    </w:p>
    <w:p>
      <w:pPr>
        <w:jc w:val="both"/>
        <w:ind w:firstLine="1369"/>
        <w:spacing w:after="0" w:line="263" w:lineRule="auto"/>
        <w:rPr>
          <w:sz w:val="20"/>
          <w:szCs w:val="20"/>
          <w:color w:val="auto"/>
        </w:rPr>
      </w:pPr>
      <w:r>
        <w:rPr>
          <w:rFonts w:ascii="Arial" w:cs="Arial" w:eastAsia="Arial" w:hAnsi="Arial"/>
          <w:sz w:val="19"/>
          <w:szCs w:val="19"/>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10" w:name="page11"/>
    <w:bookmarkEnd w:id="10"/>
    <w:p>
      <w:pPr>
        <w:spacing w:after="0"/>
        <w:rPr>
          <w:sz w:val="20"/>
          <w:szCs w:val="20"/>
          <w:color w:val="auto"/>
        </w:rPr>
      </w:pPr>
      <w:r>
        <w:rPr>
          <w:rFonts w:ascii="Arial" w:cs="Arial" w:eastAsia="Arial" w:hAnsi="Arial"/>
          <w:sz w:val="23"/>
          <w:szCs w:val="23"/>
          <w:color w:val="auto"/>
        </w:rPr>
        <w:t>CUSIP NO. M1492T105</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SIGNATURE</w:t>
      </w:r>
    </w:p>
    <w:p>
      <w:pPr>
        <w:spacing w:after="0" w:line="238" w:lineRule="exact"/>
        <w:rPr>
          <w:sz w:val="20"/>
          <w:szCs w:val="20"/>
          <w:color w:val="auto"/>
        </w:rPr>
      </w:pPr>
    </w:p>
    <w:p>
      <w:pPr>
        <w:ind w:right="20" w:firstLine="1369"/>
        <w:spacing w:after="0" w:line="275" w:lineRule="auto"/>
        <w:rPr>
          <w:sz w:val="20"/>
          <w:szCs w:val="20"/>
          <w:color w:val="auto"/>
        </w:rPr>
      </w:pPr>
      <w:r>
        <w:rPr>
          <w:rFonts w:ascii="Arial" w:cs="Arial" w:eastAsia="Arial" w:hAnsi="Arial"/>
          <w:sz w:val="19"/>
          <w:szCs w:val="19"/>
          <w:color w:val="auto"/>
        </w:rPr>
        <w:t>After reasonable inquiry and to the best of his knowledge and belief, each of the undersigned certifies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19, 2019</w:t>
      </w:r>
    </w:p>
    <w:p>
      <w:pPr>
        <w:spacing w:after="0" w:line="238"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BROSH CAPITAL PARTNERS, L.P.</w:t>
      </w:r>
    </w:p>
    <w:p>
      <w:pPr>
        <w:spacing w:after="0" w:line="238" w:lineRule="exact"/>
        <w:rPr>
          <w:sz w:val="20"/>
          <w:szCs w:val="20"/>
          <w:color w:val="auto"/>
        </w:rPr>
      </w:pPr>
    </w:p>
    <w:tbl>
      <w:tblPr>
        <w:tblLayout w:type="fixed"/>
        <w:tblInd w:w="6240"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260" w:type="dxa"/>
            <w:vAlign w:val="bottom"/>
            <w:gridSpan w:val="2"/>
          </w:tcPr>
          <w:p>
            <w:pPr>
              <w:ind w:left="100"/>
              <w:spacing w:after="0"/>
              <w:rPr>
                <w:sz w:val="20"/>
                <w:szCs w:val="20"/>
                <w:color w:val="auto"/>
              </w:rPr>
            </w:pPr>
            <w:r>
              <w:rPr>
                <w:rFonts w:ascii="Arial" w:cs="Arial" w:eastAsia="Arial" w:hAnsi="Arial"/>
                <w:sz w:val="19"/>
                <w:szCs w:val="19"/>
                <w:color w:val="auto"/>
              </w:rPr>
              <w:t>Exodus Management Israel Ltd.</w:t>
            </w:r>
          </w:p>
        </w:tc>
      </w:tr>
      <w:tr>
        <w:trPr>
          <w:trHeight w:val="241"/>
        </w:trPr>
        <w:tc>
          <w:tcPr>
            <w:tcW w:w="500" w:type="dxa"/>
            <w:vAlign w:val="bottom"/>
          </w:tcPr>
          <w:p>
            <w:pPr>
              <w:spacing w:after="0"/>
              <w:rPr>
                <w:sz w:val="20"/>
                <w:szCs w:val="20"/>
                <w:color w:val="auto"/>
              </w:rPr>
            </w:pPr>
          </w:p>
        </w:tc>
        <w:tc>
          <w:tcPr>
            <w:tcW w:w="5260" w:type="dxa"/>
            <w:vAlign w:val="bottom"/>
            <w:gridSpan w:val="2"/>
          </w:tcPr>
          <w:p>
            <w:pPr>
              <w:ind w:left="40"/>
              <w:spacing w:after="0"/>
              <w:rPr>
                <w:sz w:val="20"/>
                <w:szCs w:val="20"/>
                <w:color w:val="auto"/>
              </w:rPr>
            </w:pPr>
            <w:r>
              <w:rPr>
                <w:rFonts w:ascii="Arial" w:cs="Arial" w:eastAsia="Arial" w:hAnsi="Arial"/>
                <w:sz w:val="19"/>
                <w:szCs w:val="19"/>
                <w:color w:val="auto"/>
              </w:rPr>
              <w:t>Its General Partner</w:t>
            </w:r>
          </w:p>
        </w:tc>
      </w:tr>
      <w:tr>
        <w:trPr>
          <w:trHeight w:val="457"/>
        </w:trPr>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2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/s/ Amir Efrati</w:t>
            </w:r>
          </w:p>
        </w:tc>
      </w:tr>
      <w:tr>
        <w:trPr>
          <w:trHeight w:val="209"/>
        </w:trPr>
        <w:tc>
          <w:tcPr>
            <w:tcW w:w="500" w:type="dxa"/>
            <w:vAlign w:val="bottom"/>
          </w:tcPr>
          <w:p>
            <w:pPr>
              <w:spacing w:after="0"/>
              <w:rPr>
                <w:sz w:val="18"/>
                <w:szCs w:val="18"/>
                <w:color w:val="auto"/>
              </w:rPr>
            </w:pPr>
          </w:p>
        </w:tc>
        <w:tc>
          <w:tcPr>
            <w:tcW w:w="900" w:type="dxa"/>
            <w:vAlign w:val="bottom"/>
          </w:tcPr>
          <w:p>
            <w:pPr>
              <w:ind w:left="100"/>
              <w:spacing w:after="0" w:line="209" w:lineRule="exact"/>
              <w:rPr>
                <w:sz w:val="20"/>
                <w:szCs w:val="20"/>
                <w:color w:val="auto"/>
              </w:rPr>
            </w:pPr>
            <w:r>
              <w:rPr>
                <w:rFonts w:ascii="Arial" w:cs="Arial" w:eastAsia="Arial" w:hAnsi="Arial"/>
                <w:sz w:val="19"/>
                <w:szCs w:val="19"/>
                <w:color w:val="auto"/>
              </w:rPr>
              <w:t>Name:</w:t>
            </w:r>
          </w:p>
        </w:tc>
        <w:tc>
          <w:tcPr>
            <w:tcW w:w="4360" w:type="dxa"/>
            <w:vAlign w:val="bottom"/>
          </w:tcPr>
          <w:p>
            <w:pPr>
              <w:ind w:left="280"/>
              <w:spacing w:after="0" w:line="209" w:lineRule="exact"/>
              <w:rPr>
                <w:sz w:val="20"/>
                <w:szCs w:val="20"/>
                <w:color w:val="auto"/>
              </w:rPr>
            </w:pPr>
            <w:r>
              <w:rPr>
                <w:rFonts w:ascii="Arial" w:cs="Arial" w:eastAsia="Arial" w:hAnsi="Arial"/>
                <w:sz w:val="19"/>
                <w:szCs w:val="19"/>
                <w:color w:val="auto"/>
              </w:rPr>
              <w:t>Amir Efrati</w:t>
            </w:r>
          </w:p>
        </w:tc>
      </w:tr>
      <w:tr>
        <w:trPr>
          <w:trHeight w:val="241"/>
        </w:trPr>
        <w:tc>
          <w:tcPr>
            <w:tcW w:w="50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9"/>
                <w:szCs w:val="19"/>
                <w:color w:val="auto"/>
              </w:rPr>
              <w:t>Title:</w:t>
            </w:r>
          </w:p>
        </w:tc>
        <w:tc>
          <w:tcPr>
            <w:tcW w:w="4360" w:type="dxa"/>
            <w:vAlign w:val="bottom"/>
          </w:tcPr>
          <w:p>
            <w:pPr>
              <w:ind w:left="280"/>
              <w:spacing w:after="0"/>
              <w:rPr>
                <w:sz w:val="20"/>
                <w:szCs w:val="20"/>
                <w:color w:val="auto"/>
              </w:rPr>
            </w:pPr>
            <w:r>
              <w:rPr>
                <w:rFonts w:ascii="Arial" w:cs="Arial" w:eastAsia="Arial" w:hAnsi="Arial"/>
                <w:sz w:val="19"/>
                <w:szCs w:val="19"/>
                <w:color w:val="auto"/>
              </w:rPr>
              <w:t>Authorized Signatory</w:t>
            </w:r>
          </w:p>
        </w:tc>
      </w:tr>
    </w:tbl>
    <w:p>
      <w:pPr>
        <w:spacing w:after="0" w:line="200" w:lineRule="exact"/>
        <w:rPr>
          <w:sz w:val="20"/>
          <w:szCs w:val="20"/>
          <w:color w:val="auto"/>
        </w:rPr>
      </w:pPr>
    </w:p>
    <w:p>
      <w:pPr>
        <w:spacing w:after="0" w:line="243"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EXODUS MANAGEMENT ISRAEL LTD.</w:t>
      </w:r>
    </w:p>
    <w:p>
      <w:pPr>
        <w:spacing w:after="0" w:line="238" w:lineRule="exact"/>
        <w:rPr>
          <w:sz w:val="20"/>
          <w:szCs w:val="20"/>
          <w:color w:val="auto"/>
        </w:rPr>
      </w:pPr>
    </w:p>
    <w:tbl>
      <w:tblPr>
        <w:tblLayout w:type="fixed"/>
        <w:tblInd w:w="6240" w:type="dxa"/>
        <w:tblCellMar>
          <w:top w:w="0" w:type="dxa"/>
          <w:left w:w="0" w:type="dxa"/>
          <w:bottom w:w="0" w:type="dxa"/>
          <w:right w:w="0" w:type="dxa"/>
        </w:tblCellMar>
      </w:tblPr>
      <w:tr>
        <w:trPr>
          <w:trHeight w:val="242"/>
        </w:trPr>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2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/s/ Amir Efrati</w:t>
            </w:r>
          </w:p>
        </w:tc>
      </w:tr>
      <w:tr>
        <w:trPr>
          <w:trHeight w:val="209"/>
        </w:trPr>
        <w:tc>
          <w:tcPr>
            <w:tcW w:w="500" w:type="dxa"/>
            <w:vAlign w:val="bottom"/>
          </w:tcPr>
          <w:p>
            <w:pPr>
              <w:spacing w:after="0"/>
              <w:rPr>
                <w:sz w:val="18"/>
                <w:szCs w:val="18"/>
                <w:color w:val="auto"/>
              </w:rPr>
            </w:pPr>
          </w:p>
        </w:tc>
        <w:tc>
          <w:tcPr>
            <w:tcW w:w="900" w:type="dxa"/>
            <w:vAlign w:val="bottom"/>
          </w:tcPr>
          <w:p>
            <w:pPr>
              <w:ind w:left="100"/>
              <w:spacing w:after="0" w:line="209" w:lineRule="exact"/>
              <w:rPr>
                <w:sz w:val="20"/>
                <w:szCs w:val="20"/>
                <w:color w:val="auto"/>
              </w:rPr>
            </w:pPr>
            <w:r>
              <w:rPr>
                <w:rFonts w:ascii="Arial" w:cs="Arial" w:eastAsia="Arial" w:hAnsi="Arial"/>
                <w:sz w:val="19"/>
                <w:szCs w:val="19"/>
                <w:color w:val="auto"/>
              </w:rPr>
              <w:t>Name:</w:t>
            </w:r>
          </w:p>
        </w:tc>
        <w:tc>
          <w:tcPr>
            <w:tcW w:w="4360" w:type="dxa"/>
            <w:vAlign w:val="bottom"/>
          </w:tcPr>
          <w:p>
            <w:pPr>
              <w:ind w:left="280"/>
              <w:spacing w:after="0" w:line="209" w:lineRule="exact"/>
              <w:rPr>
                <w:sz w:val="20"/>
                <w:szCs w:val="20"/>
                <w:color w:val="auto"/>
              </w:rPr>
            </w:pPr>
            <w:r>
              <w:rPr>
                <w:rFonts w:ascii="Arial" w:cs="Arial" w:eastAsia="Arial" w:hAnsi="Arial"/>
                <w:sz w:val="19"/>
                <w:szCs w:val="19"/>
                <w:color w:val="auto"/>
              </w:rPr>
              <w:t>Amir Efrati</w:t>
            </w:r>
          </w:p>
        </w:tc>
      </w:tr>
      <w:tr>
        <w:trPr>
          <w:trHeight w:val="241"/>
        </w:trPr>
        <w:tc>
          <w:tcPr>
            <w:tcW w:w="50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9"/>
                <w:szCs w:val="19"/>
                <w:color w:val="auto"/>
              </w:rPr>
              <w:t>Title:</w:t>
            </w:r>
          </w:p>
        </w:tc>
        <w:tc>
          <w:tcPr>
            <w:tcW w:w="4360" w:type="dxa"/>
            <w:vAlign w:val="bottom"/>
          </w:tcPr>
          <w:p>
            <w:pPr>
              <w:ind w:left="280"/>
              <w:spacing w:after="0"/>
              <w:rPr>
                <w:sz w:val="20"/>
                <w:szCs w:val="20"/>
                <w:color w:val="auto"/>
              </w:rPr>
            </w:pPr>
            <w:r>
              <w:rPr>
                <w:rFonts w:ascii="Arial" w:cs="Arial" w:eastAsia="Arial" w:hAnsi="Arial"/>
                <w:sz w:val="19"/>
                <w:szCs w:val="19"/>
                <w:color w:val="auto"/>
              </w:rPr>
              <w:t>Authorized Signatory</w:t>
            </w:r>
          </w:p>
        </w:tc>
      </w:tr>
    </w:tbl>
    <w:p>
      <w:pPr>
        <w:spacing w:after="0" w:line="200" w:lineRule="exact"/>
        <w:rPr>
          <w:sz w:val="20"/>
          <w:szCs w:val="20"/>
          <w:color w:val="auto"/>
        </w:rPr>
      </w:pPr>
    </w:p>
    <w:p>
      <w:pPr>
        <w:spacing w:after="0" w:line="243"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/s/ 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15240</wp:posOffset>
            </wp:positionV>
            <wp:extent cx="373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31260" cy="8890"/>
                    </a:xfrm>
                    <a:prstGeom prst="rect">
                      <a:avLst/>
                    </a:prstGeom>
                    <a:noFill/>
                  </pic:spPr>
                </pic:pic>
              </a:graphicData>
            </a:graphic>
          </wp:anchor>
        </w:drawing>
      </w:r>
    </w:p>
    <w:p>
      <w:pPr>
        <w:spacing w:after="0" w:line="4"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Amir Efrati</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Individually, and as attorney-in-fact for Aharon Biram and Ester Deutsch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9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2019-12-15T17:10:00Z</dcterms:created>
  <dcterms:modified xsi:type="dcterms:W3CDTF">2019-12-15T17:10:00Z</dcterms:modified>
</cp:coreProperties>
</file>