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13D</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(Rule 13d-101)</w:t>
      </w:r>
    </w:p>
    <w:p>
      <w:pPr>
        <w:spacing w:after="0" w:line="188" w:lineRule="exact"/>
        <w:rPr>
          <w:sz w:val="24"/>
          <w:szCs w:val="24"/>
          <w:color w:val="auto"/>
        </w:rPr>
      </w:pPr>
    </w:p>
    <w:p>
      <w:pPr>
        <w:ind w:left="2280"/>
        <w:spacing w:after="0"/>
        <w:rPr>
          <w:sz w:val="20"/>
          <w:szCs w:val="20"/>
          <w:color w:val="auto"/>
        </w:rPr>
      </w:pPr>
      <w:r>
        <w:rPr>
          <w:rFonts w:ascii="Arial" w:cs="Arial" w:eastAsia="Arial" w:hAnsi="Arial"/>
          <w:sz w:val="22"/>
          <w:szCs w:val="22"/>
          <w:color w:val="auto"/>
        </w:rPr>
        <w:t>INFORMATION TO BE INCLUDED IN STATEMENTS FILED PURSUANT</w:t>
      </w:r>
    </w:p>
    <w:p>
      <w:pPr>
        <w:ind w:left="2240"/>
        <w:spacing w:after="0" w:line="238" w:lineRule="auto"/>
        <w:rPr>
          <w:sz w:val="20"/>
          <w:szCs w:val="20"/>
          <w:color w:val="auto"/>
        </w:rPr>
      </w:pPr>
      <w:r>
        <w:rPr>
          <w:rFonts w:ascii="Arial" w:cs="Arial" w:eastAsia="Arial" w:hAnsi="Arial"/>
          <w:sz w:val="22"/>
          <w:szCs w:val="22"/>
          <w:color w:val="auto"/>
        </w:rPr>
        <w:t>TO § 240.13d-1(a) AND AMENDMENTS THERETO FILED PURSUANT TO</w:t>
      </w:r>
    </w:p>
    <w:p>
      <w:pPr>
        <w:ind w:left="4820" w:right="4660" w:firstLine="252"/>
        <w:spacing w:after="0" w:line="498" w:lineRule="auto"/>
        <w:tabs>
          <w:tab w:leader="none" w:pos="5243" w:val="left"/>
        </w:tabs>
        <w:numPr>
          <w:ilvl w:val="0"/>
          <w:numId w:val="1"/>
        </w:numPr>
        <w:rPr>
          <w:rFonts w:ascii="Arial" w:cs="Arial" w:eastAsia="Arial" w:hAnsi="Arial"/>
          <w:sz w:val="19"/>
          <w:szCs w:val="19"/>
          <w:color w:val="auto"/>
        </w:rPr>
      </w:pPr>
      <w:r>
        <w:rPr>
          <w:rFonts w:ascii="Arial" w:cs="Arial" w:eastAsia="Arial" w:hAnsi="Arial"/>
          <w:sz w:val="19"/>
          <w:szCs w:val="19"/>
          <w:color w:val="auto"/>
        </w:rPr>
        <w:t>240.13d-2(a) (Amendment No. 5)</w:t>
      </w:r>
      <w:r>
        <w:rPr>
          <w:rFonts w:ascii="Arial" w:cs="Arial" w:eastAsia="Arial" w:hAnsi="Arial"/>
          <w:sz w:val="10"/>
          <w:szCs w:val="10"/>
          <w:color w:val="auto"/>
        </w:rPr>
        <w:t>1</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Alcobra Ltd.</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(Name of Issuer)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Ordinary Shares, par value of NIS 0.01</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(Title of Class of Securities)</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M2239P 10 9</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(CUSIP Number)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AMIR EFRATI</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EXODUS CAPITAL 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11 Menachem Begin Rd.</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Ramat-Gan, Israel 5268104</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+972-77-3206050</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STEVE WOLOSKY, ESQ.</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OLSHAN FROME WOLOSKY LLP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1325 Avenue of the Americas</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New York, New York 10019</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(212) 451-2300</w:t>
      </w:r>
    </w:p>
    <w:p>
      <w:pPr>
        <w:jc w:val="center"/>
        <w:ind w:right="-159"/>
        <w:spacing w:after="0" w:line="236" w:lineRule="auto"/>
        <w:rPr>
          <w:sz w:val="20"/>
          <w:szCs w:val="20"/>
          <w:color w:val="auto"/>
        </w:rPr>
      </w:pPr>
      <w:r>
        <w:rPr>
          <w:rFonts w:ascii="Arial" w:cs="Arial" w:eastAsia="Arial" w:hAnsi="Arial"/>
          <w:sz w:val="22"/>
          <w:szCs w:val="22"/>
          <w:color w:val="auto"/>
        </w:rPr>
        <w:t>(Name, Address and Telephone Number of Person</w:t>
      </w:r>
    </w:p>
    <w:p>
      <w:pPr>
        <w:jc w:val="center"/>
        <w:ind w:right="-159"/>
        <w:spacing w:after="0"/>
        <w:rPr>
          <w:sz w:val="20"/>
          <w:szCs w:val="20"/>
          <w:color w:val="auto"/>
        </w:rPr>
      </w:pPr>
      <w:r>
        <w:rPr>
          <w:rFonts w:ascii="Arial" w:cs="Arial" w:eastAsia="Arial" w:hAnsi="Arial"/>
          <w:sz w:val="22"/>
          <w:szCs w:val="22"/>
          <w:color w:val="auto"/>
        </w:rPr>
        <w:t>Authorized to Receive Notices and Communications)</w:t>
      </w:r>
    </w:p>
    <w:p>
      <w:pPr>
        <w:spacing w:after="0" w:line="222"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April 6, 2017</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(Date of Event Which Requires Filing of This Statement)</w:t>
      </w:r>
    </w:p>
    <w:p>
      <w:pPr>
        <w:spacing w:after="0" w:line="222" w:lineRule="exact"/>
        <w:rPr>
          <w:sz w:val="24"/>
          <w:szCs w:val="24"/>
          <w:color w:val="auto"/>
        </w:rPr>
      </w:pPr>
    </w:p>
    <w:p>
      <w:pPr>
        <w:ind w:right="10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2"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both"/>
        <w:ind w:right="40" w:firstLine="8"/>
        <w:spacing w:after="0"/>
        <w:tabs>
          <w:tab w:leader="none" w:pos="815" w:val="left"/>
        </w:tabs>
        <w:numPr>
          <w:ilvl w:val="0"/>
          <w:numId w:val="2"/>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0"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M2239P 10 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Exodus Capital L.P.</w:t>
            </w:r>
          </w:p>
        </w:tc>
        <w:tc>
          <w:tcPr>
            <w:tcW w:w="126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9"/>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1"/>
              </w:rPr>
              <w:t>Cayman Islands</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3,721,409</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3,721,409</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3,721,409</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13.5%</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55"/>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2</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M2239P 10 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Exodus Management Israel Ltd.</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Israel</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3,993,391</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3,993,391</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3,993,391</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14.5%</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3</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M2239P 10 9</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The Phoenix Holding Ltd.</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Israel</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626,208</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626,208</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626,208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2.3%</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4</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M2239P 10 9</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Delek Group Ltd.</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Israel</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626,208</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626,208</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626,208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2.3%</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5</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M2239P 10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238125</wp:posOffset>
            </wp:positionV>
            <wp:extent cx="3600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Itshak Sharon (Tshuva)</w:t>
            </w:r>
          </w:p>
        </w:tc>
        <w:tc>
          <w:tcPr>
            <w:tcW w:w="1260" w:type="dxa"/>
            <w:vAlign w:val="bottom"/>
            <w:tcBorders>
              <w:bottom w:val="single" w:sz="8" w:color="auto"/>
            </w:tcBorders>
          </w:tcPr>
          <w:p>
            <w:pPr>
              <w:spacing w:after="0"/>
              <w:rPr>
                <w:sz w:val="24"/>
                <w:szCs w:val="24"/>
                <w:color w:val="auto"/>
              </w:rPr>
            </w:pPr>
          </w:p>
        </w:tc>
      </w:tr>
      <w:tr>
        <w:trPr>
          <w:trHeight w:val="163"/>
        </w:trPr>
        <w:tc>
          <w:tcPr>
            <w:tcW w:w="176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76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Israel</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0"/>
                <w:szCs w:val="20"/>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626,208</w:t>
            </w:r>
          </w:p>
        </w:tc>
        <w:tc>
          <w:tcPr>
            <w:tcW w:w="1260" w:type="dxa"/>
            <w:vAlign w:val="bottom"/>
            <w:tcBorders>
              <w:bottom w:val="single" w:sz="8" w:color="auto"/>
            </w:tcBorders>
          </w:tcPr>
          <w:p>
            <w:pPr>
              <w:spacing w:after="0"/>
              <w:rPr>
                <w:sz w:val="20"/>
                <w:szCs w:val="20"/>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626,208</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626,208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77"/>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-5334000</wp:posOffset>
            </wp:positionV>
            <wp:extent cx="3600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2.3%</w:t>
      </w:r>
    </w:p>
    <w:p>
      <w:pPr>
        <w:spacing w:after="0" w:line="23" w:lineRule="exact"/>
        <w:rPr>
          <w:sz w:val="20"/>
          <w:szCs w:val="20"/>
          <w:color w:val="auto"/>
        </w:rPr>
      </w:pPr>
    </w:p>
    <w:p>
      <w:pPr>
        <w:ind w:left="2340" w:right="7040" w:hanging="1551"/>
        <w:spacing w:after="0" w:line="527" w:lineRule="auto"/>
        <w:tabs>
          <w:tab w:leader="none" w:pos="1885"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M2239P 10 9</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Amir Efrati</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Israel</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4,619,599</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4,619,599</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4,619,599</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16.8%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7</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M2239P 10 9</w:t>
      </w:r>
    </w:p>
    <w:p>
      <w:pPr>
        <w:spacing w:after="0" w:line="36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The following constitutes Amendment No. 5 to the Schedule 13D filed by the undersigned (“Amendment No. 5”). This Amendment No. 5 amends the Schedule 13D as specifically set forth herein.</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18"/>
          <w:szCs w:val="18"/>
          <w:color w:val="auto"/>
        </w:rPr>
        <w:t>Item</w:t>
      </w:r>
      <w:r>
        <w:rPr>
          <w:sz w:val="20"/>
          <w:szCs w:val="20"/>
          <w:color w:val="auto"/>
        </w:rPr>
        <w:tab/>
      </w:r>
      <w:r>
        <w:rPr>
          <w:rFonts w:ascii="Arial" w:cs="Arial" w:eastAsia="Arial" w:hAnsi="Arial"/>
          <w:sz w:val="18"/>
          <w:szCs w:val="18"/>
          <w:color w:val="auto"/>
        </w:rPr>
        <w:t>3 is hereby amended and restated to read as follows:</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Shares purchased by Exodus, and held in the Exodus Managed Account, and by the Subsidiaries were purchased with working capital (which may, at any given time, include margin loans made by brokerage firms in the ordinary course of business) in open market purchases, except as otherwise noted in Schedule B, which is incorporated herein by reference. The aggregate purchase price of the 3,721,409 Shares owned directly by Exodus is approximately $3,850,742, excluding brokerage commissions. The aggregate purchase price of the 271,982 Shares held in the Exodus Managed Account is approximately $292,783, excluding brokerage commissions. The aggregate purchase price of the 626,208 Shares held by the Subsidiaries is approximately $694,716, excluding brokerage commissions.</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Items 5(a)-(c) are hereby amended and restated to read as follows:</w:t>
      </w:r>
    </w:p>
    <w:p>
      <w:pPr>
        <w:spacing w:after="0" w:line="225" w:lineRule="exact"/>
        <w:rPr>
          <w:sz w:val="20"/>
          <w:szCs w:val="20"/>
          <w:color w:val="auto"/>
        </w:rPr>
      </w:pPr>
    </w:p>
    <w:p>
      <w:pPr>
        <w:jc w:val="both"/>
        <w:ind w:firstLine="1305"/>
        <w:spacing w:after="0" w:line="264" w:lineRule="auto"/>
        <w:tabs>
          <w:tab w:leader="none" w:pos="1918" w:val="left"/>
        </w:tabs>
        <w:numPr>
          <w:ilvl w:val="2"/>
          <w:numId w:val="4"/>
        </w:numPr>
        <w:rPr>
          <w:rFonts w:ascii="Arial" w:cs="Arial" w:eastAsia="Arial" w:hAnsi="Arial"/>
          <w:sz w:val="18"/>
          <w:szCs w:val="18"/>
          <w:color w:val="auto"/>
        </w:rPr>
      </w:pPr>
      <w:r>
        <w:rPr>
          <w:rFonts w:ascii="Arial" w:cs="Arial" w:eastAsia="Arial" w:hAnsi="Arial"/>
          <w:sz w:val="18"/>
          <w:szCs w:val="18"/>
          <w:color w:val="auto"/>
        </w:rPr>
        <w:t>The aggregate percentage of Shares reported owned by each person named herein is based upon 27,560,920 Shares outstanding, which is the total number of Shares outstanding as reported in the Issuer’s Annual Report on Form 20-F filed with the Securities and Exchange Commission on March 4, 2016. All ownership information reported in this Item 5 is as of the close of business on April 7, 2017.</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Exodus</w:t>
      </w:r>
    </w:p>
    <w:p>
      <w:pPr>
        <w:spacing w:after="0" w:line="225" w:lineRule="exact"/>
        <w:rPr>
          <w:rFonts w:ascii="Arial" w:cs="Arial" w:eastAsia="Arial" w:hAnsi="Arial"/>
          <w:sz w:val="18"/>
          <w:szCs w:val="18"/>
          <w:color w:val="auto"/>
        </w:rPr>
      </w:pPr>
    </w:p>
    <w:p>
      <w:pPr>
        <w:ind w:left="1300" w:right="6320" w:hanging="644"/>
        <w:spacing w:after="0" w:line="501"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Exodus directly beneficially owns 3,721,409 Shares. Percentage: Approximately 13.5%</w:t>
      </w: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2. Shared power to vote or direct vote: 3,721,409</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3. Sole power to dispose or direct the disposition: 0</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4. Shared power to dispose or direct the disposition: 3,721,409</w:t>
      </w:r>
    </w:p>
    <w:p>
      <w:pPr>
        <w:spacing w:after="0" w:line="210"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transactions in the Shares by Exodus since the filing of Amendment No. 4 to the Schedule 13D are set forth in Schedule B and are incorporated herein by reference.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Exodus GP</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As the general partner of Exodus, Exodus GP may be deemed to beneficially own the (i) 3,721,409 Shares beneficially owned by Exodus and (ii) 271,982 Shares held in the Exodus Managed Account.</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14.5%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CUSIP NO. M2239P 10 9</w:t>
      </w:r>
    </w:p>
    <w:p>
      <w:pPr>
        <w:spacing w:after="0" w:line="225" w:lineRule="exact"/>
        <w:rPr>
          <w:sz w:val="20"/>
          <w:szCs w:val="20"/>
          <w:color w:val="auto"/>
        </w:rPr>
      </w:pPr>
    </w:p>
    <w:p>
      <w:pPr>
        <w:ind w:left="1300" w:hanging="644"/>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power to vote or direct vote: 3,993,391</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3,993,391</w:t>
      </w:r>
    </w:p>
    <w:p>
      <w:pPr>
        <w:spacing w:after="0" w:line="21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Exodus GP has not entered into any transactions in the Shares since the filing of Amendment No. 4 to the Schedule 13D. The transactions in the Shares by Exodus and on behalf of the Exodus Managed Account since the filing of Amendment No. 4 to the Schedule 13D are set forth in Schedule B and are incorporated herein by reference.</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Phoenix</w:t>
      </w:r>
    </w:p>
    <w:p>
      <w:pPr>
        <w:spacing w:after="0" w:line="225" w:lineRule="exact"/>
        <w:rPr>
          <w:rFonts w:ascii="Arial" w:cs="Arial" w:eastAsia="Arial" w:hAnsi="Arial"/>
          <w:sz w:val="18"/>
          <w:szCs w:val="18"/>
          <w:color w:val="auto"/>
        </w:rPr>
      </w:pPr>
    </w:p>
    <w:p>
      <w:pPr>
        <w:ind w:left="1300" w:right="600" w:hanging="644"/>
        <w:spacing w:after="0" w:line="501"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Phoenix, as the majority owner of the Subsidiaries, may be deemed to beneficially own the 626,208 Shares held by the Subsidiaries. Percentage: Approximately 2.3%</w:t>
      </w:r>
    </w:p>
    <w:p>
      <w:pPr>
        <w:ind w:left="1300" w:hanging="644"/>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vote or direct vote: 626,208</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626,208</w:t>
      </w:r>
    </w:p>
    <w:p>
      <w:pPr>
        <w:spacing w:after="0" w:line="21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Phoenix has not entered into any transactions in the Shares since the filing of Amendment No. 4 to the Schedule 13D. The transactions in the Shares on behalf of the Subsidiaries since the filing of Amendment No. 4 to the Schedule 13D are set forth in Schedule B and are incorporated herein by reference.</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Delek</w:t>
      </w:r>
    </w:p>
    <w:p>
      <w:pPr>
        <w:spacing w:after="0" w:line="225" w:lineRule="exact"/>
        <w:rPr>
          <w:rFonts w:ascii="Arial" w:cs="Arial" w:eastAsia="Arial" w:hAnsi="Arial"/>
          <w:sz w:val="18"/>
          <w:szCs w:val="18"/>
          <w:color w:val="auto"/>
        </w:rPr>
      </w:pPr>
    </w:p>
    <w:p>
      <w:pPr>
        <w:ind w:left="1300" w:right="1320" w:hanging="644"/>
        <w:spacing w:after="0" w:line="501"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Delek, as the majority owner of Phoenix, may be deemed to beneficially own the 626,208 Shares held by the Subsidiaries. Percentage: Approximately 2.3%</w:t>
      </w:r>
    </w:p>
    <w:p>
      <w:pPr>
        <w:ind w:left="1300" w:hanging="644"/>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vote or direct vote: 626,208</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626,208</w:t>
      </w:r>
    </w:p>
    <w:p>
      <w:pPr>
        <w:spacing w:after="0" w:line="21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Delek has not entered into any transactions in the Shares since the filing of Amendment No. 4 to the Schedule 13D. The transactions in the Shares on behalf of the Subsidiaries since the filing of Amendment No. 4 to the Schedule 13D are set forth in Schedule B and are incorporated herein by reference.</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Tshuva</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Mr. Tshuva, as the majority of Delek’s outstanding share capital and voting rights, directly and indirectly, through private companies wholly owned by him, may be deemed to beneficially own the 626,208 Shares held by the Subsidiaries.</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CUSIP NO. M2239P 10 9</w:t>
      </w:r>
    </w:p>
    <w:p>
      <w:pPr>
        <w:spacing w:after="0" w:line="225" w:lineRule="exact"/>
        <w:rPr>
          <w:sz w:val="20"/>
          <w:szCs w:val="20"/>
          <w:color w:val="auto"/>
        </w:rPr>
      </w:pPr>
    </w:p>
    <w:p>
      <w:pPr>
        <w:ind w:left="1300" w:hanging="644"/>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vote or direct vote: 626,208</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626,208</w:t>
      </w:r>
    </w:p>
    <w:p>
      <w:pPr>
        <w:spacing w:after="0" w:line="21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Mr. Tshuva has not entered into any transactions in the Shares since the filing of Amendment No. 4 to the Schedule 13D. The transactions in the Shares on behalf of the Subsidiaries since the filing of Amendment No. 4 to the Schedule 13D are set forth in Schedule B and are incorporated herein by reference.</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Efrati</w:t>
      </w:r>
    </w:p>
    <w:p>
      <w:pPr>
        <w:spacing w:after="0" w:line="225" w:lineRule="exact"/>
        <w:rPr>
          <w:rFonts w:ascii="Arial" w:cs="Arial" w:eastAsia="Arial" w:hAnsi="Arial"/>
          <w:sz w:val="18"/>
          <w:szCs w:val="18"/>
          <w:color w:val="auto"/>
        </w:rPr>
      </w:pPr>
    </w:p>
    <w:p>
      <w:pPr>
        <w:jc w:val="both"/>
        <w:ind w:left="1300" w:right="20" w:hanging="644"/>
        <w:spacing w:after="0" w:line="31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Mr. Efrati as the portfolio manager of Exodus and because of that certain Power of Attorney Agreement between him and Phoenix granting him the power to vote and dispose of the Shares held in the Subsidiaries, may be deemed to beneficially own the: (i) 3,721,409 Shares owned by Exodus; (ii) 271,982 Shares held in the Exodus Managed Account; and (iii) 626,208 Shares held by the Subsidiaries.</w:t>
      </w:r>
    </w:p>
    <w:p>
      <w:pPr>
        <w:spacing w:after="0" w:line="1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Percentage: Approximately 16.8%</w:t>
      </w:r>
    </w:p>
    <w:p>
      <w:pPr>
        <w:spacing w:after="0" w:line="225" w:lineRule="exact"/>
        <w:rPr>
          <w:rFonts w:ascii="Arial" w:cs="Arial" w:eastAsia="Arial" w:hAnsi="Arial"/>
          <w:sz w:val="16"/>
          <w:szCs w:val="16"/>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vote or direct vote: 4,619,599</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4,619,599</w:t>
      </w:r>
    </w:p>
    <w:p>
      <w:pPr>
        <w:spacing w:after="0" w:line="21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Mr. Efrati has not entered into any transactions in the Shares since the filing of Amendment No. 4 to the Schedule 13D. The transactions in the Shares by Exodus and on behalf of the Exodus Managed Account and the Subsidiaries since the filing of Amendment No. 4 to the Schedule 13D are set forth in Schedule B and are incorporated herein by reference.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of the Subsidiaries operates under independent management and makes its own independent voting and investment decisions. The filing of this Schedule 13D shall not be construed as an admission that the Reporting Persons or Subsidiaries are, for purposes of Section 13(d) of the Securities Exchange Act of 1934, as amended, the beneficial owners of any of the securities reported herein. Each of the Reporting Persons and Subsidiaries specifically disclaims beneficial ownership of the securities reported herein that are not directly owned by such Reporting Person or Subsidiary, except to the extent of their pecuniary interest therein.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CUSIP NO. M2239P 10 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of his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10, 2017</w:t>
      </w:r>
    </w:p>
    <w:p>
      <w:pPr>
        <w:spacing w:after="0" w:line="200" w:lineRule="exact"/>
        <w:rPr>
          <w:sz w:val="20"/>
          <w:szCs w:val="20"/>
          <w:color w:val="auto"/>
        </w:rPr>
      </w:pPr>
    </w:p>
    <w:p>
      <w:pPr>
        <w:spacing w:after="0" w:line="24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EXODUS CAPITAL L.P.</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ind w:left="120"/>
              <w:spacing w:after="0"/>
              <w:rPr>
                <w:sz w:val="20"/>
                <w:szCs w:val="20"/>
                <w:color w:val="auto"/>
              </w:rPr>
            </w:pPr>
            <w:r>
              <w:rPr>
                <w:rFonts w:ascii="Arial" w:cs="Arial" w:eastAsia="Arial" w:hAnsi="Arial"/>
                <w:sz w:val="18"/>
                <w:szCs w:val="18"/>
                <w:color w:val="auto"/>
              </w:rPr>
              <w:t>Exodus Management Israel Ltd.</w:t>
            </w:r>
          </w:p>
        </w:tc>
      </w:tr>
      <w:tr>
        <w:trPr>
          <w:trHeight w:val="230"/>
        </w:trPr>
        <w:tc>
          <w:tcPr>
            <w:tcW w:w="46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Its General Partner</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Amir Efrati</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EXODUS MANAGEMENT ISRAEL LTD.</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Amir Efrati</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r>
        <w:trPr>
          <w:trHeight w:val="432"/>
        </w:trPr>
        <w:tc>
          <w:tcPr>
            <w:tcW w:w="5480" w:type="dxa"/>
            <w:vAlign w:val="bottom"/>
            <w:gridSpan w:val="3"/>
          </w:tcPr>
          <w:p>
            <w:pPr>
              <w:spacing w:after="0"/>
              <w:rPr>
                <w:sz w:val="20"/>
                <w:szCs w:val="20"/>
                <w:color w:val="auto"/>
              </w:rPr>
            </w:pPr>
            <w:r>
              <w:rPr>
                <w:rFonts w:ascii="Arial" w:cs="Arial" w:eastAsia="Arial" w:hAnsi="Arial"/>
                <w:sz w:val="18"/>
                <w:szCs w:val="18"/>
                <w:color w:val="auto"/>
              </w:rPr>
              <w:t>THE PHOENIX HOLDING LTD.</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Amir Efrati</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r>
        <w:trPr>
          <w:trHeight w:val="432"/>
        </w:trPr>
        <w:tc>
          <w:tcPr>
            <w:tcW w:w="5480" w:type="dxa"/>
            <w:vAlign w:val="bottom"/>
            <w:gridSpan w:val="3"/>
          </w:tcPr>
          <w:p>
            <w:pPr>
              <w:spacing w:after="0"/>
              <w:rPr>
                <w:sz w:val="20"/>
                <w:szCs w:val="20"/>
                <w:color w:val="auto"/>
              </w:rPr>
            </w:pPr>
            <w:r>
              <w:rPr>
                <w:rFonts w:ascii="Arial" w:cs="Arial" w:eastAsia="Arial" w:hAnsi="Arial"/>
                <w:sz w:val="18"/>
                <w:szCs w:val="18"/>
                <w:color w:val="auto"/>
              </w:rPr>
              <w:t>DELEK GROUP LTD.</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Amir Efrati</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Amir Efrati</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Amir Efrati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Individually, and as attorney-in-fact for Itshak Sharon (Tshuva)</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2520" w:type="dxa"/>
            <w:vAlign w:val="bottom"/>
            <w:gridSpan w:val="4"/>
          </w:tcPr>
          <w:p>
            <w:pPr>
              <w:spacing w:after="0"/>
              <w:rPr>
                <w:sz w:val="20"/>
                <w:szCs w:val="20"/>
                <w:color w:val="auto"/>
              </w:rPr>
            </w:pPr>
            <w:r>
              <w:rPr>
                <w:rFonts w:ascii="Arial" w:cs="Arial" w:eastAsia="Arial" w:hAnsi="Arial"/>
                <w:sz w:val="18"/>
                <w:szCs w:val="18"/>
                <w:color w:val="auto"/>
              </w:rPr>
              <w:t>CUSIP NO. M2239P 10 9</w:t>
            </w: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540"/>
        </w:trPr>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gridSpan w:val="6"/>
          </w:tcPr>
          <w:p>
            <w:pPr>
              <w:jc w:val="center"/>
              <w:ind w:right="2640"/>
              <w:spacing w:after="0"/>
              <w:rPr>
                <w:sz w:val="20"/>
                <w:szCs w:val="20"/>
                <w:color w:val="auto"/>
              </w:rPr>
            </w:pPr>
            <w:r>
              <w:rPr>
                <w:rFonts w:ascii="Arial" w:cs="Arial" w:eastAsia="Arial" w:hAnsi="Arial"/>
                <w:sz w:val="18"/>
                <w:szCs w:val="18"/>
                <w:b w:val="1"/>
                <w:bCs w:val="1"/>
                <w:color w:val="auto"/>
                <w:w w:val="99"/>
              </w:rPr>
              <w:t>SCHEDULE B</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92"/>
        </w:trPr>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b w:val="1"/>
                <w:bCs w:val="1"/>
                <w:color w:val="auto"/>
                <w:w w:val="89"/>
              </w:rPr>
              <w:t>Transaction in the Shares Since the Filing of Amendment No. 4 to the Schedule 13D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12"/>
        </w:trPr>
        <w:tc>
          <w:tcPr>
            <w:tcW w:w="660" w:type="dxa"/>
            <w:vAlign w:val="bottom"/>
          </w:tcPr>
          <w:p>
            <w:pPr>
              <w:spacing w:after="0"/>
              <w:rPr>
                <w:sz w:val="24"/>
                <w:szCs w:val="24"/>
                <w:color w:val="auto"/>
              </w:rPr>
            </w:pPr>
          </w:p>
        </w:tc>
        <w:tc>
          <w:tcPr>
            <w:tcW w:w="1860" w:type="dxa"/>
            <w:vAlign w:val="bottom"/>
            <w:gridSpan w:val="3"/>
          </w:tcPr>
          <w:p>
            <w:pPr>
              <w:spacing w:after="0"/>
              <w:rPr>
                <w:sz w:val="20"/>
                <w:szCs w:val="20"/>
                <w:color w:val="auto"/>
              </w:rPr>
            </w:pPr>
            <w:r>
              <w:rPr>
                <w:rFonts w:ascii="Arial" w:cs="Arial" w:eastAsia="Arial" w:hAnsi="Arial"/>
                <w:sz w:val="18"/>
                <w:szCs w:val="18"/>
                <w:color w:val="auto"/>
              </w:rPr>
              <w:t>Nature of Transaction</w:t>
            </w:r>
          </w:p>
        </w:tc>
        <w:tc>
          <w:tcPr>
            <w:tcW w:w="460" w:type="dxa"/>
            <w:vAlign w:val="bottom"/>
          </w:tcPr>
          <w:p>
            <w:pPr>
              <w:spacing w:after="0"/>
              <w:rPr>
                <w:sz w:val="24"/>
                <w:szCs w:val="24"/>
                <w:color w:val="auto"/>
              </w:rPr>
            </w:pPr>
          </w:p>
        </w:tc>
        <w:tc>
          <w:tcPr>
            <w:tcW w:w="2140" w:type="dxa"/>
            <w:vAlign w:val="bottom"/>
            <w:gridSpan w:val="4"/>
          </w:tcPr>
          <w:p>
            <w:pPr>
              <w:jc w:val="center"/>
              <w:ind w:left="410"/>
              <w:spacing w:after="0"/>
              <w:rPr>
                <w:sz w:val="20"/>
                <w:szCs w:val="20"/>
                <w:color w:val="auto"/>
              </w:rPr>
            </w:pPr>
            <w:r>
              <w:rPr>
                <w:rFonts w:ascii="Arial" w:cs="Arial" w:eastAsia="Arial" w:hAnsi="Arial"/>
                <w:sz w:val="18"/>
                <w:szCs w:val="18"/>
                <w:color w:val="auto"/>
                <w:w w:val="88"/>
              </w:rPr>
              <w:t>Date of Purchase/Sale</w:t>
            </w:r>
          </w:p>
        </w:tc>
        <w:tc>
          <w:tcPr>
            <w:tcW w:w="128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auto"/>
              </w:rPr>
              <w:t>Securities Purchased</w:t>
            </w:r>
          </w:p>
        </w:tc>
        <w:tc>
          <w:tcPr>
            <w:tcW w:w="2460" w:type="dxa"/>
            <w:vAlign w:val="bottom"/>
            <w:gridSpan w:val="4"/>
          </w:tcPr>
          <w:p>
            <w:pPr>
              <w:jc w:val="center"/>
              <w:ind w:right="380"/>
              <w:spacing w:after="0"/>
              <w:rPr>
                <w:sz w:val="20"/>
                <w:szCs w:val="20"/>
                <w:color w:val="auto"/>
              </w:rPr>
            </w:pPr>
            <w:r>
              <w:rPr>
                <w:rFonts w:ascii="Arial" w:cs="Arial" w:eastAsia="Arial" w:hAnsi="Arial"/>
                <w:sz w:val="18"/>
                <w:szCs w:val="18"/>
                <w:color w:val="auto"/>
                <w:w w:val="88"/>
              </w:rPr>
              <w:t>Price Per Share [U.S. cents]</w:t>
            </w:r>
          </w:p>
        </w:tc>
      </w:tr>
      <w:tr>
        <w:trPr>
          <w:trHeight w:val="20"/>
        </w:trPr>
        <w:tc>
          <w:tcPr>
            <w:tcW w:w="6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0" w:type="dxa"/>
            <w:vAlign w:val="bottom"/>
            <w:gridSpan w:val="8"/>
          </w:tcPr>
          <w:p>
            <w:pPr>
              <w:jc w:val="center"/>
              <w:ind w:right="2260"/>
              <w:spacing w:after="0"/>
              <w:rPr>
                <w:sz w:val="20"/>
                <w:szCs w:val="20"/>
                <w:color w:val="auto"/>
              </w:rPr>
            </w:pPr>
            <w:r>
              <w:rPr>
                <w:rFonts w:ascii="Arial" w:cs="Arial" w:eastAsia="Arial" w:hAnsi="Arial"/>
                <w:sz w:val="18"/>
                <w:szCs w:val="18"/>
                <w:b w:val="1"/>
                <w:bCs w:val="1"/>
                <w:color w:val="auto"/>
                <w:w w:val="98"/>
              </w:rPr>
              <w:t>EXODUS CAPITAL L.P.</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7"/>
        </w:trPr>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16"/>
        </w:trPr>
        <w:tc>
          <w:tcPr>
            <w:tcW w:w="25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3"/>
            <w:shd w:val="clear" w:color="auto" w:fill="CCEEFF"/>
          </w:tcPr>
          <w:p>
            <w:pPr>
              <w:jc w:val="center"/>
              <w:ind w:left="1210"/>
              <w:spacing w:after="0"/>
              <w:rPr>
                <w:sz w:val="20"/>
                <w:szCs w:val="20"/>
                <w:color w:val="auto"/>
              </w:rPr>
            </w:pPr>
            <w:r>
              <w:rPr>
                <w:rFonts w:ascii="Arial" w:cs="Arial" w:eastAsia="Arial" w:hAnsi="Arial"/>
                <w:sz w:val="18"/>
                <w:szCs w:val="18"/>
                <w:color w:val="auto"/>
                <w:w w:val="90"/>
              </w:rPr>
              <w:t>04/05/2017</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780" w:type="dxa"/>
            <w:vAlign w:val="bottom"/>
            <w:gridSpan w:val="3"/>
            <w:shd w:val="clear" w:color="auto" w:fill="CCEEFF"/>
          </w:tcPr>
          <w:p>
            <w:pPr>
              <w:jc w:val="center"/>
              <w:ind w:left="1190"/>
              <w:spacing w:after="0"/>
              <w:rPr>
                <w:sz w:val="20"/>
                <w:szCs w:val="20"/>
                <w:color w:val="auto"/>
              </w:rPr>
            </w:pPr>
            <w:r>
              <w:rPr>
                <w:rFonts w:ascii="Arial" w:cs="Arial" w:eastAsia="Arial" w:hAnsi="Arial"/>
                <w:sz w:val="18"/>
                <w:szCs w:val="18"/>
                <w:color w:val="auto"/>
                <w:w w:val="89"/>
              </w:rPr>
              <w:t>185,689</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103.56</w:t>
            </w:r>
          </w:p>
        </w:tc>
        <w:tc>
          <w:tcPr>
            <w:tcW w:w="420" w:type="dxa"/>
            <w:vAlign w:val="bottom"/>
            <w:shd w:val="clear" w:color="auto" w:fill="CCEEFF"/>
          </w:tcPr>
          <w:p>
            <w:pPr>
              <w:spacing w:after="0"/>
              <w:rPr>
                <w:sz w:val="18"/>
                <w:szCs w:val="18"/>
                <w:color w:val="auto"/>
              </w:rPr>
            </w:pPr>
          </w:p>
        </w:tc>
      </w:tr>
      <w:tr>
        <w:trPr>
          <w:trHeight w:val="230"/>
        </w:trPr>
        <w:tc>
          <w:tcPr>
            <w:tcW w:w="2520" w:type="dxa"/>
            <w:vAlign w:val="bottom"/>
            <w:gridSpan w:val="4"/>
          </w:tcPr>
          <w:p>
            <w:pPr>
              <w:ind w:left="100"/>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3"/>
          </w:tcPr>
          <w:p>
            <w:pPr>
              <w:jc w:val="center"/>
              <w:ind w:left="1210"/>
              <w:spacing w:after="0"/>
              <w:rPr>
                <w:sz w:val="20"/>
                <w:szCs w:val="20"/>
                <w:color w:val="auto"/>
              </w:rPr>
            </w:pPr>
            <w:r>
              <w:rPr>
                <w:rFonts w:ascii="Arial" w:cs="Arial" w:eastAsia="Arial" w:hAnsi="Arial"/>
                <w:sz w:val="18"/>
                <w:szCs w:val="18"/>
                <w:color w:val="auto"/>
                <w:w w:val="90"/>
              </w:rPr>
              <w:t>04/06/2017</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3"/>
          </w:tcPr>
          <w:p>
            <w:pPr>
              <w:jc w:val="center"/>
              <w:ind w:left="1190"/>
              <w:spacing w:after="0"/>
              <w:rPr>
                <w:sz w:val="20"/>
                <w:szCs w:val="20"/>
                <w:color w:val="auto"/>
              </w:rPr>
            </w:pPr>
            <w:r>
              <w:rPr>
                <w:rFonts w:ascii="Arial" w:cs="Arial" w:eastAsia="Arial" w:hAnsi="Arial"/>
                <w:sz w:val="18"/>
                <w:szCs w:val="18"/>
                <w:color w:val="auto"/>
                <w:w w:val="89"/>
              </w:rPr>
              <w:t>870,982</w:t>
            </w: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40" w:type="dxa"/>
            <w:vAlign w:val="bottom"/>
            <w:gridSpan w:val="3"/>
          </w:tcPr>
          <w:p>
            <w:pPr>
              <w:jc w:val="center"/>
              <w:spacing w:after="0"/>
              <w:rPr>
                <w:sz w:val="20"/>
                <w:szCs w:val="20"/>
                <w:color w:val="auto"/>
              </w:rPr>
            </w:pPr>
            <w:r>
              <w:rPr>
                <w:rFonts w:ascii="Arial" w:cs="Arial" w:eastAsia="Arial" w:hAnsi="Arial"/>
                <w:sz w:val="18"/>
                <w:szCs w:val="18"/>
                <w:color w:val="auto"/>
                <w:w w:val="90"/>
              </w:rPr>
              <w:t>103.00</w:t>
            </w:r>
          </w:p>
        </w:tc>
        <w:tc>
          <w:tcPr>
            <w:tcW w:w="420" w:type="dxa"/>
            <w:vAlign w:val="bottom"/>
          </w:tcPr>
          <w:p>
            <w:pPr>
              <w:spacing w:after="0"/>
              <w:rPr>
                <w:sz w:val="20"/>
                <w:szCs w:val="20"/>
                <w:color w:val="auto"/>
              </w:rPr>
            </w:pPr>
          </w:p>
        </w:tc>
      </w:tr>
      <w:tr>
        <w:trPr>
          <w:trHeight w:val="377"/>
        </w:trPr>
        <w:tc>
          <w:tcPr>
            <w:tcW w:w="660" w:type="dxa"/>
            <w:vAlign w:val="bottom"/>
          </w:tcPr>
          <w:p>
            <w:pPr>
              <w:spacing w:after="0"/>
              <w:rPr>
                <w:sz w:val="24"/>
                <w:szCs w:val="24"/>
                <w:color w:val="auto"/>
              </w:rPr>
            </w:pPr>
          </w:p>
        </w:tc>
        <w:tc>
          <w:tcPr>
            <w:tcW w:w="10760" w:type="dxa"/>
            <w:vAlign w:val="bottom"/>
            <w:gridSpan w:val="18"/>
          </w:tcPr>
          <w:p>
            <w:pPr>
              <w:jc w:val="center"/>
              <w:ind w:right="660"/>
              <w:spacing w:after="0"/>
              <w:rPr>
                <w:sz w:val="20"/>
                <w:szCs w:val="20"/>
                <w:color w:val="auto"/>
              </w:rPr>
            </w:pPr>
            <w:r>
              <w:rPr>
                <w:rFonts w:ascii="Arial" w:cs="Arial" w:eastAsia="Arial" w:hAnsi="Arial"/>
                <w:sz w:val="18"/>
                <w:szCs w:val="18"/>
                <w:b w:val="1"/>
                <w:bCs w:val="1"/>
                <w:color w:val="auto"/>
              </w:rPr>
              <w:t>EXODUS MANAGEMENT ISRAEL LTD. (THROUGH THE EXODUS MANAGED ACCOUNT)</w:t>
            </w:r>
          </w:p>
        </w:tc>
      </w:tr>
      <w:tr>
        <w:trPr>
          <w:trHeight w:val="237"/>
        </w:trPr>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16"/>
        </w:trPr>
        <w:tc>
          <w:tcPr>
            <w:tcW w:w="25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3"/>
            <w:shd w:val="clear" w:color="auto" w:fill="CCEEFF"/>
          </w:tcPr>
          <w:p>
            <w:pPr>
              <w:jc w:val="center"/>
              <w:ind w:left="1210"/>
              <w:spacing w:after="0"/>
              <w:rPr>
                <w:sz w:val="20"/>
                <w:szCs w:val="20"/>
                <w:color w:val="auto"/>
              </w:rPr>
            </w:pPr>
            <w:r>
              <w:rPr>
                <w:rFonts w:ascii="Arial" w:cs="Arial" w:eastAsia="Arial" w:hAnsi="Arial"/>
                <w:sz w:val="18"/>
                <w:szCs w:val="18"/>
                <w:color w:val="auto"/>
                <w:w w:val="90"/>
              </w:rPr>
              <w:t>04/06/2017</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780" w:type="dxa"/>
            <w:vAlign w:val="bottom"/>
            <w:gridSpan w:val="3"/>
            <w:shd w:val="clear" w:color="auto" w:fill="CCEEFF"/>
          </w:tcPr>
          <w:p>
            <w:pPr>
              <w:jc w:val="center"/>
              <w:ind w:left="1190"/>
              <w:spacing w:after="0"/>
              <w:rPr>
                <w:sz w:val="20"/>
                <w:szCs w:val="20"/>
                <w:color w:val="auto"/>
              </w:rPr>
            </w:pPr>
            <w:r>
              <w:rPr>
                <w:rFonts w:ascii="Arial" w:cs="Arial" w:eastAsia="Arial" w:hAnsi="Arial"/>
                <w:sz w:val="18"/>
                <w:szCs w:val="18"/>
                <w:color w:val="auto"/>
                <w:w w:val="90"/>
              </w:rPr>
              <w:t>71,465</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103.00</w:t>
            </w:r>
          </w:p>
        </w:tc>
        <w:tc>
          <w:tcPr>
            <w:tcW w:w="420" w:type="dxa"/>
            <w:vAlign w:val="bottom"/>
            <w:shd w:val="clear" w:color="auto" w:fill="CCEEFF"/>
          </w:tcPr>
          <w:p>
            <w:pPr>
              <w:spacing w:after="0"/>
              <w:rPr>
                <w:sz w:val="18"/>
                <w:szCs w:val="18"/>
                <w:color w:val="auto"/>
              </w:rPr>
            </w:pPr>
          </w:p>
        </w:tc>
      </w:tr>
      <w:tr>
        <w:trPr>
          <w:trHeight w:val="392"/>
        </w:trPr>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80" w:type="dxa"/>
            <w:vAlign w:val="bottom"/>
            <w:gridSpan w:val="10"/>
          </w:tcPr>
          <w:p>
            <w:pPr>
              <w:jc w:val="center"/>
              <w:ind w:right="520"/>
              <w:spacing w:after="0"/>
              <w:rPr>
                <w:sz w:val="20"/>
                <w:szCs w:val="20"/>
                <w:color w:val="auto"/>
              </w:rPr>
            </w:pPr>
            <w:r>
              <w:rPr>
                <w:rFonts w:ascii="Arial" w:cs="Arial" w:eastAsia="Arial" w:hAnsi="Arial"/>
                <w:sz w:val="18"/>
                <w:szCs w:val="18"/>
                <w:b w:val="1"/>
                <w:bCs w:val="1"/>
                <w:color w:val="auto"/>
              </w:rPr>
              <w:t>THE PHOENIX HOLDING LTD. (THROUGH THE SUBSIDIARIES)</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7"/>
        </w:trPr>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16"/>
        </w:trPr>
        <w:tc>
          <w:tcPr>
            <w:tcW w:w="25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Purchase of Ordinary Shares</w:t>
            </w:r>
          </w:p>
        </w:tc>
        <w:tc>
          <w:tcPr>
            <w:tcW w:w="2240" w:type="dxa"/>
            <w:vAlign w:val="bottom"/>
            <w:gridSpan w:val="3"/>
            <w:shd w:val="clear" w:color="auto" w:fill="CCEEFF"/>
          </w:tcPr>
          <w:p>
            <w:pPr>
              <w:jc w:val="center"/>
              <w:ind w:left="1210"/>
              <w:spacing w:after="0"/>
              <w:rPr>
                <w:sz w:val="20"/>
                <w:szCs w:val="20"/>
                <w:color w:val="auto"/>
              </w:rPr>
            </w:pPr>
            <w:r>
              <w:rPr>
                <w:rFonts w:ascii="Arial" w:cs="Arial" w:eastAsia="Arial" w:hAnsi="Arial"/>
                <w:sz w:val="18"/>
                <w:szCs w:val="18"/>
                <w:color w:val="auto"/>
                <w:w w:val="90"/>
              </w:rPr>
              <w:t>04/06/2017</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780" w:type="dxa"/>
            <w:vAlign w:val="bottom"/>
            <w:gridSpan w:val="3"/>
            <w:shd w:val="clear" w:color="auto" w:fill="CCEEFF"/>
          </w:tcPr>
          <w:p>
            <w:pPr>
              <w:jc w:val="center"/>
              <w:ind w:left="1190"/>
              <w:spacing w:after="0"/>
              <w:rPr>
                <w:sz w:val="20"/>
                <w:szCs w:val="20"/>
                <w:color w:val="auto"/>
              </w:rPr>
            </w:pPr>
            <w:r>
              <w:rPr>
                <w:rFonts w:ascii="Arial" w:cs="Arial" w:eastAsia="Arial" w:hAnsi="Arial"/>
                <w:sz w:val="18"/>
                <w:szCs w:val="18"/>
                <w:color w:val="auto"/>
                <w:w w:val="89"/>
              </w:rPr>
              <w:t>174,196</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103.00</w:t>
            </w:r>
          </w:p>
        </w:tc>
        <w:tc>
          <w:tcPr>
            <w:tcW w:w="420" w:type="dxa"/>
            <w:vAlign w:val="bottom"/>
            <w:shd w:val="clear" w:color="auto" w:fill="CCEEFF"/>
          </w:tcPr>
          <w:p>
            <w:pPr>
              <w:spacing w:after="0"/>
              <w:rPr>
                <w:sz w:val="18"/>
                <w:szCs w:val="18"/>
                <w:color w:val="auto"/>
              </w:rPr>
            </w:pPr>
          </w:p>
        </w:tc>
      </w:tr>
    </w:tbl>
    <w:p>
      <w:pPr>
        <w:spacing w:after="0" w:line="1" w:lineRule="exact"/>
        <w:rPr>
          <w:sz w:val="20"/>
          <w:szCs w:val="20"/>
          <w:color w:val="auto"/>
        </w:rPr>
      </w:pPr>
    </w:p>
    <w:sectPr>
      <w:pgSz w:w="11900" w:h="16838" w:orient="portrait"/>
      <w:cols w:equalWidth="0" w:num="1">
        <w:col w:w="11420"/>
      </w:cols>
      <w:pgMar w:left="240" w:top="2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decimal"/>
      <w:start w:val="14"/>
    </w:lvl>
  </w:abstractNum>
  <w:abstractNum w:abstractNumId="3">
    <w:nsid w:val="2EB141F2"/>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4">
    <w:nsid w:val="41B71EF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5">
    <w:nsid w:val="79E2A9E3"/>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2"/>
    </w:lvl>
  </w:abstractNum>
  <w:abstractNum w:abstractNumId="6">
    <w:nsid w:val="7545E146"/>
    <w:multiLevelType w:val="hybridMultilevel"/>
    <w:lvl w:ilvl="0">
      <w:lvlJc w:val="left"/>
      <w:lvlText w:val="%1."/>
      <w:numFmt w:val="upperLetter"/>
      <w:start w:val="3"/>
    </w:lvl>
    <w:lvl w:ilvl="1">
      <w:lvlJc w:val="left"/>
      <w:lvlText w:val="(%2)"/>
      <w:numFmt w:val="lowerLetter"/>
      <w:start w:val="1"/>
    </w:lvl>
    <w:lvl w:ilvl="2">
      <w:lvlJc w:val="left"/>
      <w:lvlText w:val="%3."/>
      <w:numFmt w:val="decimal"/>
      <w:start w:val="2"/>
    </w:lvl>
  </w:abstractNum>
  <w:abstractNum w:abstractNumId="7">
    <w:nsid w:val="515F007C"/>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2"/>
    </w:lvl>
  </w:abstractNum>
  <w:abstractNum w:abstractNumId="8">
    <w:nsid w:val="5BD062C2"/>
    <w:multiLevelType w:val="hybridMultilevel"/>
    <w:lvl w:ilvl="0">
      <w:lvlJc w:val="left"/>
      <w:lvlText w:val="%1."/>
      <w:numFmt w:val="upperLetter"/>
      <w:start w:val="6"/>
    </w:lvl>
    <w:lvl w:ilvl="1">
      <w:lvlJc w:val="left"/>
      <w:lvlText w:val="(%2)"/>
      <w:numFmt w:val="lowerLetter"/>
      <w:start w:val="1"/>
    </w:lvl>
    <w:lvl w:ilvl="2">
      <w:lvlJc w:val="left"/>
      <w:lvlText w:val="%3."/>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2019-12-07T19:28:49Z</dcterms:created>
  <dcterms:modified xsi:type="dcterms:W3CDTF">2019-12-07T19:28:49Z</dcterms:modified>
</cp:coreProperties>
</file>