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FARRELL PETER 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Arcturus Therapeutics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ARCT</w:t>
            </w: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w w:val="99"/>
              </w:rPr>
              <w:t>C/O ARCTURUS THERAPEUTICS HOLDINGS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08/19/2019</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10628 SCIENCE CENTER DRIVE, SUITE 250</w:t>
            </w: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gridSpan w:val="7"/>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140" w:type="dxa"/>
            <w:vAlign w:val="bottom"/>
            <w:tcBorders>
              <w:bottom w:val="single" w:sz="8" w:color="2C2C2C"/>
            </w:tcBorders>
            <w:gridSpan w:val="6"/>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jc w:val="center"/>
              <w:ind w:right="1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4"/>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80" w:type="dxa"/>
            <w:vAlign w:val="bottom"/>
            <w:gridSpan w:val="5"/>
            <w:vMerge w:val="restart"/>
          </w:tcPr>
          <w:p>
            <w:pPr>
              <w:ind w:left="780"/>
              <w:spacing w:after="0"/>
              <w:rPr>
                <w:sz w:val="20"/>
                <w:szCs w:val="20"/>
                <w:color w:val="auto"/>
              </w:rPr>
            </w:pPr>
            <w:r>
              <w:rPr>
                <w:rFonts w:ascii="Arial" w:cs="Arial" w:eastAsia="Arial" w:hAnsi="Arial"/>
                <w:sz w:val="18"/>
                <w:szCs w:val="18"/>
                <w:color w:val="0000FF"/>
                <w:w w:val="97"/>
              </w:rPr>
              <w:t>08/19/2019</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0000FF"/>
              </w:rPr>
              <w:t>4,681</w:t>
            </w:r>
          </w:p>
        </w:tc>
        <w:tc>
          <w:tcPr>
            <w:tcW w:w="160" w:type="dxa"/>
            <w:vAlign w:val="bottom"/>
          </w:tcPr>
          <w:p>
            <w:pPr>
              <w:spacing w:after="0"/>
              <w:rPr>
                <w:sz w:val="22"/>
                <w:szCs w:val="22"/>
                <w:color w:val="auto"/>
              </w:rPr>
            </w:pPr>
          </w:p>
        </w:tc>
        <w:tc>
          <w:tcPr>
            <w:tcW w:w="54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700" w:type="dxa"/>
            <w:vAlign w:val="bottom"/>
            <w:gridSpan w:val="4"/>
            <w:vMerge w:val="restart"/>
          </w:tcPr>
          <w:p>
            <w:pPr>
              <w:jc w:val="center"/>
              <w:ind w:right="5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11.02</w:t>
            </w: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38,523</w:t>
            </w:r>
          </w:p>
        </w:tc>
        <w:tc>
          <w:tcPr>
            <w:tcW w:w="960" w:type="dxa"/>
            <w:vAlign w:val="bottom"/>
            <w:vMerge w:val="restart"/>
          </w:tcPr>
          <w:p>
            <w:pPr>
              <w:jc w:val="center"/>
              <w:ind w:right="33"/>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80" w:type="dxa"/>
            <w:vAlign w:val="bottom"/>
            <w:gridSpan w:val="5"/>
            <w:vMerge w:val="restart"/>
          </w:tcPr>
          <w:p>
            <w:pPr>
              <w:ind w:left="780"/>
              <w:spacing w:after="0"/>
              <w:rPr>
                <w:sz w:val="20"/>
                <w:szCs w:val="20"/>
                <w:color w:val="auto"/>
              </w:rPr>
            </w:pPr>
            <w:r>
              <w:rPr>
                <w:rFonts w:ascii="Arial" w:cs="Arial" w:eastAsia="Arial" w:hAnsi="Arial"/>
                <w:sz w:val="18"/>
                <w:szCs w:val="18"/>
                <w:color w:val="0000FF"/>
                <w:w w:val="97"/>
              </w:rPr>
              <w:t>08/20/2019</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0000FF"/>
              </w:rPr>
              <w:t>4,432</w:t>
            </w:r>
          </w:p>
        </w:tc>
        <w:tc>
          <w:tcPr>
            <w:tcW w:w="160" w:type="dxa"/>
            <w:vAlign w:val="bottom"/>
          </w:tcPr>
          <w:p>
            <w:pPr>
              <w:spacing w:after="0"/>
              <w:rPr>
                <w:sz w:val="22"/>
                <w:szCs w:val="22"/>
                <w:color w:val="auto"/>
              </w:rPr>
            </w:pPr>
          </w:p>
        </w:tc>
        <w:tc>
          <w:tcPr>
            <w:tcW w:w="54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700" w:type="dxa"/>
            <w:vAlign w:val="bottom"/>
            <w:gridSpan w:val="4"/>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10.85</w:t>
            </w:r>
            <w:r>
              <w:rPr>
                <w:rFonts w:ascii="Arial" w:cs="Arial" w:eastAsia="Arial" w:hAnsi="Arial"/>
                <w:sz w:val="22"/>
                <w:szCs w:val="22"/>
                <w:color w:val="008000"/>
                <w:w w:val="82"/>
                <w:vertAlign w:val="superscript"/>
              </w:rPr>
              <w:t>(2)</w:t>
            </w: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42,955</w:t>
            </w:r>
          </w:p>
        </w:tc>
        <w:tc>
          <w:tcPr>
            <w:tcW w:w="960" w:type="dxa"/>
            <w:vAlign w:val="bottom"/>
            <w:vMerge w:val="restart"/>
          </w:tcPr>
          <w:p>
            <w:pPr>
              <w:jc w:val="center"/>
              <w:ind w:right="33"/>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0000FF"/>
              </w:rPr>
              <w:t>52,610</w:t>
            </w:r>
          </w:p>
        </w:tc>
        <w:tc>
          <w:tcPr>
            <w:tcW w:w="960" w:type="dxa"/>
            <w:vAlign w:val="bottom"/>
            <w:tcBorders>
              <w:top w:val="single" w:sz="8" w:color="2C2C2C"/>
            </w:tcBorders>
          </w:tcPr>
          <w:p>
            <w:pPr>
              <w:jc w:val="center"/>
              <w:ind w:right="33"/>
              <w:spacing w:after="0"/>
              <w:rPr>
                <w:sz w:val="20"/>
                <w:szCs w:val="20"/>
                <w:color w:val="auto"/>
              </w:rPr>
            </w:pPr>
            <w:r>
              <w:rPr>
                <w:rFonts w:ascii="Arial" w:cs="Arial" w:eastAsia="Arial" w:hAnsi="Arial"/>
                <w:sz w:val="18"/>
                <w:szCs w:val="18"/>
                <w:color w:val="0000FF"/>
              </w:rPr>
              <w:t>D</w:t>
            </w:r>
          </w:p>
        </w:tc>
        <w:tc>
          <w:tcPr>
            <w:tcW w:w="7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140" w:type="dxa"/>
            <w:vAlign w:val="bottom"/>
            <w:tcBorders>
              <w:bottom w:val="single" w:sz="8" w:color="2C2C2C"/>
            </w:tcBorders>
            <w:gridSpan w:val="6"/>
          </w:tcPr>
          <w:p>
            <w:pPr>
              <w:spacing w:after="0"/>
              <w:rPr>
                <w:sz w:val="8"/>
                <w:szCs w:val="8"/>
                <w:color w:val="auto"/>
              </w:rPr>
            </w:pPr>
          </w:p>
        </w:tc>
        <w:tc>
          <w:tcPr>
            <w:tcW w:w="9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8"/>
          </w:tcPr>
          <w:p>
            <w:pPr>
              <w:jc w:val="center"/>
              <w:ind w:righ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ind w:left="3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ind w:left="36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ind w:left="36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By Peter C. Farrell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4,100 shares were purchased at a price of $10.86 per share and 332 shares were purchased at a price of $10.72 per share.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Jeffrey Baumel, attorney-in- </w:t>
      </w:r>
      <w:r>
        <w:rPr>
          <w:rFonts w:ascii="Arial" w:cs="Arial" w:eastAsia="Arial" w:hAnsi="Arial"/>
          <w:sz w:val="34"/>
          <w:szCs w:val="34"/>
          <w:color w:val="0000FF"/>
          <w:vertAlign w:val="subscript"/>
        </w:rPr>
        <w:t>08/21/2019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 SEC FILINGS ON FORMS ID, 3, 4, 5, 144, SCHEDULES 13D and 13G</w:t>
      </w:r>
    </w:p>
    <w:p>
      <w:pPr>
        <w:jc w:val="center"/>
        <w:ind w:right="1879"/>
        <w:spacing w:after="0"/>
        <w:rPr>
          <w:sz w:val="20"/>
          <w:szCs w:val="20"/>
          <w:color w:val="auto"/>
        </w:rPr>
      </w:pPr>
      <w:r>
        <w:rPr>
          <w:rFonts w:ascii="Courier New" w:cs="Courier New" w:eastAsia="Courier New" w:hAnsi="Courier New"/>
          <w:sz w:val="18"/>
          <w:szCs w:val="18"/>
          <w:color w:val="auto"/>
        </w:rPr>
        <w:t>IN RESPECT OF SECURITIES 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ARCTURUS THERAPEUTICS HOLDINGS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Jeffrey Baumel and Ilan Katz as his or her true and lawful attorneys-in-fact and agents, each with full power of substitution and resubstitution for him or her in his or her name and stead in any and all capacities, to sign and file for and on his or her behalf, in respect of any acquisition, disposition or other change in ownership of any Common Stock or derivative securities thereof of Arcturus Therapeutics Holdings Inc. (the "Company"), the following:</w:t>
      </w:r>
    </w:p>
    <w:p>
      <w:pPr>
        <w:spacing w:after="0" w:line="211" w:lineRule="exact"/>
        <w:rPr>
          <w:sz w:val="20"/>
          <w:szCs w:val="20"/>
          <w:color w:val="auto"/>
        </w:rPr>
      </w:pPr>
    </w:p>
    <w:p>
      <w:pPr>
        <w:ind w:left="1280" w:right="1879" w:hanging="745"/>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ID to be filed with the Securities and Exchange Commission (the "SEC");</w:t>
      </w:r>
    </w:p>
    <w:p>
      <w:pPr>
        <w:spacing w:after="0" w:line="208" w:lineRule="exact"/>
        <w:rPr>
          <w:rFonts w:ascii="Courier New" w:cs="Courier New" w:eastAsia="Courier New" w:hAnsi="Courier New"/>
          <w:sz w:val="18"/>
          <w:szCs w:val="18"/>
          <w:color w:val="auto"/>
        </w:rPr>
      </w:pPr>
    </w:p>
    <w:p>
      <w:pPr>
        <w:ind w:left="1280" w:right="1879" w:hanging="745"/>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Statement of Beneficial Ownership of Securities on Form 3 to be filed with the SEC;</w:t>
      </w:r>
    </w:p>
    <w:p>
      <w:pPr>
        <w:spacing w:after="0" w:line="208" w:lineRule="exact"/>
        <w:rPr>
          <w:rFonts w:ascii="Courier New" w:cs="Courier New" w:eastAsia="Courier New" w:hAnsi="Courier New"/>
          <w:sz w:val="18"/>
          <w:szCs w:val="18"/>
          <w:color w:val="auto"/>
        </w:rPr>
      </w:pPr>
    </w:p>
    <w:p>
      <w:pPr>
        <w:ind w:left="1280" w:right="2099" w:hanging="745"/>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of Changes of Beneficial Ownership of Securities on Form 4 to be filed with the SEC;</w:t>
      </w:r>
    </w:p>
    <w:p>
      <w:pPr>
        <w:spacing w:after="0" w:line="208" w:lineRule="exact"/>
        <w:rPr>
          <w:rFonts w:ascii="Courier New" w:cs="Courier New" w:eastAsia="Courier New" w:hAnsi="Courier New"/>
          <w:sz w:val="18"/>
          <w:szCs w:val="18"/>
          <w:color w:val="auto"/>
        </w:rPr>
      </w:pPr>
    </w:p>
    <w:p>
      <w:pPr>
        <w:ind w:left="1280" w:right="1779" w:hanging="745"/>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Annual Statement of Beneficial Ownership of Securities on Form 5 to be filed with the SEC;</w:t>
      </w:r>
    </w:p>
    <w:p>
      <w:pPr>
        <w:spacing w:after="0" w:line="208" w:lineRule="exact"/>
        <w:rPr>
          <w:rFonts w:ascii="Courier New" w:cs="Courier New" w:eastAsia="Courier New" w:hAnsi="Courier New"/>
          <w:sz w:val="18"/>
          <w:szCs w:val="18"/>
          <w:color w:val="auto"/>
        </w:rPr>
      </w:pPr>
    </w:p>
    <w:p>
      <w:pPr>
        <w:ind w:left="1280" w:right="2099" w:hanging="745"/>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Proposed Sale of Securities on Form 144 to be filed with the SEC;</w:t>
      </w:r>
    </w:p>
    <w:p>
      <w:pPr>
        <w:spacing w:after="0" w:line="208" w:lineRule="exact"/>
        <w:rPr>
          <w:rFonts w:ascii="Courier New" w:cs="Courier New" w:eastAsia="Courier New" w:hAnsi="Courier New"/>
          <w:sz w:val="18"/>
          <w:szCs w:val="18"/>
          <w:color w:val="auto"/>
        </w:rPr>
      </w:pPr>
    </w:p>
    <w:p>
      <w:pPr>
        <w:ind w:left="1280" w:right="1879" w:hanging="745"/>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any other forms or reports the undersigned may be required to file in connection with the undersigned's ownership, acquisition or disposition of securities of the Company, including Schedules 13G and 13D; and</w:t>
      </w:r>
    </w:p>
    <w:p>
      <w:pPr>
        <w:spacing w:after="0" w:line="207" w:lineRule="exact"/>
        <w:rPr>
          <w:rFonts w:ascii="Courier New" w:cs="Courier New" w:eastAsia="Courier New" w:hAnsi="Courier New"/>
          <w:sz w:val="18"/>
          <w:szCs w:val="18"/>
          <w:color w:val="auto"/>
        </w:rPr>
      </w:pPr>
    </w:p>
    <w:p>
      <w:pPr>
        <w:ind w:left="1280" w:right="1779" w:hanging="745"/>
        <w:spacing w:after="0" w:line="238"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agreements, certificates, receipts, or other documents in connection therewith. The undersigned hereby gives full power and authority to each attorney-in-fact to seek and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each attorney-in-fact and agent full power and authority to do and perform each and every act and thing requisite and necessary in connection with such matters and hereby ratifies and confirms all that any such attorney-in-fact and agent or substitute may do or cause to be done by virtue hereof. The undersigned acknowledges that: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such attorney-in-fact assumes</w:t>
      </w:r>
    </w:p>
    <w:p>
      <w:pPr>
        <w:spacing w:after="0" w:line="4" w:lineRule="exact"/>
        <w:rPr>
          <w:rFonts w:ascii="Courier New" w:cs="Courier New" w:eastAsia="Courier New" w:hAnsi="Courier New"/>
          <w:sz w:val="18"/>
          <w:szCs w:val="18"/>
          <w:color w:val="auto"/>
        </w:rPr>
      </w:pPr>
    </w:p>
    <w:p>
      <w:pPr>
        <w:ind w:left="1700" w:right="1779" w:hanging="7"/>
        <w:spacing w:after="0" w:line="268" w:lineRule="auto"/>
        <w:tabs>
          <w:tab w:leader="none" w:pos="2121"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for the undersigned's responsibility to comply with the requirement of the Securities Exchange Act of 1934, as amended (the "Exchange Act"), (ii) any liability of the undersigned for any failure to comply with such requirements or</w:t>
      </w:r>
    </w:p>
    <w:p>
      <w:pPr>
        <w:ind w:left="1700" w:right="1879" w:hanging="7"/>
        <w:spacing w:after="0" w:line="290" w:lineRule="auto"/>
        <w:tabs>
          <w:tab w:leader="none" w:pos="2332"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 or liability of the undersigned for profit disgorgement under Section 16(b) of the Exchange Act; and</w:t>
      </w:r>
    </w:p>
    <w:p>
      <w:pPr>
        <w:spacing w:after="0" w:line="169" w:lineRule="exact"/>
        <w:rPr>
          <w:rFonts w:ascii="Courier New" w:cs="Courier New" w:eastAsia="Courier New" w:hAnsi="Courier New"/>
          <w:sz w:val="16"/>
          <w:szCs w:val="16"/>
          <w:color w:val="auto"/>
        </w:rPr>
      </w:pPr>
    </w:p>
    <w:p>
      <w:pPr>
        <w:ind w:left="1700" w:right="1779" w:hanging="533"/>
        <w:spacing w:after="0" w:line="237" w:lineRule="auto"/>
        <w:tabs>
          <w:tab w:leader="none" w:pos="1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until revoked by the undersigned in a signed writing delivered to such attorney-in-fact.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executed this Power of Attorney.</w:t>
      </w:r>
    </w:p>
    <w:p>
      <w:pPr>
        <w:sectPr>
          <w:pgSz w:w="11900" w:h="16838" w:orient="portrait"/>
          <w:cols w:equalWidth="0" w:num="1">
            <w:col w:w="10219"/>
          </w:cols>
          <w:pgMar w:left="240" w:top="136" w:right="144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Farrell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Peter Farrell</w:t>
      </w:r>
    </w:p>
    <w:p>
      <w:pPr>
        <w:sectPr>
          <w:pgSz w:w="11900" w:h="16838" w:orient="portrait"/>
          <w:cols w:equalWidth="0" w:num="3">
            <w:col w:w="540" w:space="200"/>
            <w:col w:w="2860" w:space="720"/>
            <w:col w:w="5899"/>
          </w:cols>
          <w:pgMar w:left="240" w:top="136" w:right="1440" w:bottom="149"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3">
    <w:nsid w:val="238E1F2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4">
    <w:nsid w:val="46E87CCD"/>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102"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2019-12-23T16:07:13Z</dcterms:created>
  <dcterms:modified xsi:type="dcterms:W3CDTF">2019-12-23T16:07:13Z</dcterms:modified>
</cp:coreProperties>
</file>