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3820" w:right="1580" w:hanging="3812"/>
        <w:spacing w:after="0" w:line="376"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-384810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8"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5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tbl>
      <w:tblPr>
        <w:tblLayout w:type="fixed"/>
        <w:tblInd w:w="1780" w:type="dxa"/>
        <w:tblCellMar>
          <w:top w:w="0" w:type="dxa"/>
          <w:left w:w="0" w:type="dxa"/>
          <w:bottom w:w="0" w:type="dxa"/>
          <w:right w:w="0" w:type="dxa"/>
        </w:tblCellMar>
      </w:tblPr>
      <w:tr>
        <w:trPr>
          <w:trHeight w:val="149"/>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91"/>
              </w:rPr>
              <w:t>Delaware</w:t>
            </w:r>
          </w:p>
        </w:tc>
        <w:tc>
          <w:tcPr>
            <w:tcW w:w="3020" w:type="dxa"/>
            <w:vAlign w:val="bottom"/>
          </w:tcPr>
          <w:p>
            <w:pPr>
              <w:jc w:val="right"/>
              <w:ind w:right="117"/>
              <w:spacing w:after="0"/>
              <w:rPr>
                <w:sz w:val="20"/>
                <w:szCs w:val="20"/>
                <w:color w:val="auto"/>
              </w:rPr>
            </w:pPr>
            <w:r>
              <w:rPr>
                <w:rFonts w:ascii="Arial" w:cs="Arial" w:eastAsia="Arial" w:hAnsi="Arial"/>
                <w:sz w:val="13"/>
                <w:szCs w:val="13"/>
                <w:b w:val="1"/>
                <w:bCs w:val="1"/>
                <w:color w:val="auto"/>
              </w:rPr>
              <w:t>32-0595345</w:t>
            </w:r>
          </w:p>
        </w:tc>
      </w:tr>
      <w:tr>
        <w:trPr>
          <w:trHeight w:val="135"/>
        </w:trPr>
        <w:tc>
          <w:tcPr>
            <w:tcW w:w="4120" w:type="dxa"/>
            <w:vAlign w:val="bottom"/>
          </w:tcPr>
          <w:p>
            <w:pPr>
              <w:jc w:val="center"/>
              <w:ind w:right="199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7"/>
              </w:rPr>
              <w:t>10628 Science Center Drive, Suite 250</w:t>
            </w:r>
          </w:p>
        </w:tc>
        <w:tc>
          <w:tcPr>
            <w:tcW w:w="3020" w:type="dxa"/>
            <w:vAlign w:val="bottom"/>
          </w:tcPr>
          <w:p>
            <w:pPr>
              <w:spacing w:after="0"/>
              <w:rPr>
                <w:sz w:val="20"/>
                <w:szCs w:val="20"/>
                <w:color w:val="auto"/>
              </w:rPr>
            </w:pPr>
          </w:p>
        </w:tc>
      </w:tr>
      <w:tr>
        <w:trPr>
          <w:trHeight w:val="135"/>
        </w:trPr>
        <w:tc>
          <w:tcPr>
            <w:tcW w:w="4120" w:type="dxa"/>
            <w:vAlign w:val="bottom"/>
          </w:tcPr>
          <w:p>
            <w:pPr>
              <w:jc w:val="center"/>
              <w:ind w:right="1977"/>
              <w:spacing w:after="0" w:line="135" w:lineRule="exact"/>
              <w:rPr>
                <w:sz w:val="20"/>
                <w:szCs w:val="20"/>
                <w:color w:val="auto"/>
              </w:rPr>
            </w:pPr>
            <w:r>
              <w:rPr>
                <w:rFonts w:ascii="Arial" w:cs="Arial" w:eastAsia="Arial" w:hAnsi="Arial"/>
                <w:sz w:val="13"/>
                <w:szCs w:val="13"/>
                <w:b w:val="1"/>
                <w:bCs w:val="1"/>
                <w:color w:val="auto"/>
                <w:w w:val="88"/>
              </w:rPr>
              <w:t>San Diego, California</w:t>
            </w:r>
          </w:p>
        </w:tc>
        <w:tc>
          <w:tcPr>
            <w:tcW w:w="302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92121</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90"/>
              </w:rPr>
              <w:t>(Zip Code)</w:t>
            </w:r>
          </w:p>
        </w:tc>
      </w:tr>
    </w:tbl>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ARCT</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216"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84" w:lineRule="exact"/>
        <w:rPr>
          <w:sz w:val="24"/>
          <w:szCs w:val="24"/>
          <w:color w:val="auto"/>
        </w:rPr>
      </w:pPr>
    </w:p>
    <w:p>
      <w:pPr>
        <w:ind w:right="100" w:firstLine="599"/>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27"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0" w:lineRule="exact"/>
        <w:rPr>
          <w:sz w:val="24"/>
          <w:szCs w:val="24"/>
          <w:color w:val="auto"/>
        </w:rPr>
      </w:pPr>
    </w:p>
    <w:p>
      <w:pPr>
        <w:ind w:left="600" w:right="204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May 6, 2020, the registrant had 19,892,287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20" w:type="dxa"/>
            <w:vAlign w:val="bottom"/>
            <w:vMerge w:val="restart"/>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vMerge w:val="continue"/>
          </w:tcPr>
          <w:p>
            <w:pPr>
              <w:spacing w:after="0"/>
              <w:rPr>
                <w:sz w:val="19"/>
                <w:szCs w:val="19"/>
                <w:color w:val="auto"/>
              </w:rPr>
            </w:pPr>
          </w:p>
        </w:tc>
        <w:tc>
          <w:tcPr>
            <w:tcW w:w="96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62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620" w:type="dxa"/>
            <w:vAlign w:val="bottom"/>
          </w:tcPr>
          <w:p>
            <w:pPr>
              <w:ind w:left="60"/>
              <w:spacing w:after="0"/>
              <w:rPr>
                <w:rFonts w:ascii="Arial" w:cs="Arial" w:eastAsia="Arial" w:hAnsi="Arial"/>
                <w:sz w:val="18"/>
                <w:szCs w:val="18"/>
                <w:u w:val="single" w:color="auto"/>
                <w:color w:val="0000EE"/>
                <w:w w:val="90"/>
              </w:rPr>
            </w:pPr>
            <w:hyperlink w:anchor="page4">
              <w:r>
                <w:rPr>
                  <w:rFonts w:ascii="Arial" w:cs="Arial" w:eastAsia="Arial" w:hAnsi="Arial"/>
                  <w:sz w:val="18"/>
                  <w:szCs w:val="18"/>
                  <w:u w:val="single" w:color="auto"/>
                  <w:color w:val="0000EE"/>
                  <w:w w:val="90"/>
                </w:rPr>
                <w:t>Condensed Consolidated Statements of Operations and Comprehensive Loss for the three months ended March 31,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620" w:type="dxa"/>
            <w:vAlign w:val="bottom"/>
          </w:tcPr>
          <w:p>
            <w:pPr>
              <w:ind w:left="60"/>
              <w:spacing w:after="0"/>
              <w:rPr>
                <w:rFonts w:ascii="Arial" w:cs="Arial" w:eastAsia="Arial" w:hAnsi="Arial"/>
                <w:sz w:val="18"/>
                <w:szCs w:val="18"/>
                <w:u w:val="single" w:color="auto"/>
                <w:color w:val="0000EE"/>
                <w:w w:val="94"/>
              </w:rPr>
            </w:pPr>
            <w:hyperlink w:anchor="page5">
              <w:r>
                <w:rPr>
                  <w:rFonts w:ascii="Arial" w:cs="Arial" w:eastAsia="Arial" w:hAnsi="Arial"/>
                  <w:sz w:val="18"/>
                  <w:szCs w:val="18"/>
                  <w:u w:val="single" w:color="auto"/>
                  <w:color w:val="0000EE"/>
                  <w:w w:val="94"/>
                </w:rPr>
                <w:t>Condensed Consolidated Statements of Changes in Stockholders’ Equity for the three months ended March 31,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62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three months ended March 31,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620" w:type="dxa"/>
            <w:vAlign w:val="bottom"/>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tcPr>
          <w:p>
            <w:pPr>
              <w:ind w:left="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tcPr>
          <w:p>
            <w:pPr>
              <w:ind w:left="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tcPr>
          <w:p>
            <w:pPr>
              <w:ind w:left="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20" w:type="dxa"/>
            <w:vAlign w:val="bottom"/>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620" w:type="dxa"/>
            <w:vAlign w:val="bottom"/>
          </w:tcPr>
          <w:p>
            <w:pPr>
              <w:ind w:left="6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62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620" w:type="dxa"/>
            <w:vAlign w:val="bottom"/>
          </w:tcPr>
          <w:p>
            <w:pPr>
              <w:ind w:left="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620" w:type="dxa"/>
            <w:vAlign w:val="bottom"/>
          </w:tcPr>
          <w:p>
            <w:pPr>
              <w:ind w:left="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30">
              <w:r>
                <w:rPr>
                  <w:rFonts w:ascii="Arial" w:cs="Arial" w:eastAsia="Arial" w:hAnsi="Arial"/>
                  <w:sz w:val="18"/>
                  <w:szCs w:val="18"/>
                  <w:u w:val="single" w:color="auto"/>
                  <w:color w:val="0000EE"/>
                  <w:w w:val="95"/>
                </w:rPr>
                <w:t>Signatures</w:t>
              </w:r>
            </w:hyperlink>
          </w:p>
        </w:tc>
        <w:tc>
          <w:tcPr>
            <w:tcW w:w="96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59,471</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72,104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3,779</w:t>
            </w:r>
          </w:p>
        </w:tc>
        <w:tc>
          <w:tcPr>
            <w:tcW w:w="18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55,122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30,000 shares authorized; 15,157 issued and</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March 31, 2020; $0.001 par value; 30,000 shares authorized,</w:t>
            </w: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15,138 issued and outstanding at December 31, 2019</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(81,445)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9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72,104</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left="340" w:right="1620"/>
        <w:spacing w:after="0" w:line="269"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6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7,917</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7,324</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12,108</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(9,462)</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9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(163)</w:t>
            </w:r>
          </w:p>
        </w:tc>
        <w:tc>
          <w:tcPr>
            <w:tcW w:w="5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Finance expense, net</w:t>
            </w:r>
          </w:p>
        </w:tc>
        <w:tc>
          <w:tcPr>
            <w:tcW w:w="9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(9,777)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94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560" w:type="dxa"/>
            <w:vAlign w:val="bottom"/>
            <w:tcBorders>
              <w:top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14,521</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Comprehensive loss: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(9,777)</w:t>
            </w: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6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short-term investments</w:t>
            </w:r>
          </w:p>
        </w:tc>
        <w:tc>
          <w:tcPr>
            <w:tcW w:w="9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(9,777)</w:t>
            </w: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2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 March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r>
      <w:tr>
        <w:trPr>
          <w:trHeight w:val="230"/>
        </w:trPr>
        <w:tc>
          <w:tcPr>
            <w:tcW w:w="4760" w:type="dxa"/>
            <w:vAlign w:val="bottom"/>
          </w:tcPr>
          <w:p>
            <w:pPr>
              <w:spacing w:after="0"/>
              <w:rPr>
                <w:sz w:val="19"/>
                <w:szCs w:val="19"/>
                <w:color w:val="auto"/>
              </w:rPr>
            </w:pPr>
          </w:p>
        </w:tc>
        <w:tc>
          <w:tcPr>
            <w:tcW w:w="2620" w:type="dxa"/>
            <w:vAlign w:val="bottom"/>
            <w:gridSpan w:val="5"/>
          </w:tcPr>
          <w:p>
            <w:pPr>
              <w:ind w:left="5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476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15,138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97,445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(71,668)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25,792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(9,777)</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(9,777)</w:t>
            </w: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98,412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(81,445)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7380" w:type="dxa"/>
            <w:vAlign w:val="bottom"/>
            <w:tcBorders>
              <w:bottom w:val="single" w:sz="8" w:color="auto"/>
            </w:tcBorders>
            <w:gridSpan w:val="6"/>
          </w:tcPr>
          <w:p>
            <w:pPr>
              <w:ind w:left="4120"/>
              <w:spacing w:after="0"/>
              <w:rPr>
                <w:sz w:val="20"/>
                <w:szCs w:val="20"/>
                <w:color w:val="auto"/>
              </w:rPr>
            </w:pPr>
            <w:r>
              <w:rPr>
                <w:rFonts w:ascii="Arial" w:cs="Arial" w:eastAsia="Arial" w:hAnsi="Arial"/>
                <w:sz w:val="18"/>
                <w:szCs w:val="18"/>
                <w:b w:val="1"/>
                <w:bCs w:val="1"/>
                <w:color w:val="auto"/>
              </w:rPr>
              <w:t>Three Months Ended March 31, 2019</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4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r>
      <w:tr>
        <w:trPr>
          <w:trHeight w:val="229"/>
        </w:trPr>
        <w:tc>
          <w:tcPr>
            <w:tcW w:w="4760" w:type="dxa"/>
            <w:vAlign w:val="bottom"/>
          </w:tcPr>
          <w:p>
            <w:pPr>
              <w:spacing w:after="0"/>
              <w:rPr>
                <w:sz w:val="19"/>
                <w:szCs w:val="19"/>
                <w:color w:val="auto"/>
              </w:rPr>
            </w:pPr>
          </w:p>
        </w:tc>
        <w:tc>
          <w:tcPr>
            <w:tcW w:w="2620" w:type="dxa"/>
            <w:vAlign w:val="bottom"/>
            <w:gridSpan w:val="5"/>
          </w:tcPr>
          <w:p>
            <w:pPr>
              <w:ind w:left="5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r>
      <w:tr>
        <w:trPr>
          <w:trHeight w:val="234"/>
        </w:trPr>
        <w:tc>
          <w:tcPr>
            <w:tcW w:w="476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10,762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58,302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(44,874)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(6,884)</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(6,884)</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Effect of adoption of ASU 2014-09</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(803)</w:t>
            </w: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 March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58,701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(52,561)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left="340" w:right="2620"/>
        <w:spacing w:after="0" w:line="254"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Three Months Ended March 31,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CFF0FC"/>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(9,777)</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(6,884)</w:t>
            </w: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Adjustments to reconcile net loss to net cash used in operating activities:</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Loss from equity-method investment</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(172)</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Prepaid expense and other assets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(1,179)</w:t>
            </w:r>
          </w:p>
        </w:tc>
        <w:tc>
          <w:tcPr>
            <w:tcW w:w="9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(2,276)</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(2,060)</w:t>
            </w: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(1,668)</w:t>
            </w: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FF0FC"/>
          </w:tcPr>
          <w:p>
            <w:pPr>
              <w:spacing w:after="0"/>
              <w:rPr>
                <w:sz w:val="19"/>
                <w:szCs w:val="19"/>
                <w:color w:val="auto"/>
              </w:rPr>
            </w:pPr>
          </w:p>
        </w:tc>
      </w:tr>
      <w:tr>
        <w:trPr>
          <w:trHeight w:val="223"/>
        </w:trPr>
        <w:tc>
          <w:tcPr>
            <w:tcW w:w="6940" w:type="dxa"/>
            <w:vAlign w:val="bottom"/>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(11,858)</w:t>
            </w: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(5,411)</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9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23"/>
        </w:trPr>
        <w:tc>
          <w:tcPr>
            <w:tcW w:w="69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92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(11,882)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(5,489)</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9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71,460</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36,816</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9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59,578</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31,327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4"/>
        </w:trPr>
        <w:tc>
          <w:tcPr>
            <w:tcW w:w="6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3"/>
        </w:trPr>
        <w:tc>
          <w:tcPr>
            <w:tcW w:w="694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55"/>
        </w:trPr>
        <w:tc>
          <w:tcPr>
            <w:tcW w:w="694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8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228</w:t>
            </w:r>
          </w:p>
        </w:tc>
        <w:tc>
          <w:tcPr>
            <w:tcW w:w="28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182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182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left="340" w:right="262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6" w:lineRule="exact"/>
        <w:rPr>
          <w:sz w:val="20"/>
          <w:szCs w:val="20"/>
          <w:color w:val="auto"/>
        </w:rPr>
      </w:pPr>
    </w:p>
    <w:p>
      <w:pPr>
        <w:ind w:right="3400"/>
        <w:spacing w:after="0" w:line="378"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ind w:right="340" w:firstLine="510"/>
        <w:spacing w:after="0" w:line="259" w:lineRule="auto"/>
        <w:rPr>
          <w:sz w:val="20"/>
          <w:szCs w:val="20"/>
          <w:color w:val="auto"/>
        </w:rPr>
      </w:pPr>
      <w:r>
        <w:rPr>
          <w:rFonts w:ascii="Arial" w:cs="Arial" w:eastAsia="Arial" w:hAnsi="Arial"/>
          <w:sz w:val="18"/>
          <w:szCs w:val="18"/>
          <w:color w:val="auto"/>
        </w:rPr>
        <w:t>Arcturus Therapeutics Holdings Inc. (the “Company”) is a clinical-stage messenger RNA medicines company focused on the development of infectious disease vaccines utilizing our Self-Transcribing and Replicating RNA (“STARR”) technology and significant opportunities in liver and respiratory rare diseases. In addition to the Company’s internal messenger RNA (“mRNA”) platform, its proprietary lipid nanoparticle delivery system, LUNAR, may enable multiple nucleic acid medicines.</w:t>
      </w:r>
    </w:p>
    <w:p>
      <w:pPr>
        <w:spacing w:after="0" w:line="79"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In April 2020, the Company became a clinical stage Company when it announced that its Investigational New Drug (“IND”) application for a Phase 1b study in patients with ornithine transcarbamylase (“OTC”) deficiency was deemed allowed to proceed by the U.S. Food and Drug</w:t>
      </w:r>
    </w:p>
    <w:p>
      <w:pPr>
        <w:ind w:right="60"/>
        <w:spacing w:after="0" w:line="260" w:lineRule="auto"/>
        <w:rPr>
          <w:sz w:val="20"/>
          <w:szCs w:val="20"/>
          <w:color w:val="auto"/>
        </w:rPr>
      </w:pPr>
      <w:r>
        <w:rPr>
          <w:rFonts w:ascii="Arial" w:cs="Arial" w:eastAsia="Arial" w:hAnsi="Arial"/>
          <w:sz w:val="18"/>
          <w:szCs w:val="18"/>
          <w:color w:val="auto"/>
        </w:rPr>
        <w:t>Administration (“FDA”), and an additional Clinical Trial Application (“CTA”) for a Phase 1 study in healthy volunteers was approved by the New Zealand Medicines and Medical Devices Safety Authority.</w:t>
      </w:r>
    </w:p>
    <w:p>
      <w:pPr>
        <w:spacing w:after="0" w:line="77"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March 2020, the Company was awarded a grant (the “Grant”) from the Singapore Economic Development Board to support the co-development of a potential COVID-19 vaccine with the Duke-NUS Medical School. The grant provides for up to S$14.0 million (approximately US$10 million using the exchange rate on the date the grant was awarded) in grants to support the development of the vaccine. A portion of the Grant will be paid by the Economic Development Board in advance and the remainder of the Grant will be paid to the Company upon the achievement of certain milestones related to the progress of the development of the vaccine, as set forth in the award agreement. The Company has agreed to pay Duke-NUS Medical School a royalty based on annual net sales of the vaccine in markets or jurisdictions outside of Singapore.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financial statements for periods prior to June 17, 2019, the effective date of the Company’s Redomiciliation to the United States (as described in our annual report on Form 10-K for the year ended December 31, 2019), relate to our predecessor, Arcturus Therapeutics Ltd., and for the periods from and after June 17, 2019 relate to Arcturus Therapeutics Holdings Inc. Unless stated otherwise or the context otherwise requires, references to the “Company,” “Arcturus,” “we,” “our” and “us” mean Arcturus Therapeutics Holdings Inc. and its consolidated subsidiaries from and after the effective time of the Redomiciliation and, prior to that time Arcturus Therapeutics Ltd.</w:t>
      </w:r>
    </w:p>
    <w:p>
      <w:pPr>
        <w:spacing w:after="0" w:line="8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4"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2019.</w:t>
      </w:r>
    </w:p>
    <w:p>
      <w:pPr>
        <w:spacing w:after="0" w:line="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certain debt and equity instruments, the equity-method investment, share-based compensation, accruals for liabilities,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general and administration activities, and raising capital. The Company’s activities are subject to significant risks and uncertainties, including failing to secure additional funding before the Company achieves sustainable revenues and profit from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220" w:firstLine="510"/>
        <w:spacing w:after="0" w:line="263" w:lineRule="auto"/>
        <w:rPr>
          <w:sz w:val="20"/>
          <w:szCs w:val="20"/>
          <w:color w:val="auto"/>
        </w:rPr>
      </w:pPr>
      <w:r>
        <w:rPr>
          <w:rFonts w:ascii="Arial" w:cs="Arial" w:eastAsia="Arial" w:hAnsi="Arial"/>
          <w:sz w:val="18"/>
          <w:szCs w:val="18"/>
          <w:color w:val="auto"/>
        </w:rPr>
        <w:t>The Company is a clinical-stage bioscience company that is dependent on obtaining external equity and debt financings to fund its operations. Historically, the Company’s primary sources of financing have been through the sale of its securities, through issuance of debt and through collaboration agreements.</w:t>
      </w:r>
    </w:p>
    <w:p>
      <w:pPr>
        <w:spacing w:after="0" w:line="76"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As mentioned above, the Company was recently awarded a grant from the Singapore Economic Development Board of up to $10.0 million to support the co-development of a potential COVID-19 vaccine with the Duke-NUS Medical School, approximately $5.0 million of which was awarded during the quarter ended March 31, 2020 and subsequently received in April 2020. Additionally, in April 2020 the Company completed an underwritten public offering of 4,735,297 shares of common stock (including the underwriters’ overallotment option) at a price of $17.00 per share. The Company received net proceeds of approximately $75.5 million in the offering.</w:t>
      </w:r>
    </w:p>
    <w:p>
      <w:pPr>
        <w:spacing w:after="0" w:line="8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In March 2020, the Company entered into an at-the-market Sales Agreement with Stifel, Nicolaus &amp; Company, Incorporated (the “ATM”). The ATM was terminated simultaneously with the consummation of the underwritten public offering in April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Effective January 1, 2019, the Company adopted </w:t>
      </w:r>
      <w:r>
        <w:rPr>
          <w:rFonts w:ascii="Arial" w:cs="Arial" w:eastAsia="Arial" w:hAnsi="Arial"/>
          <w:sz w:val="16"/>
          <w:szCs w:val="16"/>
          <w:i w:val="1"/>
          <w:iCs w:val="1"/>
          <w:color w:val="auto"/>
        </w:rPr>
        <w:t>Accounting Standards Update (“ASU”) 2014-09, Revenue from Contracts with Customers (Topic</w:t>
      </w:r>
    </w:p>
    <w:p>
      <w:pPr>
        <w:spacing w:after="0" w:line="46" w:lineRule="exact"/>
        <w:rPr>
          <w:sz w:val="20"/>
          <w:szCs w:val="20"/>
          <w:color w:val="auto"/>
        </w:rPr>
      </w:pPr>
    </w:p>
    <w:p>
      <w:pPr>
        <w:ind w:right="100" w:firstLine="8"/>
        <w:spacing w:after="0" w:line="271" w:lineRule="auto"/>
        <w:tabs>
          <w:tab w:leader="none" w:pos="375" w:val="left"/>
        </w:tabs>
        <w:numPr>
          <w:ilvl w:val="0"/>
          <w:numId w:val="3"/>
        </w:numPr>
        <w:rPr>
          <w:rFonts w:ascii="Arial" w:cs="Arial" w:eastAsia="Arial" w:hAnsi="Arial"/>
          <w:sz w:val="17"/>
          <w:szCs w:val="17"/>
          <w:i w:val="1"/>
          <w:iCs w:val="1"/>
          <w:color w:val="auto"/>
        </w:rPr>
      </w:pPr>
      <w:r>
        <w:rPr>
          <w:rFonts w:ascii="Arial" w:cs="Arial" w:eastAsia="Arial" w:hAnsi="Arial"/>
          <w:sz w:val="17"/>
          <w:szCs w:val="17"/>
          <w:color w:val="auto"/>
        </w:rPr>
        <w:t>(“Topic 606”), using the modified retrospective transition method. Topic 606 provides a unified model to determine how revenue is recognized and the 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0"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and reimbursement for research and development activities, option exercise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0"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specific details surrounding the Company’s collaboration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February 2016, the FASB issued ASU 2016-02, Leases (Topic 842), which requires lessees to recognize most leases on the balance sheet as lease liabilities with corresponding right-of-use assets and to disclose key information about leasing arrangements. The Company adopted Topic 842 on its effective date in the first quarter of 2019 using a modified retrospective approach. The Company elected the available package of practical expedients upon adoption, which allowed it to carry forward historical assessments of whether existing agreements contained a lease and the classification of existing operating leases.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8, Commitments and Contingences”</w:t>
      </w:r>
      <w:r>
        <w:rPr>
          <w:rFonts w:ascii="Arial" w:cs="Arial" w:eastAsia="Arial" w:hAnsi="Arial"/>
          <w:sz w:val="18"/>
          <w:szCs w:val="18"/>
          <w:color w:val="auto"/>
        </w:rPr>
        <w:t xml:space="preserve"> for specific details surrounding the Company’s leases.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preclinical studies and other external costs are shown net of any grants.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March 31, 2020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59,471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19"/>
                <w:szCs w:val="19"/>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shown in the statement of cash flows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59,578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31,327</w:t>
            </w:r>
          </w:p>
        </w:tc>
        <w:tc>
          <w:tcPr>
            <w:tcW w:w="80" w:type="dxa"/>
            <w:vAlign w:val="bottom"/>
            <w:shd w:val="clear" w:color="auto" w:fill="CFF0FC"/>
          </w:tcPr>
          <w:p>
            <w:pPr>
              <w:spacing w:after="0"/>
              <w:rPr>
                <w:sz w:val="20"/>
                <w:szCs w:val="20"/>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Collaboration Revenue</w:t>
      </w:r>
    </w:p>
    <w:p>
      <w:pPr>
        <w:spacing w:after="0" w:line="121"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I, II, and III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58"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The following table presents changes during the three months ended March 31, 2020 in the balances of contract assets, including receivables from collaborative partners, and contract liabilities, including deferred revenue, as compared to what was disclosed in the Company’s Annual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Contract Assets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8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Additions for revenue recognized from billings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Deductions for cash collections</w:t>
            </w:r>
          </w:p>
        </w:tc>
        <w:tc>
          <w:tcPr>
            <w:tcW w:w="2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BALANCE – March 31, 2020</w:t>
            </w:r>
          </w:p>
        </w:tc>
        <w:tc>
          <w:tcPr>
            <w:tcW w:w="28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8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Contract Liabilities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28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Additions for advanced billings</w:t>
            </w:r>
          </w:p>
        </w:tc>
        <w:tc>
          <w:tcPr>
            <w:tcW w:w="2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1"/>
              </w:rPr>
              <w:t>Deductions for promised goods/services provided in current period</w:t>
            </w:r>
          </w:p>
        </w:tc>
        <w:tc>
          <w:tcPr>
            <w:tcW w:w="2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BALANCE – March 31, 2020</w:t>
            </w:r>
          </w:p>
        </w:tc>
        <w:tc>
          <w:tcPr>
            <w:tcW w:w="28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860" w:type="dxa"/>
            <w:vAlign w:val="bottom"/>
            <w:vMerge w:val="restart"/>
          </w:tcPr>
          <w:p>
            <w:pPr>
              <w:jc w:val="right"/>
              <w:ind w:right="2650"/>
              <w:spacing w:after="0"/>
              <w:rPr>
                <w:sz w:val="20"/>
                <w:szCs w:val="20"/>
                <w:color w:val="auto"/>
              </w:rPr>
            </w:pPr>
            <w:r>
              <w:rPr>
                <w:rFonts w:ascii="Arial" w:cs="Arial" w:eastAsia="Arial" w:hAnsi="Arial"/>
                <w:sz w:val="18"/>
                <w:szCs w:val="18"/>
                <w:color w:val="auto"/>
                <w:w w:val="99"/>
              </w:rPr>
              <w:t>7</w:t>
            </w: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The following table summarizes the Company’s collaboration revenues for the periods indicated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20"/>
                <w:szCs w:val="20"/>
                <w:color w:val="auto"/>
              </w:rPr>
            </w:pPr>
          </w:p>
        </w:tc>
        <w:tc>
          <w:tcPr>
            <w:tcW w:w="1300" w:type="dxa"/>
            <w:vAlign w:val="bottom"/>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ind w:right="6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7"/>
        </w:trPr>
        <w:tc>
          <w:tcPr>
            <w:tcW w:w="6200" w:type="dxa"/>
            <w:vAlign w:val="bottom"/>
            <w:gridSpan w:val="2"/>
          </w:tcPr>
          <w:p>
            <w:pPr>
              <w:spacing w:after="0"/>
              <w:rPr>
                <w:sz w:val="20"/>
                <w:szCs w:val="20"/>
                <w:color w:val="auto"/>
              </w:rPr>
            </w:pPr>
            <w:r>
              <w:rPr>
                <w:rFonts w:ascii="Arial" w:cs="Arial" w:eastAsia="Arial" w:hAnsi="Arial"/>
                <w:sz w:val="18"/>
                <w:szCs w:val="18"/>
                <w:color w:val="auto"/>
              </w:rPr>
              <w:t>Collaboration Partner – Ultragenyx</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0"/>
                <w:szCs w:val="20"/>
                <w:color w:val="auto"/>
              </w:rPr>
            </w:pPr>
          </w:p>
        </w:tc>
      </w:tr>
      <w:tr>
        <w:trPr>
          <w:trHeight w:val="249"/>
        </w:trPr>
        <w:tc>
          <w:tcPr>
            <w:tcW w:w="6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FF0FC"/>
          </w:tcPr>
          <w:p>
            <w:pPr>
              <w:spacing w:after="0"/>
              <w:rPr>
                <w:sz w:val="21"/>
                <w:szCs w:val="21"/>
                <w:color w:val="auto"/>
              </w:rPr>
            </w:pPr>
          </w:p>
        </w:tc>
      </w:tr>
      <w:tr>
        <w:trPr>
          <w:trHeight w:val="237"/>
        </w:trPr>
        <w:tc>
          <w:tcPr>
            <w:tcW w:w="6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Collaboration Partner – Takeda and other</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CFF0FC"/>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FF0FC"/>
            </w:tcBorders>
          </w:tcPr>
          <w:p>
            <w:pPr>
              <w:spacing w:after="0"/>
              <w:rPr>
                <w:sz w:val="20"/>
                <w:szCs w:val="20"/>
                <w:color w:val="auto"/>
              </w:rPr>
            </w:pPr>
          </w:p>
        </w:tc>
      </w:tr>
      <w:tr>
        <w:trPr>
          <w:trHeight w:val="237"/>
        </w:trPr>
        <w:tc>
          <w:tcPr>
            <w:tcW w:w="6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paragraphs provide information regarding the nature and purpose of the Company’s most significant collaboration arrangements.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In October 2017, the Company entered into a research collaboration and license agreement with Janssen (the “2017 Agreement”). The 2017 Agreement allocated discovery, development, funding obligations, and ownership of related intellectual property among the Company and Janssen Pharmaceuticals, Inc. (“Janssen”). The Company received an upfront payment of $7.7 million and may receive preclinical, development and sales milestone payments of $56.5 million, as well as royalty payments on any future licensed product sales. Janssen began reimbursing the Company for research costs during the first quarter of 2019 upon the completion of the first of three research periods. Janssen may also pay option exercise fees within the $1.0 million to $5.0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2017 Agreement includes an exclusivity period.</w:t>
      </w:r>
    </w:p>
    <w:p>
      <w:pPr>
        <w:spacing w:after="0" w:line="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evaluating the 2017 Agreement in accordance with ASC Topic 606, the Company concluded that the contract counterparty, Janssen, is a customer. The Company identified the following promised goods/services as of the inception of the Agreement: (i) research services, (ii) license to use Arcturus technology and (iii) participation in the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70"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As of March 31, 2020, the remaining transaction price, consisting of upfront consideration received and budgeted reimbursable out-of-pocket costs, is expected to be recognized using an input method over the remaining research period of 30 months. None of the development and commercialization milestones were included in the transaction price, as all milestone amounts were not estimated to be met,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March 31, 2020 and December 31, 2019 for Janssen was $5.9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October 2015 the Company entered into a research collaboration and license agreement with Ultragenyx (the “Ultragenyx Agreement”), whereby Arcturus granted to Ultragenyx a co-exclusive license under Arcturus technology and shall be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this period.</w:t>
      </w:r>
    </w:p>
    <w:p>
      <w:pPr>
        <w:spacing w:after="0" w:line="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280"/>
        <w:spacing w:after="0" w:line="277" w:lineRule="auto"/>
        <w:rPr>
          <w:sz w:val="20"/>
          <w:szCs w:val="20"/>
          <w:color w:val="auto"/>
        </w:rPr>
      </w:pPr>
      <w:r>
        <w:rPr>
          <w:rFonts w:ascii="Arial" w:cs="Arial" w:eastAsia="Arial" w:hAnsi="Arial"/>
          <w:sz w:val="18"/>
          <w:szCs w:val="18"/>
          <w:color w:val="auto"/>
        </w:rPr>
        <w:t>Company a one-time option exercise fee that increases based upon the number of development targets selected by Ultragenyx from $0.5 million to $1.5 million.</w:t>
      </w:r>
    </w:p>
    <w:p>
      <w:pPr>
        <w:spacing w:after="0" w:line="62"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March 31, 2020 are $138.0 million. Ultragenyx will pay royalties as a single-digit percentage of net sales on a product-by-product and country-by-country basis during the applicable royalty term. As of March 31, 2020, Ultragenyx has not yet reached the clinical phase of the contract.</w:t>
      </w:r>
    </w:p>
    <w:p>
      <w:pPr>
        <w:spacing w:after="0" w:line="5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the option to purchase 0.6 million additional shares of common stock at $16 per share within two years of executing the amendment (Note 6).</w:t>
      </w:r>
    </w:p>
    <w:p>
      <w:pPr>
        <w:spacing w:after="0" w:line="80"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are restricted for up to two years (subject to reduction upon the exercise of the option).</w:t>
      </w:r>
    </w:p>
    <w:p>
      <w:pPr>
        <w:spacing w:after="0" w:line="8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options to select additional collaboration targets and to license rights to selected targets are not priced at a discount and therefore do not represent performance obligations for which the transaction price would be allocated.</w:t>
      </w:r>
    </w:p>
    <w:p>
      <w:pPr>
        <w:spacing w:after="0" w:line="69"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At March 31, 2020, the transaction price included the upfront consideration received,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Food and Drug Administration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7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and the Company recorded a cumulative catch-up adjustment of $1.1 million on the modification date. The transaction price will be recognized to revenue on a straight-line basis using an input method over the 4-year reserve target exclusivity period. The reserve target exclusivity period represents the timing over which promised goods/services will be provided. Total deferred revenue as of March 31, 2020 and December 31, 2019 from Ultragenyx was $11.8 million and $12.7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January 2018, the Company entered into a Development and Option Agreement with CureVac, (the “Development and Option Agreement”).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technology (the LUNAR platform)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 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(as defined below and discussed in the following paragraph) the license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 w:name="page12"/>
    <w:bookmarkEnd w:id="11"/>
    <w:p>
      <w:pPr>
        <w:ind w:right="80"/>
        <w:spacing w:after="0" w:line="263" w:lineRule="auto"/>
        <w:rPr>
          <w:sz w:val="20"/>
          <w:szCs w:val="20"/>
          <w:color w:val="auto"/>
        </w:rPr>
      </w:pPr>
      <w:r>
        <w:rPr>
          <w:rFonts w:ascii="Arial" w:cs="Arial" w:eastAsia="Arial" w:hAnsi="Arial"/>
          <w:sz w:val="18"/>
          <w:szCs w:val="18"/>
          <w:color w:val="auto"/>
        </w:rPr>
        <w:t>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76"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Prior to expiration of the initial term of 8 years (which was subsequently amended, as discussed below), the Agreement also includes an option to extend the term on an annual basis for up to 3 years, subject to payment by CureVac to Arcturus of a non-refundable annual extension fee. The agreement included potential milestone payments for selected targets from CureVac to the Company. The current potential milestone payments for the remaining targets as of March 31, 2020 is $14.0 million for rare disease targets and $23.0 million for non-rare disease targets. CureVac will pay royalties as a percentage of net sales on a product-by-product and country-by-country basis during the applicable royalty term in the low single-digit range. As of March 31, 2020, CureVac has not yet reached the clinical phase of the contract. Pursuant to a May 2018 amendment to the Development and Option Agreement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5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Concurrently with the Development and Option Agreement, the Company entered into a Co-Development and Co-Commercialization Agreement (the “Co-Development Agreement”) which the Company considered a combined contract with the Development and Option Agreement for purposes of revenue recognition. However, on February 11, 2019, the Company announced the termination of the obligations of CureVac for the preclinical development of ARCT-810, effective as of August 4, 2019 and the re-assumption by the Company of the worldwide rights thereto. As a result, Arcturus reassumed 100% global rights for clinical development candidate ARCT-810, a messenger RNA (mRNA) drug to treat ornithine transcarbamylase deficiency.</w:t>
      </w:r>
    </w:p>
    <w:p>
      <w:pPr>
        <w:spacing w:after="0" w:line="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to be reserved and licensed.</w:t>
      </w:r>
    </w:p>
    <w:p>
      <w:pPr>
        <w:spacing w:after="0" w:line="79"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auto"/>
        </w:rPr>
        <w:t>In connection with the July 2019 CureVac Amendment, the Company and CureVac also entered into a Termination Agreement (the “Termination Agreement”) terminating the January 1, 2018 Co-Development Agreement between the Company and CureVac. Pursuant to the Termination Agreement CureVac agreed to make a one-time payment to Arcturus in the amount of $4.0 million, which was made in July 2019.</w:t>
      </w:r>
    </w:p>
    <w:p>
      <w:pPr>
        <w:spacing w:after="0" w:line="5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58"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At March 31, 2020,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For the three months ended March 31, 2020, no adjustments were made to the transaction price.</w:t>
      </w:r>
    </w:p>
    <w:p>
      <w:pPr>
        <w:spacing w:after="0" w:line="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upfront consideration of $5.0 million was recorded as deferred revenue in the Company’s balance sheet upon receipt and is currently being recognized as revenue on a straight-line basis using an input method over the amended forty-six month contractual term as of March 31, 2020. As a result of Amendment 3, the Company recorded a cumulative catch up adjustment of $0.4 million on the modification date, July 26, 2019. Total deferred revenue as of March 31, 2020 and December 31, 2019 for CureVac was $3.0 million and $3.2 million, respectively. No adjustment was necessary upon adoption of Topic 606.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Other Collaboration Revenue</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remaining revenue from smaller collaboration agreements relates to the agreement with Millennium Pharmaceuticals, Inc., a wholly owned subsidiary of Takeda Pharmaceutical Company Limited (“Takeda”). Under the agreement with Takeda, the Company recognized $0.5 million related to amortization of an upfront payment during the first quarter of 2020 related to research and development activities. The current agreement was entered into on March 18, 2019 and is expected to be completed by the end of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60" w:firstLine="510"/>
        <w:spacing w:after="0" w:line="271"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8"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As of March 31, 2020 and December 31, 2019,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as of March 31, 2020 and December 31, 2019:</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080" w:type="dxa"/>
            <w:vAlign w:val="bottom"/>
            <w:gridSpan w:val="2"/>
          </w:tcPr>
          <w:p>
            <w:pPr>
              <w:ind w:left="11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1,344</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1,937</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w w:val="99"/>
              </w:rPr>
              <w:t>Property and equipment, net for the same periods consisted of the following:</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gridSpan w:val="2"/>
          </w:tcPr>
          <w:p>
            <w:pPr>
              <w:ind w:left="11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March 31, 2020</w:t>
            </w:r>
          </w:p>
        </w:tc>
        <w:tc>
          <w:tcPr>
            <w:tcW w:w="20" w:type="dxa"/>
            <w:vAlign w:val="bottom"/>
          </w:tcPr>
          <w:p>
            <w:pPr>
              <w:spacing w:after="0"/>
              <w:rPr>
                <w:sz w:val="24"/>
                <w:szCs w:val="24"/>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(2,363)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Depreciation and amortization expense was $0.2 million and $0.2 million for the three months ended March 31, 2020 and 2019,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Accrued liabilities consisted of the following as of March 31, 2020 and December 31, 2019:</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2020</w:t>
            </w:r>
          </w:p>
        </w:tc>
        <w:tc>
          <w:tcPr>
            <w:tcW w:w="180" w:type="dxa"/>
            <w:vAlign w:val="bottom"/>
          </w:tcPr>
          <w:p>
            <w:pPr>
              <w:spacing w:after="0"/>
              <w:rPr>
                <w:sz w:val="14"/>
                <w:szCs w:val="14"/>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1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Cystic Fibrosis Foundation Liability (Note 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research and development expenses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9,775</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October 12, 2018, the Company entered into a Loan and Security Agreement with Western Alliance Bank (the “Bank”), whereby the Company received $10.0 million under a long-term debt agreement (the “Loan”).</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100% of its consolidated, unrestricted cash, or $15 million, whichever is lower, with the Bank.</w:t>
      </w:r>
    </w:p>
    <w:p>
      <w:pPr>
        <w:spacing w:after="0" w:line="49"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On October 30, 2019, the Company and the Bank entered into a Third Amendment (the “Third Amendment”) to the Loan and Security Agreement dated as of October 12, 2018 (as amended, the “Loan Agreement”).</w:t>
      </w:r>
    </w:p>
    <w:p>
      <w:pPr>
        <w:spacing w:after="0" w:line="62" w:lineRule="exact"/>
        <w:rPr>
          <w:sz w:val="20"/>
          <w:szCs w:val="20"/>
          <w:color w:val="auto"/>
        </w:rPr>
      </w:pPr>
    </w:p>
    <w:p>
      <w:pPr>
        <w:ind w:right="260" w:firstLine="510"/>
        <w:spacing w:after="0" w:line="291" w:lineRule="auto"/>
        <w:rPr>
          <w:sz w:val="20"/>
          <w:szCs w:val="20"/>
          <w:color w:val="auto"/>
        </w:rPr>
      </w:pPr>
      <w:r>
        <w:rPr>
          <w:rFonts w:ascii="Arial" w:cs="Arial" w:eastAsia="Arial" w:hAnsi="Arial"/>
          <w:sz w:val="16"/>
          <w:szCs w:val="16"/>
          <w:color w:val="auto"/>
        </w:rPr>
        <w:t>Pursuant to the amendment, the Bank agreed to make a term loan to the Company on October 30, 2019, in the amount of $15 million (the “Term Loan”). The resulting net increase in the indebtedness of the Company was $5.0 million. The Term Loan bears interest at a floating rate ranging from</w:t>
      </w:r>
    </w:p>
    <w:p>
      <w:pPr>
        <w:ind w:right="220"/>
        <w:spacing w:after="0" w:line="260" w:lineRule="auto"/>
        <w:rPr>
          <w:sz w:val="20"/>
          <w:szCs w:val="20"/>
          <w:color w:val="auto"/>
        </w:rPr>
      </w:pPr>
      <w:r>
        <w:rPr>
          <w:rFonts w:ascii="Arial" w:cs="Arial" w:eastAsia="Arial" w:hAnsi="Arial"/>
          <w:sz w:val="18"/>
          <w:szCs w:val="18"/>
          <w:color w:val="auto"/>
        </w:rPr>
        <w:t>1.25% to 2.75% above the prime rate. The amendment further provides that the Term Loan has a maturity date of October 30, 2023. The Company shall make monthly payments of interest only until the interest-only end date of October 1, 2021.</w:t>
      </w:r>
    </w:p>
    <w:p>
      <w:pPr>
        <w:spacing w:after="0" w:line="7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Company paid a loan origination fee of $54,000 which was recorded as a debt discount along with the remaining loan origination fee from the Loan and is being accreted over the term of the Term Loan. In addition, the Company is required to pay a fee of $525,000 upon certain change of control events.</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Term Loan may be prepaid in full at any time, provided that a prepayment fee is required to be paid by the Company upon prepayment. The prepayment fee ranges from 0.50% to 2.00% of the prepaid principal amount depending upon the date on which the prepayment is made. In connection with the Third Amendment, the Company guaranteed the obligations under the Loan Agreement and pledged substantially all of its assets as security under the Loan Agreement.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Term Loan also includes covenants which includes the Company’s submission of a clinical candidate for IND application made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 by May 31, 2020 and have it accepted by June 30, 2020. This covenant has been satisfied.</w:t>
      </w:r>
    </w:p>
    <w:p>
      <w:pPr>
        <w:spacing w:after="0" w:line="103"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Upon maturity or prepayment (as previously discussed), the Company will be required to pay a 2% fee as a result of the FDA’s approval to proceed with the Company’s the LUNAR-OTC (ARCT-810) program based on its IND submission. Such fee is accreted to the debt balance using the effective interest method over the term of the Loan Agreement.</w:t>
      </w:r>
    </w:p>
    <w:p>
      <w:pPr>
        <w:spacing w:after="0" w:line="76"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Agreement. As of March 31, 2020, the Company was in compliance with all covenants under the Loan Agreement.</w:t>
      </w:r>
    </w:p>
    <w:p>
      <w:pPr>
        <w:spacing w:after="0" w:line="3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Principal payments, including the final payment due at repayment, on the long-term debt for fiscal years 2021, 2022 and 2023 are $4.0 million, $6.0 million and $5.5 million, respectively, with no principal payments due in 2020.</w:t>
      </w:r>
    </w:p>
    <w:p>
      <w:pPr>
        <w:spacing w:after="0" w:line="62"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Company recognized interest expense related to its long-term debt of $0.3 million and $0.2 million during the three months ended March 31, 2020 and 2019, respectively.</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Stockholders’ Equity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Common Shares</w:t>
      </w:r>
    </w:p>
    <w:p>
      <w:pPr>
        <w:spacing w:after="0" w:line="12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 xml:space="preserve">In March 2013, the founders of the Company purchased 2,783,686 shares of common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achieved; (3) 25% after a regulatory agency new drug application (such as an Investigational New Drug application) is filed and the study is allowed to proceed by the applicable regulatory agency; and (4) 25% after human biological proof-of-concept is achieved. The Company met the first two milestones during 2013 and 2014 leaving an unvested balance of 769,176 shares. In 2017, the stock purchase agreements were amended to clarify vesting conditions and also to accelerate the vesting of 146,510 shares resulting in a modification expense of $1,495,000. As of March 31, 2020 and 2019, there were 622,667 shares of common stock unvested and subject to the repurchase option. The Company met the third milestone during April 2020, and as of May 1, 2020, there were 311,333 shares of common stock currently unvested that are subject to the final repurchase option.</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Dilutive securities that were not included in the calculation of diluted net loss per share for the three months ended March 31, 2020 and 2019 as they were anti-dilutive totaled 316,957 and 67,051, respectively.</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For the quarters ended March 31, 2020 and 2019, the calculation of the weighted-average number of shares outstanding excludes unvested restricted shares of common stock of 622,667.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In August 2018, the Company adopted the 2018 Omnibus Equity Incentive Plan (“2018 Plan”). Under the 2018 Plan, the Company was authorized to issue up to a maximum of 1,100,000 shares of common stock pursuant to the exercise of incentive stock options or other awards provided for therein. In June 2019, the Company adopted the 2019 Omnibus Equity Incentive Plan (“2019 Plan”), which was ratified by stockholders at the Company’s 2019 annual meeting. Under the 2019 Plan, the Company is authorized to issue up to a maximum of 2,600,000 shares of common stock pursuant to the exercise of incentive stock options or other awards provided for therein. In connection with the Redomiciliation, all outstanding options to purchase shares in Arcturus Israel under the above described plans were exchanged for an option to purchase the same number of shares of the Company’s common stock under the 2019 Plan. Accordingly, as of March 31, 2020, a total of 353,332 shares remain available for future issuance under the 2019 Plan, and no further shares will be issued under the 2018 Plan.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Share-based compensation expenses included in the Company’s condensed statements of operations and comprehensive loss for the three months ended March 31, 2020 and 2019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Ended March 31,</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40" w:type="dxa"/>
            <w:vAlign w:val="bottom"/>
            <w:tcBorders>
              <w:bottom w:val="single" w:sz="8" w:color="CFF0FC"/>
            </w:tcBorders>
            <w:vMerge w:val="continue"/>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4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4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300" w:type="dxa"/>
            <w:vAlign w:val="bottom"/>
            <w:vMerge w:val="restart"/>
          </w:tcPr>
          <w:p>
            <w:pPr>
              <w:jc w:val="right"/>
              <w:ind w:right="151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00" w:firstLine="510"/>
        <w:spacing w:after="0" w:line="279" w:lineRule="auto"/>
        <w:rPr>
          <w:sz w:val="20"/>
          <w:szCs w:val="20"/>
          <w:color w:val="auto"/>
        </w:rPr>
      </w:pPr>
      <w:r>
        <w:rPr>
          <w:rFonts w:ascii="Arial" w:cs="Arial" w:eastAsia="Arial" w:hAnsi="Arial"/>
          <w:sz w:val="17"/>
          <w:szCs w:val="17"/>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 No tax benefit was provided for losses incurred in the United States because those losses are offset by a full valuation allowance.</w:t>
      </w:r>
    </w:p>
    <w:p>
      <w:pPr>
        <w:spacing w:after="0" w:line="63"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the three months ended March 31, 2020, the Company recorded income tax expense of $0 million. No tax benefit was provided for losses incurred in United States because those losses are offset by a full valuation allowance.</w:t>
      </w:r>
    </w:p>
    <w:p>
      <w:pPr>
        <w:spacing w:after="0" w:line="6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COVID-19. While the CARES Act provides sweeping tax changes in response to the COVID-19 pandemic, some of the more significant provisions which are expected to impact the Company’s financial statements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As of the quarter ended March 31, 2020 the Company has estimated that the impact of the CARES Act will be immaterial to its tax position. Due to the recent enactment of the CARES Act, the Company will continue to analyze the impact that the CARES Act will have in subsequent quarters on its financial position, results of operations or cash flows</w:t>
      </w:r>
      <w:r>
        <w:rPr>
          <w:rFonts w:ascii="Arial" w:cs="Arial" w:eastAsia="Arial" w:hAnsi="Arial"/>
          <w:sz w:val="9"/>
          <w:szCs w:val="9"/>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 Vaccine Development</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On March 4, 2020, the Company was awarded a grant (the “Grant”) from the Singapore Economic Development Board to support the co-development of a potential COVID-19 vaccine with the Duke-NUS Medical School. The Grant provides for up to S$14.0 million (approximately US$10 million using the March 2, 2020 exchange rate) in grants to support the development of the vaccine. A portion of the Grant will be paid by the Economic Development Board in advance and the remainder of the Grant will be paid to the Company upon the achievement of certain milestones related to the progress of the development of the vaccine, as set forth in the award agreement. The funds received will be recognized as contra research and development expense in proportion to the percentage covered by the Economic Development Board of the overall budget. The Company is liable for certain expenses during the program period and any unused funds are required to be repaid upon completion of the program. For the three months ended March 31, 2020, the Company recognized $0.5 million of contra expense.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and (iii) the related disbursement schedule from CFF to Arcturus was modified such that (a) $4.0 million was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Therapeutics, Inc. invoicing CFF to meet good manufacturing practices and opening an Investigational New Drug (“IND”) application. The funds received from CFF will be recognized as contra research and development expense in proportion to the percentage covered by CFF of the overall budget. For the three months ended March 31, 2020, the Company recognized $2.0 million of contra expense with $1.9 million remaining in accrued expenses.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6" w:name="page17"/>
    <w:bookmarkEnd w:id="16"/>
    <w:p>
      <w:pPr>
        <w:ind w:firstLine="510"/>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January 2020, the Company entered into a non-cancellable operating lease agreement for office space near its current headquarters. The commencement of the lease began in February 2020 and the lease extends for 13 months from the commencement date. In conjunction with the new lease, the Company received free rent for one month. The lease may be extended for one twelve-month period; however, the Company deemed the extension option not reasonably certain to be exercised and therefore excluded the option from the lease terms.</w:t>
      </w:r>
    </w:p>
    <w:p>
      <w:pPr>
        <w:spacing w:after="0" w:line="63"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the payments of the operating lease liability were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Remaining Lease Payments</w:t>
            </w: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9"/>
                <w:szCs w:val="19"/>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FF0FC"/>
          </w:tcPr>
          <w:p>
            <w:pPr>
              <w:spacing w:after="0"/>
              <w:rPr>
                <w:sz w:val="19"/>
                <w:szCs w:val="19"/>
                <w:color w:val="auto"/>
              </w:rPr>
            </w:pPr>
          </w:p>
        </w:tc>
      </w:tr>
      <w:tr>
        <w:trPr>
          <w:trHeight w:val="229"/>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remaining lease payments</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7,401</w:t>
            </w:r>
          </w:p>
        </w:tc>
        <w:tc>
          <w:tcPr>
            <w:tcW w:w="18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200" w:type="dxa"/>
            <w:vAlign w:val="bottom"/>
            <w:gridSpan w:val="2"/>
          </w:tcPr>
          <w:p>
            <w:pPr>
              <w:jc w:val="right"/>
              <w:ind w:right="120"/>
              <w:spacing w:after="0"/>
              <w:rPr>
                <w:sz w:val="20"/>
                <w:szCs w:val="20"/>
                <w:color w:val="auto"/>
              </w:rPr>
            </w:pPr>
            <w:r>
              <w:rPr>
                <w:rFonts w:ascii="Arial" w:cs="Arial" w:eastAsia="Arial" w:hAnsi="Arial"/>
                <w:sz w:val="18"/>
                <w:szCs w:val="18"/>
                <w:color w:val="auto"/>
              </w:rPr>
              <w:t>(1,298)</w:t>
            </w:r>
          </w:p>
        </w:tc>
      </w:tr>
      <w:tr>
        <w:trPr>
          <w:trHeight w:val="223"/>
        </w:trPr>
        <w:tc>
          <w:tcPr>
            <w:tcW w:w="77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6,103</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tcPr>
          <w:p>
            <w:pPr>
              <w:spacing w:after="0"/>
              <w:rPr>
                <w:sz w:val="19"/>
                <w:szCs w:val="19"/>
                <w:color w:val="auto"/>
              </w:rPr>
            </w:pP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4.7 years</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r>
    </w:tbl>
    <w:p>
      <w:pPr>
        <w:spacing w:after="0" w:line="202"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Operating lease costs consist of the fixed lease payments included in operating lease liability and are recorded on a straight-line basis over the lease terms. Operating lease costs were $0.4 million and $0.3 million for the three months ended March 31, 2020 and 2019, respectively.</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June 2019, Arcturus and Ultragenyx executed Amendment 3 to the Ultragenyx Agreement. In addition, as a result of the amended Ultragenyx Agreement, Ultragenyx owns 15.8% of the outstanding common stock of the Company as of March 31, 2020. Pursuant to the amended Ultragenyx Agreement, the Company also granted Ultragenyx a two-year option (the “Option”) to purchase up to 600,000 additional shares of common stock at a price of $16.00 per share. For the three months ended March 31, 2020 and 2019, the Company has recognized revenue of $0.9 million and $1.4 million. As of March 31, 2020 and 2019, the Company held accounts receivable balances of negligible amounts.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June 2018, the Company completed the sale of its intangible asset related to the ADAIR technology. Pursuant to the asset purchase agreement for ADAIR, the Company received a 30% ownership interest in the common stock of a privately held company in consideration for the sale of the ADAIR technology. The Company has no requirement to invest further in this private company. During the third quarter of 2019, the equity-method investee issued shares of its common stock at a share price greater than the initial investment which resulted in the Company recording a gain in its equity-method investment. The gain has been offset by additional losses incurred by the equity-method investee and calculated on a lag. For the three months ended March 31, 2020, the Company recorded a loss of $0.2 million. Subsequent to the equity-method investee issuing shares of its common stock, the Company’s ownership was reduced to 19%. As the Company continues to have the ability to exercise significant influence over the operating and financial policies of the investee, the Company will continue to account for the investment as an equity-method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Acceptance of Investigational New Drug Application for ARCT-810</w:t>
      </w:r>
    </w:p>
    <w:p>
      <w:pPr>
        <w:spacing w:after="0" w:line="11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In April 2020, the Company’s IND application for a Phase 1b study in patients with OTC deficiency was deemed allowed to proceed by the U.S. Food and Drug Administration, and an additional Clinical Trial Application for a Phase 1 study in healthy volunteers was approved by the New Zealand Medicines and Medical Devices Safety Authority.</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Public Offering of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discussion of underwritten public offering of common stock at Note 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10"/>
        <w:spacing w:after="0" w:line="218" w:lineRule="exact"/>
        <w:rPr>
          <w:sz w:val="20"/>
          <w:szCs w:val="20"/>
          <w:color w:val="auto"/>
        </w:rPr>
      </w:pPr>
      <w:r>
        <w:rPr>
          <w:rFonts w:ascii="Arial" w:cs="Arial" w:eastAsia="Arial" w:hAnsi="Arial"/>
          <w:sz w:val="17"/>
          <w:szCs w:val="17"/>
          <w:i w:val="1"/>
          <w:iCs w:val="1"/>
          <w:color w:val="auto"/>
        </w:rPr>
        <w:t>The following is a discussion of the financial condition and results of operations of Arcturus Therapeutics Holdings Inc. for the three-month period ended March 31, 2020. Unless otherwise specified herein, references to the “Company,” “Arcturus,” “we,” “our” and “us” mean Arcturus Therapeutics Holdings Inc. and its consolidated subsidiaries from and after the effective time of the Redomiciliation and, prior to that time, to our predecessor, Arcturus Therapeutics Ltd.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2019 (the “2019 Annual Report”), which was filed with the U.S. Securities and Exchange Commission (the “Commission”) on March 16, 2020. Unless otherwise defined herein, capitalized words and expressions used herein shall have the same meanings ascribed to them in the 2019 Annual Report.</w:t>
      </w:r>
    </w:p>
    <w:p>
      <w:pPr>
        <w:spacing w:after="0" w:line="9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76"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are a clinical-stage messenger RNA medicines company focused on the development of infectious disease vaccines utilizing our Self-Transcribing and Replicating RNA (“STARR”) technology and significant opportunities in liver and respiratory rare diseases. In addition to our internal mRNA platform, our proprietary lipid nanoparticle delivery system, LUNAR, may enable multiple nucleic acid medicines. The genetic medicines industry is constantly struggling to identify non-viral delivery solutions for large RNA molecules to different cell types. Our LUNAR delivery technology is lipid mediated – and non-viral. LUNAR is versatile, compatible with various types of RNA -- and has been shown to deliver large RNA to different cell types including liver hepatocytes, liver stellate cells, muscle cells (myocytes), and lung cells (including bronchial epithelial cells).</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Our company is subject to many of the risks common with an early-stage biotechnology company, including, but not limited to, dependence on key personnel, protection of proprietary technology and the ability to obtain future capital to fund ongoing operations and clinical development.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2019. Our historical results of operations and the year-to-year comparisons of our results of operations that follow are not necessarily indicative of future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8"/>
              </w:rPr>
              <w:t>2019 to 2020</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4,350</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Collaboration revenue decreased by $1.7 million during the three months ended March 31, 2020 as compared to the three months ended March 31, 2019. The decrease in collaboration revenue primarily relates to decreased revenue of $1.6 million from reimbursements from CureVac associated with the OTC collaboration that ended in the second quarter of 2019. The remaining $0.1 million decrease was due to decreases in revenue recognition for research and development funding from collaboration partners.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ind w:left="880"/>
              <w:spacing w:after="0"/>
              <w:rPr>
                <w:sz w:val="20"/>
                <w:szCs w:val="20"/>
                <w:color w:val="auto"/>
              </w:rPr>
            </w:pPr>
            <w:r>
              <w:rPr>
                <w:rFonts w:ascii="Arial" w:cs="Arial" w:eastAsia="Arial" w:hAnsi="Arial"/>
                <w:sz w:val="14"/>
                <w:szCs w:val="14"/>
                <w:b w:val="1"/>
                <w:bCs w:val="1"/>
                <w:color w:val="auto"/>
                <w:w w:val="98"/>
              </w:rPr>
              <w:t>2019 to 2020</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3"/>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108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7,917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7,324</w:t>
            </w:r>
          </w:p>
        </w:tc>
        <w:tc>
          <w:tcPr>
            <w:tcW w:w="24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8"/>
              </w:rPr>
              <w:t>2019 to 2020</w:t>
            </w: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4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10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External pipeline development expenses:</w:t>
            </w: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60" w:type="dxa"/>
            <w:vAlign w:val="bottom"/>
            <w:gridSpan w:val="2"/>
          </w:tcPr>
          <w:p>
            <w:pPr>
              <w:ind w:left="260"/>
              <w:spacing w:after="0"/>
              <w:rPr>
                <w:sz w:val="20"/>
                <w:szCs w:val="20"/>
                <w:color w:val="auto"/>
              </w:rPr>
            </w:pPr>
            <w:r>
              <w:rPr>
                <w:rFonts w:ascii="Arial" w:cs="Arial" w:eastAsia="Arial" w:hAnsi="Arial"/>
                <w:sz w:val="14"/>
                <w:szCs w:val="14"/>
                <w:color w:val="auto"/>
              </w:rPr>
              <w:t>LUNAR-OTC (ARCT-810)</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3,692</w:t>
            </w:r>
          </w:p>
        </w:tc>
        <w:tc>
          <w:tcPr>
            <w:tcW w:w="5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3,729</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(37)</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LUNAR-CF, net</w:t>
            </w: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62"/>
        </w:trPr>
        <w:tc>
          <w:tcPr>
            <w:tcW w:w="4760" w:type="dxa"/>
            <w:vAlign w:val="bottom"/>
            <w:gridSpan w:val="2"/>
          </w:tcPr>
          <w:p>
            <w:pPr>
              <w:ind w:left="260"/>
              <w:spacing w:after="0"/>
              <w:rPr>
                <w:sz w:val="20"/>
                <w:szCs w:val="20"/>
                <w:color w:val="auto"/>
              </w:rPr>
            </w:pPr>
            <w:r>
              <w:rPr>
                <w:rFonts w:ascii="Arial" w:cs="Arial" w:eastAsia="Arial" w:hAnsi="Arial"/>
                <w:sz w:val="14"/>
                <w:szCs w:val="14"/>
                <w:color w:val="auto"/>
              </w:rPr>
              <w:t>LUNAR-COVID, net</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Discovery technologies</w:t>
            </w: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(117)</w:t>
            </w: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2"/>
        </w:trPr>
        <w:tc>
          <w:tcPr>
            <w:tcW w:w="4760" w:type="dxa"/>
            <w:vAlign w:val="bottom"/>
            <w:gridSpan w:val="2"/>
          </w:tcPr>
          <w:p>
            <w:pPr>
              <w:spacing w:after="0"/>
              <w:rPr>
                <w:sz w:val="20"/>
                <w:szCs w:val="20"/>
                <w:color w:val="auto"/>
              </w:rPr>
            </w:pPr>
            <w:r>
              <w:rPr>
                <w:rFonts w:ascii="Arial" w:cs="Arial" w:eastAsia="Arial" w:hAnsi="Arial"/>
                <w:sz w:val="14"/>
                <w:szCs w:val="14"/>
                <w:color w:val="auto"/>
              </w:rPr>
              <w:t>External platform development expenses: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Partnered discovery technologies</w:t>
            </w:r>
          </w:p>
        </w:tc>
        <w:tc>
          <w:tcPr>
            <w:tcW w:w="3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56"/>
        </w:trPr>
        <w:tc>
          <w:tcPr>
            <w:tcW w:w="47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development expenses</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5,011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4,823</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gridSpan w:val="2"/>
          </w:tcPr>
          <w:p>
            <w:pPr>
              <w:jc w:val="right"/>
              <w:ind w:right="20"/>
              <w:spacing w:after="0" w:line="155"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5"/>
        </w:trPr>
        <w:tc>
          <w:tcPr>
            <w:tcW w:w="47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Personnel related expenses</w:t>
            </w:r>
          </w:p>
        </w:tc>
        <w:tc>
          <w:tcPr>
            <w:tcW w:w="3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2,203</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2,076</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127</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47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Facilities and equipment expenses</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24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37"/>
        </w:trPr>
        <w:tc>
          <w:tcPr>
            <w:tcW w:w="4760" w:type="dxa"/>
            <w:vAlign w:val="bottom"/>
            <w:gridSpan w:val="2"/>
            <w:shd w:val="clear" w:color="auto" w:fill="CFF0FC"/>
          </w:tcPr>
          <w:p>
            <w:pPr>
              <w:spacing w:after="0" w:line="137" w:lineRule="exact"/>
              <w:rPr>
                <w:sz w:val="20"/>
                <w:szCs w:val="20"/>
                <w:color w:val="auto"/>
              </w:rPr>
            </w:pPr>
            <w:r>
              <w:rPr>
                <w:rFonts w:ascii="Arial" w:cs="Arial" w:eastAsia="Arial" w:hAnsi="Arial"/>
                <w:sz w:val="14"/>
                <w:szCs w:val="14"/>
                <w:color w:val="auto"/>
              </w:rPr>
              <w:t>Total research and development</w:t>
            </w:r>
          </w:p>
        </w:tc>
        <w:tc>
          <w:tcPr>
            <w:tcW w:w="3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6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expenses, net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7,917</w:t>
            </w:r>
          </w:p>
        </w:tc>
        <w:tc>
          <w:tcPr>
            <w:tcW w:w="54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7,324</w:t>
            </w:r>
          </w:p>
        </w:tc>
        <w:tc>
          <w:tcPr>
            <w:tcW w:w="4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w:t>
            </w: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development expenses consist primarily of external manufacturing costs, in-vivo research studies performed by contract research organizations, clinical and regulatory consultants, and laboratory supplies related to conducting research and development activities.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The IND for our LUNAR-OTC (ARCT-810) program was deemed allowed to proceed by the FDA in April 2020. During the first quarter of 2019, we began ramping up the LUNAR-OTC program in preparation for IND submission. As our IND application was submitted near the end of the first quarter of 2020, the program costs remained relatively consistent for the three months ended March 31, 2020 as compared to 2019.</w:t>
      </w:r>
    </w:p>
    <w:p>
      <w:pPr>
        <w:spacing w:after="0" w:line="5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Lunar-CF expenses increased by $0.1 million, from $0.2 million for the three months ended March 31, 2019 to $0.3 million for the three months ended March 31, 2020. The current quarter amount was partially offset with funds awarded by the CFF. The increase in LUNAR-CF expenses during 2020 was due primarily to increased research and development cost incurred in association with the amendment to the CFF Agreement executed in July 2019, and we expect that our development efforts and associated costs will increase over the next year as the LUNAR-CF program moves toward expected IND submission in 2021.</w:t>
      </w:r>
    </w:p>
    <w:p>
      <w:pPr>
        <w:spacing w:after="0" w:line="80"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The LUNAR-COVID program was initiated in the first quarter of 2020 and generated $0.1 million of expenses. The program is expected to enter human clinical trials during the third quarter of 2020. This amount was partially offset with funds awarded by the Economic Development Board of Singapore. We expect that our development efforts and our portion of the costs to increase in the foreseeable future as we advance this program.</w:t>
      </w:r>
    </w:p>
    <w:p>
      <w:pPr>
        <w:spacing w:after="0" w:line="4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Discovery technologies represents our efforts to expand our product pipeline and are expected to continually increase over the near future. However, during the three months ended March 31, 2020 as compared to 2019, our costs decreased by $0.1 million, as we focused our efforts on the advancement of our LUNAR-OTC (ARCT-810) and LUNAR-COVID programs.</w:t>
      </w:r>
    </w:p>
    <w:p>
      <w:pPr>
        <w:spacing w:after="0" w:line="76"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Within our platform development expenses, our partnered discovery expenses with our current partners are expected to fluctuate based on the needs of our collaboration partners. During the three months ended March 31, 2020 as compared to the prior period in 2019, expenses increased by $0.1 million as a result of the stage of each program in which our collaboration partners are currently working.</w:t>
      </w:r>
    </w:p>
    <w:p>
      <w:pPr>
        <w:spacing w:after="0" w:line="76"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Personnel related expenses for the three months ended March 31, 2020 increased by $0.1 million as compared to 2019. This increase was associated with increased headcount necessary to advance our external pipeline and platform efforts. During the quarter ended March 31, 2020, the expense amount was offset by $0.8 million of funds received from CFF and $0.2 million of funds received from the Singapore Economic Development Board. We expect to continue to expand our headcount as our research and development activities expand.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420" w:firstLine="510"/>
        <w:spacing w:after="0" w:line="308" w:lineRule="auto"/>
        <w:rPr>
          <w:sz w:val="20"/>
          <w:szCs w:val="20"/>
          <w:color w:val="auto"/>
        </w:rPr>
      </w:pPr>
      <w:r>
        <w:rPr>
          <w:rFonts w:ascii="Arial" w:cs="Arial" w:eastAsia="Arial" w:hAnsi="Arial"/>
          <w:sz w:val="17"/>
          <w:szCs w:val="17"/>
          <w:color w:val="auto"/>
        </w:rPr>
        <w:t>Facilities and equipment expenses increased by $0.3 million during the three months ended March 31, 2020 as compared to 2019. The increase resulted primarily from higher rent and related costs associated with our second facility lease that we entered into in February 2020.</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General and administrative expenses for the three months ended March 31, 2020 as compared to the three months ended March 31, 2019 increased by $0.7 million. The increase resulted primarily from personnel expense due to increased headcount.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880"/>
              <w:spacing w:after="0"/>
              <w:rPr>
                <w:sz w:val="20"/>
                <w:szCs w:val="20"/>
                <w:color w:val="auto"/>
              </w:rPr>
            </w:pPr>
            <w:r>
              <w:rPr>
                <w:rFonts w:ascii="Arial" w:cs="Arial" w:eastAsia="Arial" w:hAnsi="Arial"/>
                <w:sz w:val="14"/>
                <w:szCs w:val="14"/>
                <w:b w:val="1"/>
                <w:bCs w:val="1"/>
                <w:color w:val="auto"/>
                <w:w w:val="98"/>
              </w:rPr>
              <w:t>2019 to 2020</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ind w:left="900"/>
              <w:spacing w:after="0"/>
              <w:rPr>
                <w:sz w:val="20"/>
                <w:szCs w:val="20"/>
                <w:color w:val="auto"/>
              </w:rPr>
            </w:pPr>
            <w:r>
              <w:rPr>
                <w:rFonts w:ascii="Arial" w:cs="Arial" w:eastAsia="Arial" w:hAnsi="Arial"/>
                <w:sz w:val="17"/>
                <w:szCs w:val="17"/>
                <w:color w:val="auto"/>
                <w:w w:val="72"/>
              </w:rPr>
              <w:t>(13)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7"/>
                <w:szCs w:val="17"/>
                <w:color w:val="auto"/>
                <w:w w:val="72"/>
              </w:rPr>
              <w:t>(64)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Interest income is generated on cash and cash equivalents, and decreased for the three months ended March 31, 2020 as compared to the prior year period as a result of reduced investments. Interest expense was incurred in conjunction with our Loan and Security Agreement with Western Alliance Bank, and increased for the three months ended March 31, 2020 as compared to the prior year period as a result of a $5.0 million increase in our long-term debt balance.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Through March 31, 2020,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5 for a summary of changes in the long-term debt position of the Company as of March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we have non-cancelable contractual obligations totaling approximately $7.4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are a clinical stage bioscience company that is dependent on obtaining external equity and debt financings to fund our operations. We expect to continue to incur losses and utilize significant cash resources until we successfully develop a new successful drug. Our ability to transition to become profitable in the near future is dependent on the success of our COVID-19 vaccine, and in later years mRNA drug or vaccine candidates for OTC deficiency, cystic fibrosis and other possible mRNA drugs or vaccine candidates that are currently in the initial phase of development</w:t>
      </w:r>
    </w:p>
    <w:p>
      <w:pPr>
        <w:spacing w:after="0" w:line="63" w:lineRule="exact"/>
        <w:rPr>
          <w:sz w:val="20"/>
          <w:szCs w:val="20"/>
          <w:color w:val="auto"/>
        </w:rPr>
      </w:pPr>
    </w:p>
    <w:p>
      <w:pPr>
        <w:jc w:val="both"/>
        <w:ind w:right="360" w:firstLine="510"/>
        <w:spacing w:after="0" w:line="311" w:lineRule="auto"/>
        <w:rPr>
          <w:sz w:val="20"/>
          <w:szCs w:val="20"/>
          <w:color w:val="auto"/>
        </w:rPr>
      </w:pPr>
      <w:r>
        <w:rPr>
          <w:rFonts w:ascii="Arial" w:cs="Arial" w:eastAsia="Arial" w:hAnsi="Arial"/>
          <w:sz w:val="16"/>
          <w:szCs w:val="16"/>
          <w:color w:val="auto"/>
        </w:rPr>
        <w:t>Historically, our major sources of cash have been comprised of proceeds from collaboration partners, various public and private offerings of our common stock, option and warrant exercises, and interest income. From inception through March 31, 2020, we raised approximately $210.4 million in gross proceeds from various public and private offerings of our common stock, debt issuances, collaboration agreements, and the merger with Alcobra.</w:t>
      </w:r>
    </w:p>
    <w:p>
      <w:pPr>
        <w:spacing w:after="0" w:line="4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As of March 31, 2020, we had approximately $59.6 million in cash, restricted cash and cash equivalents. During April 2020, the Company raised additional capital of approximately $75.5 million through an underwritten public offering. In addition, the Company has borrowed $15.0 million through its facility with Western Alliance Bank.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three months ended March 31, 2020 and 2019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8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(11,858)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510"/>
        <w:spacing w:after="0" w:line="265" w:lineRule="auto"/>
        <w:rPr>
          <w:sz w:val="20"/>
          <w:szCs w:val="20"/>
          <w:color w:val="auto"/>
        </w:rPr>
      </w:pPr>
      <w:r>
        <w:rPr>
          <w:rFonts w:ascii="Arial" w:cs="Arial" w:eastAsia="Arial" w:hAnsi="Arial"/>
          <w:sz w:val="18"/>
          <w:szCs w:val="18"/>
          <w:color w:val="auto"/>
        </w:rPr>
        <w:t>Our primary use of cash is to fund operating expenses, which consist mainly of research and development expenditures and general and administrative expenditures. We have incurred significant losses which have been partially offset by cash received through our collaboration agreements, equity offerings and 2017 merger. Cash received under the collaboration agreements can vary from year to year depending on the terms of the agreements and work performed. These changes in cash flows primarily relate to the timing of cash receipts for upfront payments, reimbursable expenses and achievement of milestones under these collaborative agreements.</w:t>
      </w:r>
    </w:p>
    <w:p>
      <w:pPr>
        <w:spacing w:after="0" w:line="8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Net cash used in operating activities was $11.9 million on a net loss of $9.8 million for the three months ended March 31, 2020, compared to net cash used of $5.4 million on a net loss of $6.9 million for the three months ended March 31, 2019. Adjustments for non-cash charges, including share-based compensation, depreciation and amortization, interest expense and loss from equity-method investment were $1.4 million and $1.1 million for the three months ended March 31, 2020 and 2019, respectively. Changes in working capital resulted in adjustments to operating net cash outflows of $3.5 million and inflows of $0.4 million for the three months ended March 31, 2020 and 2019, respectively, and were primarily driven by decreases in accounts payable and deferred revenue as well as increases in prepaid expenses and other assets partly offset by increases in accrued expenses for the three months ended March 31, 2020.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used in investing activities of $0.1 million for each of the three months ended March 31, 2020 and 2019, respectively, reflected cash used to purchase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2020 reflected proceeds from the exercise of stock options of $0.1 million. No cash was provided or used by financing activities for the three months ended March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2" w:name="page23"/>
    <w:bookmarkEnd w:id="22"/>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legal proceedings;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During April 2020, the Company raised additional capital of approximately $75.5 million through an underwritten public offering. In addition, the Company has borrowed $15 million through its facility with Western Alliance Bank.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prepare our condensed consolidated financial statements in conformity with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2019.</w:t>
      </w:r>
    </w:p>
    <w:p>
      <w:pPr>
        <w:spacing w:after="0" w:line="63" w:lineRule="exact"/>
        <w:rPr>
          <w:sz w:val="20"/>
          <w:szCs w:val="20"/>
          <w:color w:val="auto"/>
        </w:rPr>
      </w:pPr>
    </w:p>
    <w:p>
      <w:pPr>
        <w:ind w:right="20" w:firstLine="510"/>
        <w:spacing w:after="0" w:line="308" w:lineRule="auto"/>
        <w:rPr>
          <w:sz w:val="20"/>
          <w:szCs w:val="20"/>
          <w:color w:val="auto"/>
        </w:rPr>
      </w:pPr>
      <w:r>
        <w:rPr>
          <w:rFonts w:ascii="Arial" w:cs="Arial" w:eastAsia="Arial" w:hAnsi="Arial"/>
          <w:sz w:val="18"/>
          <w:szCs w:val="18"/>
          <w:color w:val="auto"/>
        </w:rPr>
        <w:t>The following are our significant accounting policies which we believe are the most critical to aid in fully understanding and evaluating our reported 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revenue under collaborative agreements</w:t>
      </w:r>
    </w:p>
    <w:p>
      <w:pPr>
        <w:spacing w:after="0" w:line="117"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We recognize collaboration revenue from several collaboration agreements. Our collaboration agreements typically contain promised goods and services, including technology licenses or options to obtain technology licenses, research and development services, and manufacturing services. Upon entering into a collaboration agreement, we are required to make the following judgements: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Identifying the performance obligations contained in the agreement</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assessment of what constitutes a separate performance obligation requires us to apply judgement. Specifically, we are required to identify which goods and services we are required to provide under the contract are distinct, if 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Determining the transaction price, including any variable consideration</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To determine the transaction price, we review the amount of consideration we are eligible to earn under the agreement. We do not typically include any payments we may receive in the future in our initial transaction price since the payments are typically not probable as they are contingent upon certain future events that are uncertain or out of our control.</w:t>
      </w:r>
    </w:p>
    <w:p>
      <w:pPr>
        <w:spacing w:after="0" w:line="7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We are required to reassess the total transaction price at each reporting period to determine if we should include additional payments that have become probable in the transaction price.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Allocating the transaction price to each of our performance obligations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we were to allocate the transaction price to more than one performance obligation, we would make estimates of the relative stand-alone selling price of each performance obligation, as it is not typical for us to sell our goods or services on a stand-alone basis. The estimate of the relative stand-alone selling price would require us to make significant judgements. To date, we have not entered into a collaboration agreement with more than one performance obligation.</w:t>
      </w:r>
    </w:p>
    <w:p>
      <w:pPr>
        <w:spacing w:after="0" w:line="79" w:lineRule="exact"/>
        <w:rPr>
          <w:sz w:val="20"/>
          <w:szCs w:val="20"/>
          <w:color w:val="auto"/>
        </w:rPr>
      </w:pPr>
    </w:p>
    <w:p>
      <w:pPr>
        <w:jc w:val="both"/>
        <w:ind w:right="540" w:firstLine="510"/>
        <w:spacing w:after="0" w:line="342" w:lineRule="auto"/>
        <w:rPr>
          <w:sz w:val="20"/>
          <w:szCs w:val="20"/>
          <w:color w:val="auto"/>
        </w:rPr>
      </w:pPr>
      <w:r>
        <w:rPr>
          <w:rFonts w:ascii="Arial" w:cs="Arial" w:eastAsia="Arial" w:hAnsi="Arial"/>
          <w:sz w:val="16"/>
          <w:szCs w:val="16"/>
          <w:color w:val="auto"/>
        </w:rPr>
        <w:t>The collaboration revenue we recognize each period is comprised of several types of revenue, including amortization from upfront payments, milestone payments, option exclusivity fees and other services. Each of these types of revenue require us to make various judgements and estimates.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Amortization from Upfront Payments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certain agreements, we recognize revenue from the amortization of upfront payments as we perform research and development services. We use an input method to estimate the amount of revenue to recognize each period. This method requires us to make estimates of the total costs we expect to incur in order to complete our promised research and development services or the total length of time it will take us to complete our promised research and development services. If we change our estimates, we may have to adjust our revenue.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When recognizing revenue related to milestone payments, we typically judge and estimate whether the milestone payment is probable (discussed in detail above under “Determining the transaction price, including any variable consideration”).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 xml:space="preserve">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 from the Singapore Economic Development Board which is discussed in this Quarterly Report </w:t>
      </w:r>
      <w:r>
        <w:rPr>
          <w:rFonts w:ascii="Arial" w:cs="Arial" w:eastAsia="Arial" w:hAnsi="Arial"/>
          <w:sz w:val="18"/>
          <w:szCs w:val="18"/>
          <w:color w:val="212529"/>
        </w:rPr>
        <w:t>in “Notes to Condensed Consolidated Financial Statements, Note 1.</w:t>
      </w:r>
      <w:r>
        <w:rPr>
          <w:rFonts w:ascii="Arial" w:cs="Arial" w:eastAsia="Arial" w:hAnsi="Arial"/>
          <w:sz w:val="18"/>
          <w:szCs w:val="18"/>
          <w:color w:val="auto"/>
        </w:rPr>
        <w:t xml:space="preserve"> </w:t>
      </w:r>
      <w:r>
        <w:rPr>
          <w:rFonts w:ascii="Arial" w:cs="Arial" w:eastAsia="Arial" w:hAnsi="Arial"/>
          <w:sz w:val="18"/>
          <w:szCs w:val="18"/>
          <w:color w:val="212529"/>
        </w:rPr>
        <w:t>Description of Business.” When deemed appropriate, we may manage our exposure to foreign exchange market risks through the use of derivative financial instruments. We may utilize such derivative financial instruments for hedging or risk management purposes. D</w:t>
      </w:r>
      <w:r>
        <w:rPr>
          <w:rFonts w:ascii="Arial" w:cs="Arial" w:eastAsia="Arial" w:hAnsi="Arial"/>
          <w:sz w:val="18"/>
          <w:szCs w:val="18"/>
          <w:color w:val="000000"/>
        </w:rPr>
        <w:t>ue to the nature of our cash and cash</w:t>
      </w:r>
      <w:r>
        <w:rPr>
          <w:rFonts w:ascii="Arial" w:cs="Arial" w:eastAsia="Arial" w:hAnsi="Arial"/>
          <w:sz w:val="18"/>
          <w:szCs w:val="18"/>
          <w:color w:val="212529"/>
        </w:rPr>
        <w:t xml:space="preserve"> </w:t>
      </w:r>
      <w:r>
        <w:rPr>
          <w:rFonts w:ascii="Arial" w:cs="Arial" w:eastAsia="Arial" w:hAnsi="Arial"/>
          <w:sz w:val="18"/>
          <w:szCs w:val="18"/>
          <w:color w:val="000000"/>
        </w:rPr>
        <w:t>equivalents and our evaluation of the potential impact of foreign currency exchange rates, we believe that we are not currently subject to any material market risk exposure.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2020, the Company’s disclosure controls and procedures were effective at the reasonable assurance level and we believe the condensed consolidated financial statements included in this Form 10-Q for the quarterly period ended March 31, 2020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On December 13, 2019, a former employee of the Company filed a complaint in San Diego County Superior Court, captioned </w:t>
      </w:r>
      <w:r>
        <w:rPr>
          <w:rFonts w:ascii="Arial" w:cs="Arial" w:eastAsia="Arial" w:hAnsi="Arial"/>
          <w:sz w:val="17"/>
          <w:szCs w:val="17"/>
          <w:i w:val="1"/>
          <w:iCs w:val="1"/>
          <w:color w:val="auto"/>
        </w:rPr>
        <w:t>Adonary Munoz v.</w:t>
      </w:r>
      <w:r>
        <w:rPr>
          <w:rFonts w:ascii="Arial" w:cs="Arial" w:eastAsia="Arial" w:hAnsi="Arial"/>
          <w:sz w:val="17"/>
          <w:szCs w:val="17"/>
          <w:color w:val="auto"/>
        </w:rPr>
        <w:t xml:space="preserve"> </w:t>
      </w:r>
      <w:r>
        <w:rPr>
          <w:rFonts w:ascii="Arial" w:cs="Arial" w:eastAsia="Arial" w:hAnsi="Arial"/>
          <w:sz w:val="17"/>
          <w:szCs w:val="17"/>
          <w:i w:val="1"/>
          <w:iCs w:val="1"/>
          <w:color w:val="auto"/>
        </w:rPr>
        <w:t>Arcturus Therapeutics, Inc., et al</w:t>
      </w:r>
      <w:r>
        <w:rPr>
          <w:rFonts w:ascii="Arial" w:cs="Arial" w:eastAsia="Arial" w:hAnsi="Arial"/>
          <w:sz w:val="17"/>
          <w:szCs w:val="17"/>
          <w:color w:val="auto"/>
        </w:rPr>
        <w:t>, Case No. 37-2019-00066358-CU-PO-CTL. The lawsuit alleges sexual assault by an acquaintance of one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seeks to hold the Company liable on a number of causes of action. On January 17, 2020, a second amended complaint (“SAC”) was filed seeking $30.0 million in damages, including punitive damages and damages for emotional distress. The plaintiff has agreed to stipulate to arbitration for the claims being alleged against the Company. The Company believes the allegations of Ms. Munoz against the Company in her complaint are without merit, and intends to vigorously defend itself in the foregoing action. However, in light of the preliminary stage of the litigation, the Company is unable to estimate a potential loss or range of losses relating to this matter.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Our business is subject to various risks, including those described in Item 1A of our Annual Report on Form 10-K for the fiscal year ended December 31, 2019, which we strongly encourage you to review. Other than as set forth below, there have been no material changes to the risk factors described in our Annual Report on Form 10-K for the year ended December 31, 2019 filed with the SEC on March 16, 2020.</w:t>
      </w:r>
    </w:p>
    <w:p>
      <w:pPr>
        <w:spacing w:after="0" w:line="273"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b w:val="1"/>
          <w:bCs w:val="1"/>
          <w:i w:val="1"/>
          <w:iCs w:val="1"/>
          <w:color w:val="auto"/>
        </w:rPr>
        <w:t>Our pursuit of a COVID-19 vaccine candidate is at an early stage. We may be unable to produce a vaccine that successfully prevents infection from the virus in a timely manner, if at all, and preliminary data may not be indicative of future success.</w:t>
      </w:r>
    </w:p>
    <w:p>
      <w:pPr>
        <w:spacing w:after="0" w:line="3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In response to the global outbreak of coronavirus, in March 2020, we entered into a partnership with Duke-NUS Medical School in Singapore to develop a novel coronavirus (COVID-19) vaccine for Singapore. Our development of the vaccine is in early stages, and we may be unable to produce a vaccine that successfully prevents infection from the virus in a timely manner, if at all. We are also committing financial resources and personnel to the development of a COVID-19 vaccine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if developed, may not be partially or fully effective. In addition, a substantial number of companies, individuals and institutions are working to develop a vaccine, many of which have substantially greater financial, scientific and other resources than us, and another party may be successful in producing a more efficacious vaccine or other treatment for COVID-19 which may also lead to the diversion of governmental and quasi-governmental funding away from us and toward other companies, and lead to demand being driven away from our product, even if developed. Finally, even though we may report preliminary pre-clinical or other data that could appear to be positive, no assurance can be given that any product candidate will be safe in humans or prove to be effective once trials commence. We will not be able to commercialize or market the product candidate unless and until we are able to demonstrate that our vaccine candidate is safe and effective in humans.</w:t>
      </w:r>
    </w:p>
    <w:p>
      <w:pPr>
        <w:spacing w:after="0" w:line="29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b w:val="1"/>
          <w:bCs w:val="1"/>
          <w:i w:val="1"/>
          <w:iCs w:val="1"/>
          <w:color w:val="auto"/>
        </w:rPr>
        <w:t>It is possible that one or more government entities may take actions that directly or indirectly have a negative effect on our opportunities. If we were to develop a COVID-19 vaccine, the economic value of such a vaccine to us could be limited.</w:t>
      </w:r>
    </w:p>
    <w:p>
      <w:pPr>
        <w:spacing w:after="0" w:line="6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295"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b w:val="1"/>
          <w:bCs w:val="1"/>
          <w:i w:val="1"/>
          <w:iCs w:val="1"/>
          <w:color w:val="auto"/>
        </w:rPr>
        <w:t>The recent coronavirus outbreak has caused interruptions or delays of our business plan and may have a significant adverse effect on our business.</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but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line="291" w:lineRule="auto"/>
        <w:rPr>
          <w:sz w:val="20"/>
          <w:szCs w:val="20"/>
          <w:color w:val="auto"/>
        </w:rPr>
      </w:pPr>
      <w:r>
        <w:rPr>
          <w:rFonts w:ascii="Arial" w:cs="Arial" w:eastAsia="Arial" w:hAnsi="Arial"/>
          <w:sz w:val="16"/>
          <w:szCs w:val="16"/>
          <w:color w:val="auto"/>
        </w:rPr>
        <w:t>Government-imposed quarantines and restrictions may also require us to temporarily terminate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5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300"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b w:val="1"/>
          <w:bCs w:val="1"/>
          <w:i w:val="1"/>
          <w:iCs w:val="1"/>
          <w:color w:val="auto"/>
        </w:rPr>
        <w:t>We intend to conduct foreign clinical trials (FCT) only for our pending COVID-19 vaccine. While costs of FCTs are significantly lower than the costs of an equivalent trial in the United States, there are risks associated with FCTs which may ultimately inhibit FDA approval.</w:t>
      </w:r>
    </w:p>
    <w:p>
      <w:pPr>
        <w:spacing w:after="0" w:line="16"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Costs associated with FCTs are significantly lower than the costs of equivalent trials in the United States. However, any clinical data from the FCT may not be adequate to support FDA approval without further preclinical studies, clinical trials, or both. Other companies have in the past encountered various problems with FCTs. The occurrence of any of these could have a material adverse effect on the ultimate path to FDA approval of any COVID-19 vaccine we may develop, which may negatively impact our financial condition and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20" w:type="dxa"/>
            <w:vAlign w:val="bottom"/>
            <w:gridSpan w:val="23"/>
          </w:tcPr>
          <w:p>
            <w:pPr>
              <w:ind w:left="8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980" w:type="dxa"/>
            <w:vAlign w:val="bottom"/>
            <w:gridSpan w:val="29"/>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63"/>
        </w:trPr>
        <w:tc>
          <w:tcPr>
            <w:tcW w:w="11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9960" w:type="dxa"/>
            <w:vAlign w:val="bottom"/>
            <w:tcBorders>
              <w:top w:val="single" w:sz="8" w:color="auto"/>
              <w:bottom w:val="single" w:sz="8" w:color="0000EE"/>
            </w:tcBorders>
            <w:gridSpan w:val="28"/>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Certificate of Incorporation (incorporated by reference to Annex B to the proxy statement/prospectus which forms part of the Registration</w:t>
              </w:r>
            </w:hyperlink>
          </w:p>
        </w:tc>
        <w:tc>
          <w:tcPr>
            <w:tcW w:w="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Statement on Form S-4 filed on March 18, 2019) (File No. 333-230353).</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140" w:type="dxa"/>
            <w:vAlign w:val="bottom"/>
          </w:tcPr>
          <w:p>
            <w:pPr>
              <w:ind w:left="1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80" w:type="dxa"/>
            <w:vAlign w:val="bottom"/>
            <w:gridSpan w:val="29"/>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Bylaws (incorporated by reference to Annex C to the proxy statement/prospectus which forms part of the Registration Statement on Form</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S-4 filed on March 18, 2019 (File No. 333-230353).</w:t>
              </w:r>
            </w:hyperlink>
          </w:p>
        </w:tc>
        <w:tc>
          <w:tcPr>
            <w:tcW w:w="6160" w:type="dxa"/>
            <w:vAlign w:val="bottom"/>
            <w:tcBorders>
              <w:top w:val="single" w:sz="8" w:color="0000EE"/>
            </w:tcBorders>
            <w:gridSpan w:val="20"/>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80" w:type="dxa"/>
            <w:vAlign w:val="bottom"/>
            <w:tcBorders>
              <w:bottom w:val="single" w:sz="8" w:color="0000EE"/>
            </w:tcBorders>
            <w:gridSpan w:val="29"/>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Agreement and Plan of Merger and Reorganization, by and between Alcobra Ltd., Aleph MergerSub, Inc. and Arcturus Therapeutics, Inc.,</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dated as of September 27, 2017. Incorporated by reference to Exhibit 99.2 to the Company’s Report of Foreign Private Issuer on Form 6-</w:t>
              </w:r>
            </w:hyperlink>
          </w:p>
        </w:tc>
        <w:tc>
          <w:tcPr>
            <w:tcW w:w="1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K filed on September 28, 2017 (File No. 001-35932).</w:t>
              </w:r>
            </w:hyperlink>
          </w:p>
        </w:tc>
        <w:tc>
          <w:tcPr>
            <w:tcW w:w="20" w:type="dxa"/>
            <w:vAlign w:val="bottom"/>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10.1†</w:t>
            </w:r>
          </w:p>
        </w:tc>
        <w:tc>
          <w:tcPr>
            <w:tcW w:w="9740" w:type="dxa"/>
            <w:vAlign w:val="bottom"/>
            <w:tcBorders>
              <w:bottom w:val="single" w:sz="8" w:color="0000EE"/>
            </w:tcBorders>
            <w:gridSpan w:val="19"/>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Form of Indemnification Agreement. Incorporated by reference to Exhibit 10.1to the Company’s Annual Report on Form 10-K for the</w:t>
              </w:r>
            </w:hyperlink>
          </w:p>
        </w:tc>
        <w:tc>
          <w:tcPr>
            <w:tcW w:w="2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year ended December 31, 2019 filed on March 16, 2020 (File No. 001-38942).</w:t>
              </w:r>
            </w:hyperlink>
          </w:p>
        </w:tc>
        <w:tc>
          <w:tcPr>
            <w:tcW w:w="432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10.2†</w:t>
            </w:r>
          </w:p>
        </w:tc>
        <w:tc>
          <w:tcPr>
            <w:tcW w:w="9980" w:type="dxa"/>
            <w:vAlign w:val="bottom"/>
            <w:gridSpan w:val="29"/>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2019 Omnibus Equity Incentive Plan. Incorporated by reference to Appendix A to the proxy statement filed on October 1, 2019 (File No.</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001-38942).</w:t>
              </w:r>
            </w:hyperlink>
          </w:p>
        </w:tc>
        <w:tc>
          <w:tcPr>
            <w:tcW w:w="32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gridSpan w:val="2"/>
          </w:tcPr>
          <w:p>
            <w:pPr>
              <w:ind w:left="180"/>
              <w:spacing w:after="0"/>
              <w:rPr>
                <w:sz w:val="20"/>
                <w:szCs w:val="20"/>
                <w:color w:val="auto"/>
              </w:rPr>
            </w:pPr>
            <w:r>
              <w:rPr>
                <w:rFonts w:ascii="Arial" w:cs="Arial" w:eastAsia="Arial" w:hAnsi="Arial"/>
                <w:sz w:val="18"/>
                <w:szCs w:val="18"/>
                <w:color w:val="auto"/>
              </w:rPr>
              <w:t>10.3†</w:t>
            </w: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4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29"/>
          </w:tcPr>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Exhibit 99.2 to the Company’s Report of Foreign Private Issuer on Form 6-K filed on July 27, 2018 (File No. 001-35932).</w:t>
              </w:r>
            </w:hyperlink>
          </w:p>
        </w:tc>
        <w:tc>
          <w:tcPr>
            <w:tcW w:w="20" w:type="dxa"/>
            <w:vAlign w:val="bottom"/>
          </w:tcPr>
          <w:p>
            <w:pPr>
              <w:spacing w:after="0"/>
              <w:rPr>
                <w:sz w:val="20"/>
                <w:szCs w:val="20"/>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200" w:type="dxa"/>
            <w:vAlign w:val="bottom"/>
            <w:tcBorders>
              <w:bottom w:val="single" w:sz="8" w:color="0000EE"/>
            </w:tcBorders>
            <w:gridSpan w:val="14"/>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7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Incorporated by reference to Exhibit 10.1 to the Company’s Report of Foreign Private Issuer on Form 6-K filed on October 15, 2018 (File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No. 001-35932).</w:t>
              </w:r>
            </w:hyperlink>
          </w:p>
        </w:tc>
        <w:tc>
          <w:tcPr>
            <w:tcW w:w="8720" w:type="dxa"/>
            <w:vAlign w:val="bottom"/>
            <w:tcBorders>
              <w:top w:val="single" w:sz="8" w:color="0000EE"/>
            </w:tcBorders>
            <w:gridSpan w:val="23"/>
          </w:tcPr>
          <w:p>
            <w:pPr>
              <w:spacing w:after="0"/>
              <w:rPr>
                <w:sz w:val="17"/>
                <w:szCs w:val="17"/>
                <w:color w:val="auto"/>
              </w:rPr>
            </w:pPr>
          </w:p>
        </w:tc>
        <w:tc>
          <w:tcPr>
            <w:tcW w:w="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980" w:type="dxa"/>
            <w:vAlign w:val="bottom"/>
            <w:gridSpan w:val="29"/>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Amended and Restated Amendment to Development and Option Agreement, dated as of September 28, 2018, by and between CureVac</w:t>
              </w:r>
            </w:hyperlink>
          </w:p>
        </w:tc>
        <w:tc>
          <w:tcPr>
            <w:tcW w:w="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AG and Arcturus Therapeutics Inc. Incorporated by reference to Exhibit 99.2 to the Company’s Report of Foreign Private Issuer on Form</w:t>
              </w:r>
            </w:hyperlink>
          </w:p>
        </w:tc>
        <w:tc>
          <w:tcPr>
            <w:tcW w:w="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6-K filed on October 1, 2018 (File No. 001-35932).</w:t>
              </w:r>
            </w:hyperlink>
          </w:p>
        </w:tc>
        <w:tc>
          <w:tcPr>
            <w:tcW w:w="626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660" w:type="dxa"/>
            <w:vAlign w:val="bottom"/>
            <w:tcBorders>
              <w:bottom w:val="single" w:sz="8" w:color="0000EE"/>
            </w:tcBorders>
            <w:gridSpan w:val="18"/>
          </w:tcPr>
          <w:p>
            <w:pPr>
              <w:spacing w:after="0"/>
              <w:rPr>
                <w:rFonts w:ascii="Arial" w:cs="Arial" w:eastAsia="Arial" w:hAnsi="Arial"/>
                <w:sz w:val="18"/>
                <w:szCs w:val="18"/>
                <w:color w:val="0000EE"/>
                <w:w w:val="89"/>
              </w:rPr>
            </w:pPr>
            <w:hyperlink r:id="rId54">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3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29"/>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October 18, 2017. Incorporated by reference to Exhibit 4.7 to Form 20-F filed on May 14, 2018 (File No. 001-35932).</w:t>
              </w:r>
            </w:hyperlink>
          </w:p>
        </w:tc>
        <w:tc>
          <w:tcPr>
            <w:tcW w:w="20" w:type="dxa"/>
            <w:vAlign w:val="bottom"/>
          </w:tcPr>
          <w:p>
            <w:pPr>
              <w:spacing w:after="0"/>
              <w:rPr>
                <w:sz w:val="20"/>
                <w:szCs w:val="20"/>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920" w:type="dxa"/>
            <w:vAlign w:val="bottom"/>
            <w:tcBorders>
              <w:bottom w:val="single" w:sz="8" w:color="0000EE"/>
            </w:tcBorders>
            <w:gridSpan w:val="26"/>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Research and Exclusive License Agreement, by and between Arcturus Therapeutics, Inc. and Synthetic Genomics, Inc., effective October</w:t>
              </w:r>
            </w:hyperlink>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24, 2017. Incorporated by reference to Exhibit 4.8 to Form 20-F filed on May 14, 2018 (File No. 001-35932).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980" w:type="dxa"/>
            <w:vAlign w:val="bottom"/>
            <w:gridSpan w:val="29"/>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Research Agreement, by and between Arcturus Therapeutics, Inc. and Millennium Pharmaceuticals, Inc., a wholly-owned subsidiary of</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Takeda Pharmaceutical Company Limited, effective December 6, 2016, as amended December 21, 2017. Incorporated by reference to</w:t>
              </w:r>
            </w:hyperlink>
          </w:p>
        </w:tc>
        <w:tc>
          <w:tcPr>
            <w:tcW w:w="2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Exhibit 4.9 to Form 20-F filed on May 14, 2018 (File No. 001-35932).</w:t>
              </w:r>
            </w:hyperlink>
          </w:p>
        </w:tc>
        <w:tc>
          <w:tcPr>
            <w:tcW w:w="3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940" w:type="dxa"/>
            <w:vAlign w:val="bottom"/>
            <w:tcBorders>
              <w:bottom w:val="single" w:sz="8" w:color="0000EE"/>
            </w:tcBorders>
            <w:gridSpan w:val="27"/>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Research Collaboration and License Agreement, by and between Arcturus Therapeutics, Inc. and Ultragenyx Pharmaceutical Inc., entered</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into as of October 26, 2015, as amended October 17, 2017 and April 20, 2018. Incorporated by reference to Exhibit 4.10 to Form 20-F</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filed on May 14, 2018 (File No. 001-35932).</w:t>
              </w:r>
            </w:hyperlink>
          </w:p>
        </w:tc>
        <w:tc>
          <w:tcPr>
            <w:tcW w:w="6500" w:type="dxa"/>
            <w:vAlign w:val="bottom"/>
            <w:tcBorders>
              <w:top w:val="single" w:sz="8" w:color="0000EE"/>
            </w:tcBorders>
            <w:gridSpan w:val="15"/>
          </w:tcPr>
          <w:p>
            <w:pPr>
              <w:spacing w:after="0"/>
              <w:rPr>
                <w:sz w:val="17"/>
                <w:szCs w:val="17"/>
                <w:color w:val="auto"/>
              </w:rPr>
            </w:pPr>
          </w:p>
        </w:tc>
        <w:tc>
          <w:tcPr>
            <w:tcW w:w="2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9980" w:type="dxa"/>
            <w:vAlign w:val="bottom"/>
            <w:gridSpan w:val="29"/>
          </w:tcPr>
          <w:p>
            <w:pPr>
              <w:spacing w:after="0"/>
              <w:rPr>
                <w:rFonts w:ascii="Arial" w:cs="Arial" w:eastAsia="Arial" w:hAnsi="Arial"/>
                <w:sz w:val="18"/>
                <w:szCs w:val="18"/>
                <w:color w:val="0000EE"/>
                <w:w w:val="96"/>
              </w:rPr>
            </w:pPr>
            <w:hyperlink r:id="rId58">
              <w:r>
                <w:rPr>
                  <w:rFonts w:ascii="Arial" w:cs="Arial" w:eastAsia="Arial" w:hAnsi="Arial"/>
                  <w:sz w:val="18"/>
                  <w:szCs w:val="18"/>
                  <w:color w:val="0000EE"/>
                  <w:w w:val="96"/>
                </w:rPr>
                <w:t>Third Amendment to Research Collaboration and License Agreement, by and between Arcturus Therapeutics, Inc. and Ultragenyx</w:t>
              </w:r>
            </w:hyperlink>
          </w:p>
        </w:tc>
        <w:tc>
          <w:tcPr>
            <w:tcW w:w="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Pharmaceutical Inc., effective June 18, 2019. Incorporated by reference to Exhibit 10.2 to Form 8-K filed on June 20, 2019 (File No. 001-</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38942).</w:t>
              </w:r>
            </w:hyperlink>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840" w:type="dxa"/>
            <w:vAlign w:val="bottom"/>
            <w:tcBorders>
              <w:bottom w:val="single" w:sz="8" w:color="0000EE"/>
            </w:tcBorders>
            <w:gridSpan w:val="22"/>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Letter Agreement, by and between Arcturus Therapeutics, Inc. and the Cystic Fibrosis Foundation, dated May 16, 2017. Incorporated by</w:t>
              </w:r>
            </w:hyperlink>
          </w:p>
        </w:tc>
        <w:tc>
          <w:tcPr>
            <w:tcW w:w="1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29"/>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reference to Exhibit 4.11 to Form 20-F filed on May 14, 2018 (File No. 001-35932).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gridSpan w:val="11"/>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980" w:type="dxa"/>
            <w:vAlign w:val="bottom"/>
            <w:gridSpan w:val="29"/>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Amendment No. 2 to Letter Agreement, by and between Arcturus Therapeutics, Inc. and the Cystic Fibrosis Foundation, dated August 1,</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2019. Incorporated by reference to Exhibit 10.16 to Form 10-Q filed on August 14, 2019.</w:t>
              </w:r>
            </w:hyperlink>
          </w:p>
        </w:tc>
        <w:tc>
          <w:tcPr>
            <w:tcW w:w="3420" w:type="dxa"/>
            <w:vAlign w:val="bottom"/>
            <w:tcBorders>
              <w:top w:val="single" w:sz="8" w:color="0000EE"/>
            </w:tcBorders>
            <w:gridSpan w:val="11"/>
          </w:tcPr>
          <w:p>
            <w:pPr>
              <w:spacing w:after="0"/>
              <w:rPr>
                <w:sz w:val="17"/>
                <w:szCs w:val="17"/>
                <w:color w:val="auto"/>
              </w:rPr>
            </w:pPr>
          </w:p>
        </w:tc>
        <w:tc>
          <w:tcPr>
            <w:tcW w:w="1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9780" w:type="dxa"/>
            <w:vAlign w:val="bottom"/>
            <w:tcBorders>
              <w:bottom w:val="single" w:sz="8" w:color="0000EE"/>
            </w:tcBorders>
            <w:gridSpan w:val="21"/>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Development and Option Agreement, by and between Arcturus Therapeutics, Inc. and CureVac AG, dated January 1, 2018, as amended</w:t>
              </w:r>
            </w:hyperlink>
          </w:p>
        </w:tc>
        <w:tc>
          <w:tcPr>
            <w:tcW w:w="2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29"/>
          </w:tcPr>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May 3, 2018. Incorporated by reference to Exhibit 4.12 to Form 20-F filed on May 14, 2018 (File No. 001-35932).</w:t>
              </w:r>
            </w:hyperlink>
          </w:p>
        </w:tc>
        <w:tc>
          <w:tcPr>
            <w:tcW w:w="20" w:type="dxa"/>
            <w:vAlign w:val="bottom"/>
          </w:tcPr>
          <w:p>
            <w:pPr>
              <w:spacing w:after="0"/>
              <w:rPr>
                <w:sz w:val="20"/>
                <w:szCs w:val="20"/>
                <w:color w:val="auto"/>
              </w:rPr>
            </w:pPr>
          </w:p>
        </w:tc>
      </w:tr>
      <w:tr>
        <w:trPr>
          <w:trHeight w:val="55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gridSpan w:val="8"/>
          </w:tcPr>
          <w:p>
            <w:pPr>
              <w:ind w:left="42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9980" w:type="dxa"/>
            <w:vAlign w:val="bottom"/>
            <w:gridSpan w:val="31"/>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Third Amendment to Development and Option Agreement, by and between Arcturus Therapeutics, Inc. and CureVac</w:t>
              </w:r>
            </w:hyperlink>
          </w:p>
        </w:tc>
      </w:tr>
      <w:tr>
        <w:trPr>
          <w:trHeight w:val="230"/>
        </w:trPr>
        <w:tc>
          <w:tcPr>
            <w:tcW w:w="1080" w:type="dxa"/>
            <w:vAlign w:val="bottom"/>
          </w:tcPr>
          <w:p>
            <w:pPr>
              <w:spacing w:after="0"/>
              <w:rPr>
                <w:sz w:val="20"/>
                <w:szCs w:val="20"/>
                <w:color w:val="auto"/>
              </w:rPr>
            </w:pPr>
          </w:p>
        </w:tc>
        <w:tc>
          <w:tcPr>
            <w:tcW w:w="9980" w:type="dxa"/>
            <w:vAlign w:val="bottom"/>
            <w:gridSpan w:val="31"/>
          </w:tcPr>
          <w:p>
            <w:pPr>
              <w:spacing w:after="0"/>
              <w:rPr>
                <w:rFonts w:ascii="Arial" w:cs="Arial" w:eastAsia="Arial" w:hAnsi="Arial"/>
                <w:sz w:val="18"/>
                <w:szCs w:val="18"/>
                <w:color w:val="0000EE"/>
                <w:w w:val="97"/>
              </w:rPr>
            </w:pPr>
            <w:hyperlink r:id="rId64">
              <w:r>
                <w:rPr>
                  <w:rFonts w:ascii="Arial" w:cs="Arial" w:eastAsia="Arial" w:hAnsi="Arial"/>
                  <w:sz w:val="18"/>
                  <w:szCs w:val="18"/>
                  <w:u w:val="single" w:color="auto"/>
                  <w:color w:val="0000EE"/>
                  <w:w w:val="97"/>
                </w:rPr>
                <w:t>AG, dated July 26, 2019. Incorporated by reference to Exhibit 10.20 to Form 10-Q filed on August 14, 2019 (File No. 001-38942)</w:t>
              </w:r>
              <w:r>
                <w:rPr>
                  <w:rFonts w:ascii="Arial" w:cs="Arial" w:eastAsia="Arial" w:hAnsi="Arial"/>
                  <w:sz w:val="18"/>
                  <w:szCs w:val="18"/>
                  <w:color w:val="0000EE"/>
                  <w:w w:val="97"/>
                </w:rPr>
                <w:t>.</w:t>
              </w:r>
            </w:hyperlink>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tcBorders>
              <w:bottom w:val="single" w:sz="8" w:color="0000EE"/>
            </w:tcBorders>
            <w:gridSpan w:val="28"/>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12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77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2018. Incorporated by reference to Exhibit 4.13 to Form 20-F filed on May 14, 2018 (File No. 001-35932).</w:t>
              </w:r>
            </w:hyperlink>
          </w:p>
        </w:tc>
        <w:tc>
          <w:tcPr>
            <w:tcW w:w="2260" w:type="dxa"/>
            <w:vAlign w:val="bottom"/>
            <w:gridSpan w:val="19"/>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9980" w:type="dxa"/>
            <w:vAlign w:val="bottom"/>
            <w:gridSpan w:val="31"/>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Termination Agreement, by and between Arcturus Therapeutics, Inc. and CureVac AG, dated July 26, 2019. Incorporated by reference to</w:t>
              </w:r>
            </w:hyperlink>
          </w:p>
        </w:tc>
      </w:tr>
      <w:tr>
        <w:trPr>
          <w:trHeight w:val="196"/>
        </w:trPr>
        <w:tc>
          <w:tcPr>
            <w:tcW w:w="1080" w:type="dxa"/>
            <w:vAlign w:val="bottom"/>
          </w:tcPr>
          <w:p>
            <w:pPr>
              <w:spacing w:after="0"/>
              <w:rPr>
                <w:sz w:val="17"/>
                <w:szCs w:val="17"/>
                <w:color w:val="auto"/>
              </w:rPr>
            </w:pPr>
          </w:p>
        </w:tc>
        <w:tc>
          <w:tcPr>
            <w:tcW w:w="9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Exhibit 10.21 to Form 10-Q filed on August 14, 2019 (File No. 001-38942).</w:t>
              </w:r>
            </w:hyperlink>
          </w:p>
        </w:tc>
        <w:tc>
          <w:tcPr>
            <w:tcW w:w="12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9040" w:type="dxa"/>
            <w:vAlign w:val="bottom"/>
            <w:tcBorders>
              <w:bottom w:val="single" w:sz="8" w:color="0000EE"/>
            </w:tcBorders>
            <w:gridSpan w:val="14"/>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940" w:type="dxa"/>
            <w:vAlign w:val="bottom"/>
            <w:gridSpan w:val="1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6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30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9980" w:type="dxa"/>
            <w:vAlign w:val="bottom"/>
            <w:gridSpan w:val="31"/>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(File No. 001-35932).</w:t>
              </w:r>
            </w:hyperlink>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9820" w:type="dxa"/>
            <w:vAlign w:val="bottom"/>
            <w:tcBorders>
              <w:bottom w:val="single" w:sz="8" w:color="0000EE"/>
            </w:tcBorders>
            <w:gridSpan w:val="27"/>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160" w:type="dxa"/>
            <w:vAlign w:val="bottom"/>
            <w:gridSpan w:val="4"/>
          </w:tcPr>
          <w:p>
            <w:pPr>
              <w:spacing w:after="0"/>
              <w:rPr>
                <w:sz w:val="24"/>
                <w:szCs w:val="24"/>
                <w:color w:val="auto"/>
              </w:rPr>
            </w:pPr>
          </w:p>
        </w:tc>
      </w:tr>
      <w:tr>
        <w:trPr>
          <w:trHeight w:val="237"/>
        </w:trPr>
        <w:tc>
          <w:tcPr>
            <w:tcW w:w="1080" w:type="dxa"/>
            <w:vAlign w:val="bottom"/>
          </w:tcPr>
          <w:p>
            <w:pPr>
              <w:spacing w:after="0"/>
              <w:rPr>
                <w:sz w:val="20"/>
                <w:szCs w:val="20"/>
                <w:color w:val="auto"/>
              </w:rPr>
            </w:pPr>
          </w:p>
        </w:tc>
        <w:tc>
          <w:tcPr>
            <w:tcW w:w="9980" w:type="dxa"/>
            <w:vAlign w:val="bottom"/>
            <w:gridSpan w:val="31"/>
          </w:tcPr>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2013. Incorporated by reference to Exhibit 4.15 to Form 20-F filed with the SEC on May 14, 2018 (File No. 001-35932).</w:t>
              </w:r>
            </w:hyperlink>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9980" w:type="dxa"/>
            <w:vAlign w:val="bottom"/>
            <w:gridSpan w:val="31"/>
          </w:tcPr>
          <w:p>
            <w:pPr>
              <w:spacing w:after="0"/>
              <w:rPr>
                <w:rFonts w:ascii="Arial" w:cs="Arial" w:eastAsia="Arial" w:hAnsi="Arial"/>
                <w:sz w:val="18"/>
                <w:szCs w:val="18"/>
                <w:color w:val="0000EE"/>
                <w:w w:val="95"/>
              </w:rPr>
            </w:pPr>
            <w:hyperlink r:id="rId69">
              <w:r>
                <w:rPr>
                  <w:rFonts w:ascii="Arial" w:cs="Arial" w:eastAsia="Arial" w:hAnsi="Arial"/>
                  <w:sz w:val="18"/>
                  <w:szCs w:val="18"/>
                  <w:color w:val="0000EE"/>
                  <w:w w:val="95"/>
                </w:rPr>
                <w:t>Share Exchange Agreement, dated as of February 11, 2019, by and between Arcturus Therapeutics Ltd. and Arcturus Therapeutics</w:t>
              </w:r>
            </w:hyperlink>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80" w:type="dxa"/>
            <w:vAlign w:val="bottom"/>
            <w:gridSpan w:val="31"/>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Holdings Inc. Incorporated by reference to Exhibit 10.13 to the Company’s Annual Report on Form 10-K for the year ended December</w:t>
              </w:r>
            </w:hyperlink>
          </w:p>
        </w:tc>
      </w:tr>
      <w:tr>
        <w:trPr>
          <w:trHeight w:val="196"/>
        </w:trPr>
        <w:tc>
          <w:tcPr>
            <w:tcW w:w="10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31, 2018 filed with the SEC on March 18, 2019.</w:t>
              </w:r>
            </w:hyperlink>
          </w:p>
        </w:tc>
        <w:tc>
          <w:tcPr>
            <w:tcW w:w="6240" w:type="dxa"/>
            <w:vAlign w:val="bottom"/>
            <w:tcBorders>
              <w:top w:val="single" w:sz="8" w:color="0000EE"/>
            </w:tcBorders>
            <w:gridSpan w:val="18"/>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gridSpan w:val="31"/>
          </w:tcPr>
          <w:p>
            <w:pPr>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Amended and Restated Joint Venture, Research Collaboration and License Agreement, dated as of July 14, 2018 by and between Arcturus</w:t>
              </w:r>
            </w:hyperlink>
          </w:p>
        </w:tc>
      </w:tr>
      <w:tr>
        <w:trPr>
          <w:trHeight w:val="196"/>
        </w:trPr>
        <w:tc>
          <w:tcPr>
            <w:tcW w:w="1080" w:type="dxa"/>
            <w:vAlign w:val="bottom"/>
          </w:tcPr>
          <w:p>
            <w:pPr>
              <w:spacing w:after="0"/>
              <w:rPr>
                <w:sz w:val="17"/>
                <w:szCs w:val="17"/>
                <w:color w:val="auto"/>
              </w:rPr>
            </w:pPr>
          </w:p>
        </w:tc>
        <w:tc>
          <w:tcPr>
            <w:tcW w:w="9940" w:type="dxa"/>
            <w:vAlign w:val="bottom"/>
            <w:tcBorders>
              <w:top w:val="single" w:sz="8" w:color="0000EE"/>
            </w:tcBorders>
            <w:gridSpan w:val="29"/>
          </w:tcPr>
          <w:p>
            <w:pPr>
              <w:spacing w:after="0" w:line="196" w:lineRule="exact"/>
              <w:rPr>
                <w:rFonts w:ascii="Arial" w:cs="Arial" w:eastAsia="Arial" w:hAnsi="Arial"/>
                <w:sz w:val="18"/>
                <w:szCs w:val="18"/>
                <w:color w:val="0000EE"/>
                <w:w w:val="92"/>
              </w:rPr>
            </w:pPr>
            <w:hyperlink r:id="rId70">
              <w:r>
                <w:rPr>
                  <w:rFonts w:ascii="Arial" w:cs="Arial" w:eastAsia="Arial" w:hAnsi="Arial"/>
                  <w:sz w:val="18"/>
                  <w:szCs w:val="18"/>
                  <w:color w:val="0000EE"/>
                  <w:w w:val="92"/>
                </w:rPr>
                <w:t>Therapeutics, Inc. and Providence Therapeutics, Inc. Incorporated by reference to Exhibit 10.14 to the Company’s Amendment No. 1 to</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7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Annual Report on Form 10-K for the year ended December 31, 2018 filed with the SEC on April 10, 2019.</w:t>
              </w:r>
            </w:hyperlink>
          </w:p>
        </w:tc>
        <w:tc>
          <w:tcPr>
            <w:tcW w:w="2080" w:type="dxa"/>
            <w:vAlign w:val="bottom"/>
            <w:tcBorders>
              <w:top w:val="single" w:sz="8" w:color="0000EE"/>
            </w:tcBorders>
            <w:gridSpan w:val="14"/>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10.21</w:t>
            </w:r>
          </w:p>
        </w:tc>
        <w:tc>
          <w:tcPr>
            <w:tcW w:w="8900" w:type="dxa"/>
            <w:vAlign w:val="bottom"/>
            <w:tcBorders>
              <w:bottom w:val="single" w:sz="8" w:color="0000EE"/>
            </w:tcBorders>
            <w:gridSpan w:val="13"/>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Research Collaboration Agreement, dated as of March 8, 2019 by and between Arcturus Therapeutics, Inc. and Millennium</w:t>
              </w:r>
            </w:hyperlink>
          </w:p>
        </w:tc>
        <w:tc>
          <w:tcPr>
            <w:tcW w:w="1080" w:type="dxa"/>
            <w:vAlign w:val="bottom"/>
            <w:gridSpan w:val="18"/>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5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Pharmaceuticals, Inc., a wholly-owned subsidiary of Takeda Pharmaceutical Company Limited. Incorporated by reference to Exhibit</w:t>
              </w:r>
            </w:hyperlink>
          </w:p>
        </w:tc>
        <w:tc>
          <w:tcPr>
            <w:tcW w:w="400" w:type="dxa"/>
            <w:vAlign w:val="bottom"/>
            <w:gridSpan w:val="12"/>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9980" w:type="dxa"/>
            <w:vAlign w:val="bottom"/>
            <w:gridSpan w:val="31"/>
          </w:tcPr>
          <w:p>
            <w:pPr>
              <w:spacing w:after="0"/>
              <w:rPr>
                <w:rFonts w:ascii="Arial" w:cs="Arial" w:eastAsia="Arial" w:hAnsi="Arial"/>
                <w:sz w:val="18"/>
                <w:szCs w:val="18"/>
                <w:u w:val="single" w:color="auto"/>
                <w:color w:val="0000EE"/>
                <w:w w:val="95"/>
              </w:rPr>
            </w:pPr>
            <w:hyperlink r:id="rId71">
              <w:r>
                <w:rPr>
                  <w:rFonts w:ascii="Arial" w:cs="Arial" w:eastAsia="Arial" w:hAnsi="Arial"/>
                  <w:sz w:val="18"/>
                  <w:szCs w:val="18"/>
                  <w:u w:val="single" w:color="auto"/>
                  <w:color w:val="0000EE"/>
                  <w:w w:val="95"/>
                </w:rPr>
                <w:t>10.15 to the Company’s Annual Report on Form 10-K for the year ended December 31, 2018 filed with the SEC on March 18, 2019.</w:t>
              </w:r>
            </w:hyperlink>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10.22</w:t>
            </w:r>
          </w:p>
        </w:tc>
        <w:tc>
          <w:tcPr>
            <w:tcW w:w="9960" w:type="dxa"/>
            <w:vAlign w:val="bottom"/>
            <w:tcBorders>
              <w:bottom w:val="single" w:sz="8" w:color="0000EE"/>
            </w:tcBorders>
            <w:gridSpan w:val="30"/>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Lease Agreement, by and between Arcturus Therapeutics, Inc. and ARE-SD Region No. 44, LLC, dated October 4, 2017. Incorporated by</w:t>
              </w:r>
            </w:hyperlink>
          </w:p>
        </w:tc>
        <w:tc>
          <w:tcPr>
            <w:tcW w:w="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80" w:type="dxa"/>
            <w:vAlign w:val="bottom"/>
            <w:gridSpan w:val="31"/>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reference to Exhibit 4.6 to Form 20-F filed on May 14, 2018 (File No. 001-35932).</w:t>
              </w:r>
            </w:hyperlink>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10.23</w:t>
            </w:r>
          </w:p>
        </w:tc>
        <w:tc>
          <w:tcPr>
            <w:tcW w:w="9980" w:type="dxa"/>
            <w:vAlign w:val="bottom"/>
            <w:gridSpan w:val="31"/>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Lease Agreement, by and between Arcturus Therapeutics Holdings Inc. and ARE-SD Region No. 44, LLC dated February 1, 2020.</w:t>
              </w:r>
            </w:hyperlink>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Incorporated by reference to Exhibit 10.23 to the Company’s Annual Report on Form 10-K for the year ended December 31, 2019 filed on</w:t>
              </w:r>
            </w:hyperlink>
          </w:p>
        </w:tc>
      </w:tr>
      <w:tr>
        <w:trPr>
          <w:trHeight w:val="196"/>
        </w:trPr>
        <w:tc>
          <w:tcPr>
            <w:tcW w:w="1080" w:type="dxa"/>
            <w:vAlign w:val="bottom"/>
          </w:tcPr>
          <w:p>
            <w:pPr>
              <w:spacing w:after="0"/>
              <w:rPr>
                <w:sz w:val="17"/>
                <w:szCs w:val="17"/>
                <w:color w:val="auto"/>
              </w:rPr>
            </w:pPr>
          </w:p>
        </w:tc>
        <w:tc>
          <w:tcPr>
            <w:tcW w:w="2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March 16, 2020 (File No. 001-38942).</w:t>
              </w:r>
            </w:hyperlink>
          </w:p>
        </w:tc>
        <w:tc>
          <w:tcPr>
            <w:tcW w:w="7200" w:type="dxa"/>
            <w:vAlign w:val="bottom"/>
            <w:gridSpan w:val="27"/>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10.24**</w:t>
            </w:r>
          </w:p>
        </w:tc>
        <w:tc>
          <w:tcPr>
            <w:tcW w:w="9980" w:type="dxa"/>
            <w:vAlign w:val="bottom"/>
            <w:gridSpan w:val="31"/>
          </w:tcPr>
          <w:p>
            <w:pPr>
              <w:spacing w:after="0"/>
              <w:rPr>
                <w:rFonts w:ascii="Arial" w:cs="Arial" w:eastAsia="Arial" w:hAnsi="Arial"/>
                <w:sz w:val="18"/>
                <w:szCs w:val="18"/>
                <w:color w:val="0000EE"/>
                <w:w w:val="97"/>
              </w:rPr>
            </w:pPr>
            <w:hyperlink r:id="rId74">
              <w:r>
                <w:rPr>
                  <w:rFonts w:ascii="Arial" w:cs="Arial" w:eastAsia="Arial" w:hAnsi="Arial"/>
                  <w:sz w:val="18"/>
                  <w:szCs w:val="18"/>
                  <w:color w:val="0000EE"/>
                  <w:w w:val="97"/>
                </w:rPr>
                <w:t>Acceptance Letter, dated March 4, 2020, between Arcturus Therapeutics Holdings Inc. and the Economic Development Board of</w:t>
              </w:r>
            </w:hyperlink>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8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Singapore. Incorporated by reference to Exhibit 10.24 to the Company’s Annual Report on Form 10-K for the year ended December 31,</w:t>
              </w:r>
            </w:hyperlink>
          </w:p>
        </w:tc>
        <w:tc>
          <w:tcPr>
            <w:tcW w:w="18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2019 filed on March 16, 2020 (File No. 001-38942).</w:t>
              </w:r>
            </w:hyperlink>
          </w:p>
        </w:tc>
        <w:tc>
          <w:tcPr>
            <w:tcW w:w="6200" w:type="dxa"/>
            <w:vAlign w:val="bottom"/>
            <w:gridSpan w:val="25"/>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10.25</w:t>
            </w:r>
          </w:p>
        </w:tc>
        <w:tc>
          <w:tcPr>
            <w:tcW w:w="9620" w:type="dxa"/>
            <w:vAlign w:val="bottom"/>
            <w:tcBorders>
              <w:bottom w:val="single" w:sz="8" w:color="0000EE"/>
            </w:tcBorders>
            <w:gridSpan w:val="21"/>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Sales Agreement, dated as of March 27, 2020, between the Company and Stifel, Nicolaus &amp; Company, Incorporated. Incorporated by</w:t>
              </w:r>
            </w:hyperlink>
          </w:p>
        </w:tc>
        <w:tc>
          <w:tcPr>
            <w:tcW w:w="360" w:type="dxa"/>
            <w:vAlign w:val="bottom"/>
            <w:gridSpan w:val="10"/>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80" w:type="dxa"/>
            <w:vAlign w:val="bottom"/>
            <w:gridSpan w:val="3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reference to Exhibit 10.1 to Form 8-K filed on March 27, 2020 (File No. 001-38942)</w:t>
              </w:r>
            </w:hyperlink>
          </w:p>
        </w:tc>
      </w:tr>
      <w:tr>
        <w:trPr>
          <w:trHeight w:val="20"/>
        </w:trPr>
        <w:tc>
          <w:tcPr>
            <w:tcW w:w="10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700" w:type="dxa"/>
            <w:vAlign w:val="bottom"/>
            <w:gridSpan w:val="7"/>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10.26</w:t>
            </w:r>
          </w:p>
        </w:tc>
        <w:tc>
          <w:tcPr>
            <w:tcW w:w="9760" w:type="dxa"/>
            <w:vAlign w:val="bottom"/>
            <w:tcBorders>
              <w:bottom w:val="single" w:sz="8" w:color="0000EE"/>
            </w:tcBorders>
            <w:gridSpan w:val="24"/>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Underwriting Agreement dated April 16, 2020, by and between Arcturus Therapeutics Holdings Inc. and Guggenheim Securities, LLC.</w:t>
              </w:r>
            </w:hyperlink>
          </w:p>
        </w:tc>
        <w:tc>
          <w:tcPr>
            <w:tcW w:w="220" w:type="dxa"/>
            <w:vAlign w:val="bottom"/>
            <w:gridSpan w:val="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71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76">
              <w:r>
                <w:rPr>
                  <w:rFonts w:ascii="Arial" w:cs="Arial" w:eastAsia="Arial" w:hAnsi="Arial"/>
                  <w:sz w:val="18"/>
                  <w:szCs w:val="18"/>
                  <w:color w:val="0000EE"/>
                  <w:w w:val="92"/>
                </w:rPr>
                <w:t>Incorporated by reference to Exhibit 1.1 to Form 8-K filed on April 17, 2019 (File No. 001-38942)</w:t>
              </w:r>
            </w:hyperlink>
          </w:p>
        </w:tc>
        <w:tc>
          <w:tcPr>
            <w:tcW w:w="2860" w:type="dxa"/>
            <w:vAlign w:val="bottom"/>
            <w:gridSpan w:val="21"/>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94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by Principal Executive Officer pursuant to Rule 13a-14(a) or 15d-14(a) under the Securities Exchange Act of 1934, as</w:t>
              </w:r>
            </w:hyperlink>
          </w:p>
        </w:tc>
        <w:tc>
          <w:tcPr>
            <w:tcW w:w="520" w:type="dxa"/>
            <w:vAlign w:val="bottom"/>
            <w:gridSpan w:val="1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amended.</w:t>
              </w:r>
            </w:hyperlink>
          </w:p>
        </w:tc>
        <w:tc>
          <w:tcPr>
            <w:tcW w:w="9280" w:type="dxa"/>
            <w:vAlign w:val="bottom"/>
            <w:gridSpan w:val="30"/>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31"/>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Certification by Principal Financial Officer pursuant to Rule 13a-14(a) or 15d-14(a) under the Securities Exchange Act of 1934, as</w:t>
              </w:r>
            </w:hyperlink>
          </w:p>
        </w:tc>
      </w:tr>
      <w:tr>
        <w:trPr>
          <w:trHeight w:val="196"/>
        </w:trPr>
        <w:tc>
          <w:tcPr>
            <w:tcW w:w="10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2">
              <w:r>
                <w:rPr>
                  <w:rFonts w:ascii="Arial" w:cs="Arial" w:eastAsia="Arial" w:hAnsi="Arial"/>
                  <w:sz w:val="18"/>
                  <w:szCs w:val="18"/>
                  <w:color w:val="0000EE"/>
                  <w:w w:val="84"/>
                </w:rPr>
                <w:t>amended.</w:t>
              </w:r>
            </w:hyperlink>
          </w:p>
        </w:tc>
        <w:tc>
          <w:tcPr>
            <w:tcW w:w="8700" w:type="dxa"/>
            <w:vAlign w:val="bottom"/>
            <w:tcBorders>
              <w:top w:val="single" w:sz="8" w:color="0000EE"/>
            </w:tcBorders>
            <w:gridSpan w:val="15"/>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gridSpan w:val="31"/>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Certification of Principal Executive Officer Pursuant to 18 U.S.C. Section 1350, as Adopted Pursuant to Section 906 of the Sarbanes-</w:t>
              </w:r>
            </w:hyperlink>
          </w:p>
        </w:tc>
      </w:tr>
      <w:tr>
        <w:trPr>
          <w:trHeight w:val="196"/>
        </w:trPr>
        <w:tc>
          <w:tcPr>
            <w:tcW w:w="108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18"/>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420" w:type="dxa"/>
            <w:vAlign w:val="bottom"/>
            <w:gridSpan w:val="1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Oxley Act of 2002.</w:t>
              </w:r>
            </w:hyperlink>
          </w:p>
        </w:tc>
        <w:tc>
          <w:tcPr>
            <w:tcW w:w="8580" w:type="dxa"/>
            <w:vAlign w:val="bottom"/>
            <w:gridSpan w:val="29"/>
          </w:tcPr>
          <w:p>
            <w:pPr>
              <w:spacing w:after="0"/>
              <w:rPr>
                <w:sz w:val="17"/>
                <w:szCs w:val="17"/>
                <w:color w:val="auto"/>
              </w:rPr>
            </w:pPr>
          </w:p>
        </w:tc>
      </w:tr>
    </w:tbl>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101.INS XBRL Instance Document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101.SCH XBRL Taxonomy Extension Schema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101.CAL XBRL Taxonomy Extension Calculation Linkbase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101.DEF XBRL Taxonomy Extension Definition Linkbase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101.LAB XBRL Taxonomy Extension Label Linkbase</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500" w:top="341" w:right="339" w:bottom="1440" w:gutter="0" w:footer="0" w:header="0"/>
        </w:sectPr>
      </w:pPr>
    </w:p>
    <w:bookmarkStart w:id="28" w:name="page29"/>
    <w:bookmarkEnd w:id="28"/>
    <w:p>
      <w:pPr>
        <w:ind w:left="1252"/>
        <w:spacing w:after="0"/>
        <w:rPr>
          <w:sz w:val="20"/>
          <w:szCs w:val="20"/>
          <w:color w:val="auto"/>
        </w:rPr>
      </w:pPr>
      <w:r>
        <w:rPr>
          <w:rFonts w:ascii="Arial" w:cs="Arial" w:eastAsia="Arial" w:hAnsi="Arial"/>
          <w:sz w:val="18"/>
          <w:szCs w:val="18"/>
          <w:color w:val="auto"/>
        </w:rPr>
        <w:t>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951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8" w:lineRule="exact"/>
        <w:rPr>
          <w:sz w:val="20"/>
          <w:szCs w:val="20"/>
          <w:color w:val="auto"/>
        </w:rPr>
      </w:pPr>
    </w:p>
    <w:p>
      <w:pPr>
        <w:ind w:left="492" w:hanging="492"/>
        <w:spacing w:after="0"/>
        <w:tabs>
          <w:tab w:leader="none" w:pos="492"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492" w:hanging="492"/>
        <w:spacing w:after="0" w:line="273" w:lineRule="auto"/>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of publicly disclosed.</w:t>
      </w:r>
    </w:p>
    <w:p>
      <w:pPr>
        <w:spacing w:after="0" w:line="2" w:lineRule="exact"/>
        <w:rPr>
          <w:sz w:val="20"/>
          <w:szCs w:val="20"/>
          <w:color w:val="auto"/>
        </w:rPr>
      </w:pPr>
    </w:p>
    <w:p>
      <w:pPr>
        <w:ind w:left="492" w:hanging="492"/>
        <w:spacing w:after="0"/>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200" w:lineRule="exact"/>
        <w:rPr>
          <w:sz w:val="20"/>
          <w:szCs w:val="20"/>
          <w:color w:val="auto"/>
        </w:rPr>
      </w:pPr>
    </w:p>
    <w:p>
      <w:pPr>
        <w:spacing w:after="0" w:line="282"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52"/>
          </w:cols>
          <w:pgMar w:left="328" w:top="341" w:right="5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320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8, 2020</w:t>
            </w:r>
          </w:p>
        </w:tc>
        <w:tc>
          <w:tcPr>
            <w:tcW w:w="7800" w:type="dxa"/>
            <w:vAlign w:val="bottom"/>
            <w:gridSpan w:val="2"/>
          </w:tcPr>
          <w:p>
            <w:pPr>
              <w:ind w:left="3200"/>
              <w:spacing w:after="0"/>
              <w:rPr>
                <w:sz w:val="20"/>
                <w:szCs w:val="20"/>
                <w:color w:val="auto"/>
              </w:rPr>
            </w:pPr>
            <w:r>
              <w:rPr>
                <w:rFonts w:ascii="Arial" w:cs="Arial" w:eastAsia="Arial" w:hAnsi="Arial"/>
                <w:sz w:val="18"/>
                <w:szCs w:val="18"/>
                <w:color w:val="auto"/>
              </w:rPr>
              <w:t>By: /s/ Andy Sassine</w:t>
            </w:r>
          </w:p>
        </w:tc>
      </w:tr>
      <w:tr>
        <w:trPr>
          <w:trHeight w:val="195"/>
        </w:trPr>
        <w:tc>
          <w:tcPr>
            <w:tcW w:w="3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Andy Sassine</w:t>
            </w:r>
          </w:p>
        </w:tc>
      </w:tr>
      <w:tr>
        <w:trPr>
          <w:trHeight w:val="230"/>
        </w:trPr>
        <w:tc>
          <w:tcPr>
            <w:tcW w:w="3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440" w:type="dxa"/>
            <w:vAlign w:val="bottom"/>
          </w:tcPr>
          <w:p>
            <w:pPr>
              <w:spacing w:after="0"/>
              <w:rPr>
                <w:sz w:val="24"/>
                <w:szCs w:val="24"/>
                <w:color w:val="auto"/>
              </w:rPr>
            </w:pPr>
          </w:p>
        </w:tc>
        <w:tc>
          <w:tcPr>
            <w:tcW w:w="3540" w:type="dxa"/>
            <w:vAlign w:val="bottom"/>
          </w:tcPr>
          <w:p>
            <w:pPr>
              <w:jc w:val="right"/>
              <w:ind w:right="1170"/>
              <w:spacing w:after="0"/>
              <w:rPr>
                <w:sz w:val="20"/>
                <w:szCs w:val="20"/>
                <w:color w:val="auto"/>
              </w:rPr>
            </w:pPr>
            <w:r>
              <w:rPr>
                <w:rFonts w:ascii="Arial" w:cs="Arial" w:eastAsia="Arial" w:hAnsi="Arial"/>
                <w:sz w:val="18"/>
                <w:szCs w:val="18"/>
                <w:color w:val="auto"/>
              </w:rPr>
              <w:t>28</w:t>
            </w:r>
          </w:p>
        </w:tc>
        <w:tc>
          <w:tcPr>
            <w:tcW w:w="42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Andy Sassine,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March 31,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March 31,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802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Andy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606"/>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image" Target="media/image44.png"/><Relationship Id="rId80" Type="http://schemas.openxmlformats.org/officeDocument/2006/relationships/image" Target="media/image45.png"/><Relationship Id="rId81" Type="http://schemas.openxmlformats.org/officeDocument/2006/relationships/image" Target="media/image46.png"/><Relationship Id="rId82" Type="http://schemas.openxmlformats.org/officeDocument/2006/relationships/image" Target="media/image47.png"/><Relationship Id="rId83" Type="http://schemas.openxmlformats.org/officeDocument/2006/relationships/image" Target="media/image48.png"/><Relationship Id="rId47" Type="http://schemas.openxmlformats.org/officeDocument/2006/relationships/hyperlink" Target="http://www.sec.gov/Archives/edgar/data/0001566049/000119312519077140/d721306ds4.htm" TargetMode="External"/><Relationship Id="rId48" Type="http://schemas.openxmlformats.org/officeDocument/2006/relationships/hyperlink" Target="http://www.sec.gov/Archives/edgar/data/0001566049/000114420417050441/v476068_ex99-2.htm" TargetMode="External"/><Relationship Id="rId49" Type="http://schemas.openxmlformats.org/officeDocument/2006/relationships/hyperlink" Target="http://www.sec.gov/Archives/edgar/data/0001768224/000156459020011037/arct-ex101_364.htm" TargetMode="External"/><Relationship Id="rId50" Type="http://schemas.openxmlformats.org/officeDocument/2006/relationships/hyperlink" Target="http://www.sec.gov/Archives/edgar/data/0001768224/000119312519259220/d781986ddef14a.htm" TargetMode="External"/><Relationship Id="rId51" Type="http://schemas.openxmlformats.org/officeDocument/2006/relationships/hyperlink" Target="http://www.sec.gov/Archives/edgar/data/0001566049/000119380518001024/e618195_ex99-2.htm" TargetMode="External"/><Relationship Id="rId52" Type="http://schemas.openxmlformats.org/officeDocument/2006/relationships/hyperlink" Target="http://www.sec.gov/Archives/edgar/data/0001566049/000156459018024268/arct-ex101_7.htm" TargetMode="External"/><Relationship Id="rId53" Type="http://schemas.openxmlformats.org/officeDocument/2006/relationships/hyperlink" Target="http://www.sec.gov/Archives/edgar/data/0001566049/000156459018023735/arct-ex992_6.htm" TargetMode="External"/><Relationship Id="rId54" Type="http://schemas.openxmlformats.org/officeDocument/2006/relationships/hyperlink" Target="http://www.sec.gov/Archives/edgar/data/0001566049/000156459018013460/arct-ex47_880.htm" TargetMode="External"/><Relationship Id="rId55" Type="http://schemas.openxmlformats.org/officeDocument/2006/relationships/hyperlink" Target="http://www.sec.gov/Archives/edgar/data/0001566049/000156459018013460/arct-ex48_879.htm" TargetMode="External"/><Relationship Id="rId56" Type="http://schemas.openxmlformats.org/officeDocument/2006/relationships/hyperlink" Target="http://www.sec.gov/Archives/edgar/data/0001566049/000156459018013460/arct-ex49_884.htm" TargetMode="External"/><Relationship Id="rId57" Type="http://schemas.openxmlformats.org/officeDocument/2006/relationships/hyperlink" Target="http://www.sec.gov/Archives/edgar/data/0001566049/000156459018013460/arct-ex410_883.htm" TargetMode="External"/><Relationship Id="rId58" Type="http://schemas.openxmlformats.org/officeDocument/2006/relationships/hyperlink" Target="http://www.sec.gov/Archives/edgar/data/0001566049/000119312519176908/d721252dex102.htm" TargetMode="External"/><Relationship Id="rId59" Type="http://schemas.openxmlformats.org/officeDocument/2006/relationships/hyperlink" Target="http://www.sec.gov/Archives/edgar/data/0001566049/000156459018013460/arct-ex411_878.htm" TargetMode="External"/><Relationship Id="rId60" Type="http://schemas.openxmlformats.org/officeDocument/2006/relationships/hyperlink" Target="http://www.sec.gov/Archives/edgar/data/0001768224/000156459019032166/arct-ex1016_165.htm" TargetMode="External"/><Relationship Id="rId61" Type="http://schemas.openxmlformats.org/officeDocument/2006/relationships/hyperlink" Target="http://www.sec.gov/Archives/edgar/data/0001566049/000156459018013460/arct-ex412_1677.htm" TargetMode="External"/><Relationship Id="rId64" Type="http://schemas.openxmlformats.org/officeDocument/2006/relationships/hyperlink" Target="http://www.sec.gov/Archives/edgar/data/0001768224/000156459019032166/arct-ex1020_166.htm" TargetMode="External"/><Relationship Id="rId65" Type="http://schemas.openxmlformats.org/officeDocument/2006/relationships/hyperlink" Target="http://www.sec.gov/Archives/edgar/data/0001566049/000156459018013460/arct-ex413_1676.htm" TargetMode="External"/><Relationship Id="rId66" Type="http://schemas.openxmlformats.org/officeDocument/2006/relationships/hyperlink" Target="http://www.sec.gov/Archives/edgar/data/0001768224/000156459019032166/arct-ex1021_167.htm" TargetMode="External"/><Relationship Id="rId67" Type="http://schemas.openxmlformats.org/officeDocument/2006/relationships/hyperlink" Target="http://www.sec.gov/Archives/edgar/data/0001566049/000156459018016705/arct-ex414_7.htm" TargetMode="External"/><Relationship Id="rId68" Type="http://schemas.openxmlformats.org/officeDocument/2006/relationships/hyperlink" Target="http://www.sec.gov/Archives/edgar/data/0001566049/000156459018013460/arct-20f_20171231.htm" TargetMode="External"/><Relationship Id="rId69" Type="http://schemas.openxmlformats.org/officeDocument/2006/relationships/hyperlink" Target="http://www.sec.gov/Archives/edgar/data/0001566049/000156459019008092/arct-10k_20181231.htm" TargetMode="External"/><Relationship Id="rId70" Type="http://schemas.openxmlformats.org/officeDocument/2006/relationships/hyperlink" Target="http://www.sec.gov/Archives/edgar/data/0001566049/000156459019011220/arct-ex1014_6.htm" TargetMode="External"/><Relationship Id="rId71" Type="http://schemas.openxmlformats.org/officeDocument/2006/relationships/hyperlink" Target="http://www.sec.gov/Archives/edgar/data/0001566049/000156459019008092/arct-ex1015_582.htm" TargetMode="External"/><Relationship Id="rId72" Type="http://schemas.openxmlformats.org/officeDocument/2006/relationships/hyperlink" Target="http://www.sec.gov/Archives/edgar/data/0001566049/000156459018013460/arct-ex46_882.htm" TargetMode="External"/><Relationship Id="rId73" Type="http://schemas.openxmlformats.org/officeDocument/2006/relationships/hyperlink" Target="http://www.sec.gov/Archives/edgar/data/0001768224/000156459020011037/arct-ex1023_426.htm" TargetMode="External"/><Relationship Id="rId74" Type="http://schemas.openxmlformats.org/officeDocument/2006/relationships/hyperlink" Target="http://www.sec.gov/Archives/edgar/data/0001768224/000156459020011037/arct-ex1024_365.htm" TargetMode="External"/><Relationship Id="rId75" Type="http://schemas.openxmlformats.org/officeDocument/2006/relationships/hyperlink" Target="http://www.sec.gov/Archives/edgar/data/0001768224/000119380520000412/e619507_ex10-1.htm" TargetMode="External"/><Relationship Id="rId76" Type="http://schemas.openxmlformats.org/officeDocument/2006/relationships/hyperlink" Target="http://www.sec.gov/Archives/edgar/data/0001768224/000156459020017147/arct-ex1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2020-05-08T16:00:28Z</dcterms:created>
  <dcterms:modified xsi:type="dcterms:W3CDTF">2020-05-08T16:00:28Z</dcterms:modified>
</cp:coreProperties>
</file>