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1030605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6" w:lineRule="exact"/>
        <w:rPr>
          <w:sz w:val="24"/>
          <w:szCs w:val="24"/>
          <w:color w:val="auto"/>
        </w:rPr>
      </w:pPr>
    </w:p>
    <w:p>
      <w:pPr>
        <w:ind w:left="480" w:right="240" w:hanging="459"/>
        <w:spacing w:after="0" w:line="306" w:lineRule="auto"/>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2325370</wp:posOffset>
            </wp:positionH>
            <wp:positionV relativeFrom="paragraph">
              <wp:posOffset>41910</wp:posOffset>
            </wp:positionV>
            <wp:extent cx="2465705" cy="805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5705" cy="805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040" w:type="dxa"/>
            <w:vAlign w:val="bottom"/>
          </w:tcPr>
          <w:p>
            <w:pPr>
              <w:jc w:val="center"/>
              <w:ind w:left="150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980" w:type="dxa"/>
            <w:vAlign w:val="bottom"/>
          </w:tcPr>
          <w:p>
            <w:pPr>
              <w:jc w:val="right"/>
              <w:ind w:right="2387"/>
              <w:spacing w:after="0"/>
              <w:rPr>
                <w:sz w:val="20"/>
                <w:szCs w:val="20"/>
                <w:color w:val="auto"/>
              </w:rPr>
            </w:pPr>
            <w:r>
              <w:rPr>
                <w:rFonts w:ascii="Times New Roman" w:cs="Times New Roman" w:eastAsia="Times New Roman" w:hAnsi="Times New Roman"/>
                <w:sz w:val="14"/>
                <w:szCs w:val="14"/>
                <w:b w:val="1"/>
                <w:bCs w:val="1"/>
                <w:color w:val="auto"/>
              </w:rPr>
              <w:t>32-0595345</w:t>
            </w:r>
          </w:p>
        </w:tc>
        <w:tc>
          <w:tcPr>
            <w:tcW w:w="0" w:type="dxa"/>
            <w:vAlign w:val="bottom"/>
          </w:tcPr>
          <w:p>
            <w:pPr>
              <w:spacing w:after="0"/>
              <w:rPr>
                <w:sz w:val="1"/>
                <w:szCs w:val="1"/>
                <w:color w:val="auto"/>
              </w:rPr>
            </w:pPr>
          </w:p>
        </w:tc>
      </w:tr>
      <w:tr>
        <w:trPr>
          <w:trHeight w:val="148"/>
        </w:trPr>
        <w:tc>
          <w:tcPr>
            <w:tcW w:w="4040" w:type="dxa"/>
            <w:vAlign w:val="bottom"/>
          </w:tcPr>
          <w:p>
            <w:pPr>
              <w:jc w:val="center"/>
              <w:ind w:left="1527"/>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80" w:type="dxa"/>
            <w:vAlign w:val="bottom"/>
          </w:tcPr>
          <w:p>
            <w:pPr>
              <w:jc w:val="center"/>
              <w:ind w:right="1567"/>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73"/>
        </w:trPr>
        <w:tc>
          <w:tcPr>
            <w:tcW w:w="4040" w:type="dxa"/>
            <w:vAlign w:val="bottom"/>
          </w:tcPr>
          <w:p>
            <w:pPr>
              <w:jc w:val="center"/>
              <w:ind w:left="1527"/>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980" w:type="dxa"/>
            <w:vAlign w:val="bottom"/>
          </w:tcPr>
          <w:p>
            <w:pPr>
              <w:jc w:val="center"/>
              <w:ind w:right="1547"/>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48"/>
        </w:trPr>
        <w:tc>
          <w:tcPr>
            <w:tcW w:w="4040" w:type="dxa"/>
            <w:vAlign w:val="bottom"/>
          </w:tcPr>
          <w:p>
            <w:pPr>
              <w:jc w:val="center"/>
              <w:ind w:left="1527"/>
              <w:spacing w:after="0" w:line="149" w:lineRule="exact"/>
              <w:rPr>
                <w:sz w:val="20"/>
                <w:szCs w:val="20"/>
                <w:color w:val="auto"/>
              </w:rPr>
            </w:pPr>
            <w:r>
              <w:rPr>
                <w:rFonts w:ascii="Times New Roman" w:cs="Times New Roman" w:eastAsia="Times New Roman" w:hAnsi="Times New Roman"/>
                <w:sz w:val="14"/>
                <w:szCs w:val="14"/>
                <w:b w:val="1"/>
                <w:bCs w:val="1"/>
                <w:color w:val="auto"/>
              </w:rPr>
              <w:t>10628 Science Center Drive, Suite 250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80" w:type="dxa"/>
            <w:vAlign w:val="bottom"/>
            <w:vMerge w:val="restart"/>
          </w:tcPr>
          <w:p>
            <w:pPr>
              <w:jc w:val="right"/>
              <w:ind w:right="2547"/>
              <w:spacing w:after="0"/>
              <w:rPr>
                <w:sz w:val="20"/>
                <w:szCs w:val="20"/>
                <w:color w:val="auto"/>
              </w:rPr>
            </w:pPr>
            <w:r>
              <w:rPr>
                <w:rFonts w:ascii="Times New Roman" w:cs="Times New Roman" w:eastAsia="Times New Roman" w:hAnsi="Times New Roman"/>
                <w:sz w:val="14"/>
                <w:szCs w:val="14"/>
                <w:b w:val="1"/>
                <w:bCs w:val="1"/>
                <w:color w:val="auto"/>
              </w:rPr>
              <w:t>92121</w:t>
            </w:r>
          </w:p>
        </w:tc>
        <w:tc>
          <w:tcPr>
            <w:tcW w:w="0" w:type="dxa"/>
            <w:vAlign w:val="bottom"/>
          </w:tcPr>
          <w:p>
            <w:pPr>
              <w:spacing w:after="0"/>
              <w:rPr>
                <w:sz w:val="1"/>
                <w:szCs w:val="1"/>
                <w:color w:val="auto"/>
              </w:rPr>
            </w:pPr>
          </w:p>
        </w:tc>
      </w:tr>
      <w:tr>
        <w:trPr>
          <w:trHeight w:val="177"/>
        </w:trPr>
        <w:tc>
          <w:tcPr>
            <w:tcW w:w="4040" w:type="dxa"/>
            <w:vAlign w:val="bottom"/>
          </w:tcPr>
          <w:p>
            <w:pPr>
              <w:jc w:val="center"/>
              <w:ind w:left="1527"/>
              <w:spacing w:after="0"/>
              <w:rPr>
                <w:sz w:val="20"/>
                <w:szCs w:val="20"/>
                <w:color w:val="auto"/>
              </w:rPr>
            </w:pPr>
            <w:r>
              <w:rPr>
                <w:rFonts w:ascii="Times New Roman" w:cs="Times New Roman" w:eastAsia="Times New Roman" w:hAnsi="Times New Roman"/>
                <w:sz w:val="14"/>
                <w:szCs w:val="14"/>
                <w:b w:val="1"/>
                <w:bCs w:val="1"/>
                <w:color w:val="auto"/>
              </w:rPr>
              <w:t>San Diego, California</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40" w:type="dxa"/>
            <w:vAlign w:val="bottom"/>
          </w:tcPr>
          <w:p>
            <w:pPr>
              <w:jc w:val="center"/>
              <w:ind w:left="152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80" w:type="dxa"/>
            <w:vAlign w:val="bottom"/>
          </w:tcPr>
          <w:p>
            <w:pPr>
              <w:jc w:val="center"/>
              <w:ind w:right="1547"/>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(858) 900-2660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322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vMerge w:val="restart"/>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40" w:type="dxa"/>
            <w:vAlign w:val="bottom"/>
            <w:vMerge w:val="restart"/>
          </w:tcPr>
          <w:p>
            <w:pPr>
              <w:jc w:val="center"/>
              <w:ind w:left="16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60" w:type="dxa"/>
            <w:vAlign w:val="bottom"/>
            <w:gridSpan w:val="4"/>
            <w:vMerge w:val="continue"/>
          </w:tcPr>
          <w:p>
            <w:pPr>
              <w:spacing w:after="0"/>
              <w:rPr>
                <w:sz w:val="10"/>
                <w:szCs w:val="10"/>
                <w:color w:val="auto"/>
              </w:rPr>
            </w:pPr>
          </w:p>
        </w:tc>
        <w:tc>
          <w:tcPr>
            <w:tcW w:w="3980" w:type="dxa"/>
            <w:vAlign w:val="bottom"/>
            <w:vMerge w:val="restart"/>
          </w:tcPr>
          <w:p>
            <w:pPr>
              <w:jc w:val="center"/>
              <w:ind w:right="98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40" w:type="dxa"/>
            <w:vAlign w:val="bottom"/>
            <w:tcBorders>
              <w:top w:val="single" w:sz="8" w:color="auto"/>
            </w:tcBorders>
          </w:tcPr>
          <w:p>
            <w:pPr>
              <w:jc w:val="center"/>
              <w:ind w:left="167"/>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color w:val="auto"/>
                <w:w w:val="98"/>
              </w:rPr>
              <w:t>ARCT</w:t>
            </w:r>
          </w:p>
        </w:tc>
        <w:tc>
          <w:tcPr>
            <w:tcW w:w="120" w:type="dxa"/>
            <w:vAlign w:val="bottom"/>
          </w:tcPr>
          <w:p>
            <w:pPr>
              <w:spacing w:after="0"/>
              <w:rPr>
                <w:sz w:val="17"/>
                <w:szCs w:val="17"/>
                <w:color w:val="auto"/>
              </w:rPr>
            </w:pPr>
          </w:p>
        </w:tc>
        <w:tc>
          <w:tcPr>
            <w:tcW w:w="1060" w:type="dxa"/>
            <w:vAlign w:val="bottom"/>
            <w:tcBorders>
              <w:top w:val="single" w:sz="8" w:color="auto"/>
            </w:tcBorders>
            <w:gridSpan w:val="2"/>
          </w:tcPr>
          <w:p>
            <w:pPr>
              <w:spacing w:after="0"/>
              <w:rPr>
                <w:sz w:val="17"/>
                <w:szCs w:val="17"/>
                <w:color w:val="auto"/>
              </w:rPr>
            </w:pPr>
          </w:p>
        </w:tc>
        <w:tc>
          <w:tcPr>
            <w:tcW w:w="3980" w:type="dxa"/>
            <w:vAlign w:val="bottom"/>
            <w:tcBorders>
              <w:top w:val="single" w:sz="8" w:color="auto"/>
            </w:tcBorders>
          </w:tcPr>
          <w:p>
            <w:pPr>
              <w:jc w:val="center"/>
              <w:ind w:right="987"/>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7" w:lineRule="exact"/>
        <w:rPr>
          <w:sz w:val="24"/>
          <w:szCs w:val="24"/>
          <w:color w:val="auto"/>
        </w:rPr>
      </w:pPr>
    </w:p>
    <w:p>
      <w:pPr>
        <w:ind w:right="3640"/>
        <w:spacing w:after="0" w:line="21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4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2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p>
    <w:p>
      <w:pPr>
        <w:spacing w:after="0" w:line="1" w:lineRule="exact"/>
        <w:rPr>
          <w:sz w:val="24"/>
          <w:szCs w:val="24"/>
          <w:color w:val="auto"/>
        </w:rPr>
      </w:pPr>
    </w:p>
    <w:p>
      <w:pPr>
        <w:ind w:right="14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49"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based on the closing price of the common stock on The Nasdaq Stock Market on June 30, 2023 was $692.4 million.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4, 2024, the registrant had 26,915,243 shares of voting common stock outstanding.</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2024 Annual Meeting of Stockholders are incorporated by reference into Items 10, 11, 12, 13 and 14 of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auto"/>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Risk Factors</w:t>
            </w:r>
          </w:p>
        </w:tc>
        <w:tc>
          <w:tcPr>
            <w:tcW w:w="838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Unresolved Staff Comments</w:t>
            </w:r>
          </w:p>
        </w:tc>
        <w:tc>
          <w:tcPr>
            <w:tcW w:w="72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8"/>
              </w:rPr>
              <w:t>Properties</w:t>
            </w:r>
          </w:p>
        </w:tc>
        <w:tc>
          <w:tcPr>
            <w:tcW w:w="856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12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5"/>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840" w:type="dxa"/>
            <w:vAlign w:val="bottom"/>
            <w:gridSpan w:val="4"/>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w w:val="99"/>
              </w:rPr>
              <w:t>Financial Statements and Supplementary Data</w:t>
            </w:r>
          </w:p>
        </w:tc>
        <w:tc>
          <w:tcPr>
            <w:tcW w:w="59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5200" w:type="dxa"/>
            <w:vAlign w:val="bottom"/>
            <w:gridSpan w:val="8"/>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auto"/>
                <w:w w:val="99"/>
              </w:rPr>
              <w:t>Certain Relationships and Related Transactions, and Director Independence</w:t>
            </w:r>
          </w:p>
        </w:tc>
        <w:tc>
          <w:tcPr>
            <w:tcW w:w="1820" w:type="dxa"/>
            <w:vAlign w:val="bottom"/>
            <w:tcBorders>
              <w:top w:val="single" w:sz="8" w:color="0000EE"/>
            </w:tcBorders>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auto"/>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w w:val="99"/>
              </w:rPr>
              <w:t>Form 10-K Summary</w:t>
            </w:r>
          </w:p>
        </w:tc>
        <w:tc>
          <w:tcPr>
            <w:tcW w:w="1340" w:type="dxa"/>
            <w:vAlign w:val="bottom"/>
            <w:tcBorders>
              <w:top w:val="single" w:sz="8" w:color="0000EE"/>
            </w:tcBorders>
            <w:gridSpan w:val="5"/>
          </w:tcPr>
          <w:p>
            <w:pPr>
              <w:spacing w:after="0"/>
              <w:rPr>
                <w:sz w:val="18"/>
                <w:szCs w:val="18"/>
                <w:color w:val="auto"/>
              </w:rPr>
            </w:pPr>
          </w:p>
        </w:tc>
        <w:tc>
          <w:tcPr>
            <w:tcW w:w="640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1.A,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81" w:lineRule="exact"/>
        <w:rPr>
          <w:sz w:val="20"/>
          <w:szCs w:val="20"/>
          <w:color w:val="auto"/>
        </w:rPr>
      </w:pPr>
    </w:p>
    <w:p>
      <w:pPr>
        <w:ind w:left="760" w:right="30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requirements of our collaboration agreements, including our collaboration with Seqirus Inc. (“CSL Seqirus”);</w:t>
      </w:r>
    </w:p>
    <w:p>
      <w:pPr>
        <w:spacing w:after="0" w:line="61" w:lineRule="exact"/>
        <w:rPr>
          <w:rFonts w:ascii="Times New Roman" w:cs="Times New Roman" w:eastAsia="Times New Roman" w:hAnsi="Times New Roman"/>
          <w:sz w:val="18"/>
          <w:szCs w:val="18"/>
          <w:color w:val="auto"/>
        </w:rPr>
      </w:pPr>
    </w:p>
    <w:p>
      <w:pPr>
        <w:ind w:left="760" w:right="60" w:hanging="378"/>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success of our collaboration agreement with CSL Seqirus related to the licensure of our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mRNA technology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including our timely receipt of upfront and potential royalty and other payments thereunder;</w:t>
      </w:r>
    </w:p>
    <w:p>
      <w:pPr>
        <w:spacing w:after="0" w:line="2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activities of the LUNAR-COV19 and LUNAR-FLU programs under our collaboration with CSL Seqirus;</w:t>
      </w:r>
    </w:p>
    <w:p>
      <w:pPr>
        <w:spacing w:after="0" w:line="116" w:lineRule="exact"/>
        <w:rPr>
          <w:rFonts w:ascii="Times New Roman" w:cs="Times New Roman" w:eastAsia="Times New Roman" w:hAnsi="Times New Roman"/>
          <w:sz w:val="18"/>
          <w:szCs w:val="18"/>
          <w:color w:val="auto"/>
        </w:rPr>
      </w:pPr>
    </w:p>
    <w:p>
      <w:pPr>
        <w:ind w:left="760" w:right="66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success and benefits of our arrangements with private and governmental entities, some of which are subject to termination for convenience by our counterparties;</w:t>
      </w:r>
    </w:p>
    <w:p>
      <w:pPr>
        <w:spacing w:after="0" w:line="5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69" w:lineRule="exact"/>
        <w:rPr>
          <w:rFonts w:ascii="Times New Roman" w:cs="Times New Roman" w:eastAsia="Times New Roman" w:hAnsi="Times New Roman"/>
          <w:sz w:val="18"/>
          <w:szCs w:val="18"/>
          <w:color w:val="auto"/>
        </w:rPr>
      </w:pPr>
    </w:p>
    <w:p>
      <w:pPr>
        <w:ind w:left="760" w:right="8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ARCT-810 and ARCT-032;</w:t>
      </w:r>
    </w:p>
    <w:p>
      <w:pPr>
        <w:spacing w:after="0" w:line="69" w:lineRule="exact"/>
        <w:rPr>
          <w:rFonts w:ascii="Times New Roman" w:cs="Times New Roman" w:eastAsia="Times New Roman" w:hAnsi="Times New Roman"/>
          <w:sz w:val="18"/>
          <w:szCs w:val="18"/>
          <w:color w:val="auto"/>
        </w:rPr>
      </w:pPr>
    </w:p>
    <w:p>
      <w:pPr>
        <w:ind w:left="760" w:right="60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immunogenicity, efficacy or regulatory approval of any of our COVID-19 vaccine candidates as a booster or primary vaccination series;</w:t>
      </w:r>
    </w:p>
    <w:p>
      <w:pPr>
        <w:spacing w:after="0" w:line="54"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preclinical or clinical data will be predictive of future clinical results or efficacy or safety of a product candidate;</w:t>
      </w:r>
    </w:p>
    <w:p>
      <w:pPr>
        <w:spacing w:after="0" w:line="116"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enrollment, duration, milestones and announcements of results of clinical trials, and the submission of applications to conduct clinical trials;</w:t>
      </w:r>
    </w:p>
    <w:p>
      <w:pPr>
        <w:spacing w:after="0" w:line="54"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clinical data will be sufficient for regulatory approval or completed in time to submit an application for regulatory approval within a particular timeframe;</w:t>
      </w:r>
    </w:p>
    <w:p>
      <w:pPr>
        <w:spacing w:after="0" w:line="54"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or timing of any regulatory approval, and the likelihood that the marketing approval of ARCT-154 in Japan will be predictive of any future marketing approvals in other countries or for other versions of our LUNAR-COV19 or other product candidates;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administration regimen or dosage, or ability to administer multiple doses of, any of our product candidates;</w:t>
      </w:r>
    </w:p>
    <w:p>
      <w:pPr>
        <w:spacing w:after="0" w:line="116"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4" w:name="page5"/>
    <w:bookmarkEnd w:id="4"/>
    <w:p>
      <w:pPr>
        <w:spacing w:after="0" w:line="84" w:lineRule="exact"/>
        <w:rPr>
          <w:sz w:val="20"/>
          <w:szCs w:val="20"/>
          <w:color w:val="auto"/>
        </w:rPr>
      </w:pPr>
    </w:p>
    <w:p>
      <w:pPr>
        <w:ind w:left="760" w:hanging="378"/>
        <w:spacing w:after="0" w:line="28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and address unmet medical needs;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regulatory authorities in the United States and foreign countries;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including our ability to scale-up manufacturing levels as necessary;</w:t>
      </w:r>
    </w:p>
    <w:p>
      <w:pPr>
        <w:spacing w:after="0" w:line="116"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 should these situations arise;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 and to efficiently use our financial and other resources;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6" w:lineRule="exact"/>
        <w:rPr>
          <w:rFonts w:ascii="Times New Roman" w:cs="Times New Roman" w:eastAsia="Times New Roman" w:hAnsi="Times New Roman"/>
          <w:sz w:val="18"/>
          <w:szCs w:val="18"/>
          <w:color w:val="auto"/>
        </w:rPr>
      </w:pPr>
    </w:p>
    <w:p>
      <w:pPr>
        <w:ind w:left="760" w:right="400" w:hanging="378"/>
        <w:spacing w:after="0" w:line="28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cash flows, capital requirements need for additional financing, and possible sources of revenue.</w:t>
      </w:r>
    </w:p>
    <w:p>
      <w:pPr>
        <w:spacing w:after="0" w:line="16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Annual Report are subject to risks and uncertainties, including those discussed in our other filings with the United States Securities and Exchange Commission (the “SEC”). Readers are cautioned not to place undue reliance on these forward-looking statements, which speak only as of the date hereof. Although we currently believe that the expectations reflected in the forward-looking statements are reasonable, we cannot guarantee future results, levels of activity, performance, or achievements.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References to Arcturus</w:t>
      </w:r>
    </w:p>
    <w:p>
      <w:pPr>
        <w:spacing w:after="0" w:line="229" w:lineRule="exact"/>
        <w:rPr>
          <w:sz w:val="20"/>
          <w:szCs w:val="20"/>
          <w:color w:val="auto"/>
        </w:rPr>
      </w:pPr>
    </w:p>
    <w:p>
      <w:pPr>
        <w:jc w:val="both"/>
        <w:ind w:right="320" w:firstLine="509"/>
        <w:spacing w:after="0" w:line="288" w:lineRule="auto"/>
        <w:rPr>
          <w:sz w:val="20"/>
          <w:szCs w:val="20"/>
          <w:color w:val="auto"/>
        </w:rPr>
      </w:pPr>
      <w:r>
        <w:rPr>
          <w:rFonts w:ascii="Times New Roman" w:cs="Times New Roman" w:eastAsia="Times New Roman" w:hAnsi="Times New Roman"/>
          <w:sz w:val="17"/>
          <w:szCs w:val="17"/>
          <w:color w:val="auto"/>
        </w:rPr>
        <w:t>In this Annual Report on Form 10-K, unless otherwise stated or the context otherwise indicates, references to the “Company,” “Arcturus,” “we,” “our” and “us” mean Arcturus Therapeutics Holdings Inc. and its consolidated subsidiaries from and after the effective time of the Redomiciliation (as defined below in Part I, Item 1. "Business" - "Available Information") and, prior to that time, to our predecessor, Arcturus Therapeutics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Trademarks and Tradenames</w:t>
      </w:r>
    </w:p>
    <w:p>
      <w:pPr>
        <w:spacing w:after="0" w:line="229"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Annual Report on Form 10-K are the property of Arcturus. All other trademarks, service marks and trade names in this Annual Report on Form 10-K are the property of their respective owners. Solely for convenience, trademarks and trade names referred to in this report may appear without the ® or ™ symbols.</w:t>
      </w:r>
    </w:p>
    <w:p>
      <w:pPr>
        <w:spacing w:after="0" w:line="3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Market Data and Forecasts</w:t>
      </w:r>
    </w:p>
    <w:p>
      <w:pPr>
        <w:spacing w:after="0" w:line="229"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w:t>
      </w:r>
    </w:p>
    <w:p>
      <w:pPr>
        <w:spacing w:after="0" w:line="1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w:t>
      </w: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firstLine="509"/>
        <w:spacing w:after="0" w:line="225" w:lineRule="auto"/>
        <w:rPr>
          <w:sz w:val="20"/>
          <w:szCs w:val="20"/>
          <w:color w:val="auto"/>
        </w:rPr>
      </w:pPr>
      <w:r>
        <w:rPr>
          <w:rFonts w:ascii="Times New Roman" w:cs="Times New Roman" w:eastAsia="Times New Roman" w:hAnsi="Times New Roman"/>
          <w:sz w:val="18"/>
          <w:szCs w:val="18"/>
          <w:color w:val="auto"/>
        </w:rPr>
        <w:t>We are a global messenger RNA medicines company focused on the development of infectious disease vaccines and therapeutics for liver and respiratory rare diseases. In addition to our messenger RNA (“mRNA”) platform, our proprietary lipid nanoparticle (“LNP”) delivery system,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may enable multiple nucleic acid medicines. Our proprietary self-amplifying mRNA technology (Self-Transcribing and Replicating RNA, or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technology) may provide longer-lasting RNA and sustained protein expression at lower dose levels as compared to conventional mRNA.</w:t>
      </w:r>
    </w:p>
    <w:p>
      <w:pPr>
        <w:spacing w:after="0" w:line="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2020, we initiated our first clinical study, a Phase 1 study for our mRNA-based therapeutic candidate for ornithine transcarbamylase (“OTC”) deficiency. We launched our COVID-19 vaccine program in March 2020, and in November 2023, our self-amplifying mRNA vaccine against COVID-19, ARCT-154, received marketing approval in Japan. In November 2022, we entered into a Collaboration and License Agreement (the “CSL Collaboration Agreement”) with Seqirus, Inc. (“CSL Seqirus”), a part of CSL Limited and one of the world’s leading influenza vaccine providers, for the global exclusive rights to research, develop, manufacture and commercialize self-amplifying mRNA vaccines against COVID-19, influenza and three other respiratory infectious diseases and global non-exclusive rights to pandemic pathogens. The CSL Collaboration Agreement became effective on December 8, 2022. The collaboration (“CSL Collaboration”) combines CSL Seqirus’ established global vaccine commercial and manufacturing infrastructure with Arcturus’ manufacturing expertise and innovative STARR self-amplifying mRNA and LUNAR delivery platform technologies.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vaccines franchise, led by a self-amplifying mRNA-based COVID-19 program under license to CSL Seqirus, made significant strides in 2023, highlighted by the marketing authorization approval in Japan of ARCT-154. The approval is the world’s first for a self-amplifying RNA (sa-mRNA) COVID-19 Vaccine. In August 2023, we successfully completed the 12-month safety follow-up of the pivotal Phase 1/2/3 study in Vietnam of ARCT-154 that completed dosing in April 2022 of over 19,000 participants. In February 2023, Meiji Seika Pharma Co., Ltd. (“Meiji”), a Japanese leader in the area of infectious diseases, completed dosing of a Phase 3 clinical trial of ARCT-154 in Japan to evaluate the safety and immunogenicity of a booster dose of ARCT-154, and to assess the non-inferiority of ARCT-154 to a licensed mRNA vaccine, administered as a booster. Meiji conducted the study under its exclusive partnership with CSL Seqirus for the distribution of ARCT-154 in Japan. The study enrolled 828 adult participants, with half in the ARCT-154 group and half in a comparator group (Comirnaty®, Pfizer-BioNTech). The results of this study demonstrated that a booster dose of ARCT-154 elicited a numerically higher immune response (meeting the non-inferiority criteria) against the original Wuhan-Hu-1 virus strain and a superior immune response against Omicron BA.4/5 subvariant of SARS-CoV-2 virus compared to a booster dose of the conventional mRNA vaccine Comirnaty®. These Phase 3 study results were used to support the approval of ARCT-154 in Japan for primary immunization and as a booster dose.</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Within the framework of the CSL Collaboration, we continue the development of the COVID-19 vaccine to establish a differentiated platform and address routine recommendations for periodic vaccine composition updates in a timely manner. In 2023, we, along with our partner CSL Seqirus, developed a bivalent version of the self-amplifying mRNA vaccine (Bivalent ARCT-2301), including the Wuhan-Hu1 strain and Omicron BA.4/5 subvariant. The clinical study with this vaccine candidate was initiated in September 2023 in Japan. The immunogenicity and safety of Bivalent ARCT-2301 are being compared with those of the bivalent composition of the licensed conventional mRNA COVID-19 vaccine.</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2" w:right="399" w:bottom="1440" w:gutter="0" w:footer="0" w:header="0"/>
        </w:sectPr>
      </w:pPr>
    </w:p>
    <w:bookmarkStart w:id="7" w:name="page8"/>
    <w:bookmarkEnd w:id="7"/>
    <w:p>
      <w:pPr>
        <w:spacing w:after="0" w:line="84"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The LUNAR-FLU program, also under the CSL Collaboration, has made significant progress as well. In 2023, we generated a comprehensive non-clinical data package to support a Phase 1 clinical trial with a novel seasonal influenza mRNA vaccine candidate and received all necessary approvals to initiate the Phase 1 study in Australia. We initiated dosing in this study in January 2024 with the intention of assessing the dose response of the investigational vaccine and comparing the safety and immunogenicity with the licensed standard of care. Overall, 132 healthy individuals (84 young adults and 48 older adults) are planned to be recruited in this Phase 1 clinical study. In August 2023, we entered into an amendment to the CSL Collaboration Agreement, pursuant to which CSL Seqirus made a $17.5 million milestone payment related to a development milestone for the LUNAR-FLU program.</w:t>
      </w:r>
    </w:p>
    <w:p>
      <w:pPr>
        <w:spacing w:after="0" w:line="6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continue to advance our rare disease pipeline and collaborations. In our ornithine transcarbamylase (OTC) deficiency program, the Phase 1b single ascending dose study conducted in the United States of ARCT-810 (LUNAR-OTC) in adults with OTC deficiency completed enrollment and dosing of all four cohorts (N=16 subjects). The trial assessed safety, tolerability and pharmacokinetics of a single dose of ARCT-810, as well as various exploratory biomarkers of drug activity. The final database lock occurred in December 2023. A Phase 2 multiple-dose study of ARCT-810 in OTC-deficient adolescents and adults initiated dosing in December 2022 and plans to enroll approximately 24 participants in two dose cohorts. The study is being conducted in the UK and several countries in the European Union. ARCT-810 received Orphan Drug Designation from the FDA and the European Medicines Agency (the “EMA”) for treatment of OTC deficiency. ARCT-810 was also granted Fast Track Designation in May 2023 and Rare Pediatric Disease Designation in June 2023.</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mRNA therapeutic candidate for cystic fibrosis, ARCT-032 (LUNAR-CF), successfully achieved the recruitment target and administration in a First-in-Human study in New Zealand, a Phase 1 single ascending dosing study with 32 healthy participants (eight subjects in each of four dose cohorts). In August 2023 we received regulatory approval for a protocol amendment to transition to a Phase 1b clinical study of ARCT-032 in up to eight adults with CF, with each participant receiving two administrations of ARCT-032. Dosing began in patients with CF in November 2023 and enrollment is ongoing. The FDA granted Rare Pediatric Disease Designation for ARCT-032 in October 2023. ARCT-032 was granted Orphan Drug Designation by the FDA in November 2023 and Orphan Medicinal Product Designation by the EMA in February 2024.</w:t>
      </w:r>
    </w:p>
    <w:p>
      <w:pPr>
        <w:spacing w:after="0" w:line="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also continued to improve our platform technologies and to advance our early-stage research activities and manufacturing process development and operations. We continue to conduct exploratory platform development activities, including the evaluation of genome editing, and new targeting approaches, where our LUNAR and STARR platforms could potentially be useful for identification and development of additional products for our portfolio. Also, with our sourcing partners, we manufactured cGMP batches (current good manufacturing practices) yielding significant quantities of clinical trial materials for global studies of our candidates, including ARCT-810 (LUNAR-OTC), ARCT-032, (LUNAR-CF), ARCT-154 (LUNAR-COV19) and ARCT-2301 (Bivalent LUNAR-COV19).</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Nucleic Acid Medicines and an Introduction to Arcturus’ Platform Technologies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Nucleic Acid Medicines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in vivo. Within a cell, DNA carries the blueprint, in the form of genes, from which all proteins necessary for life are encoded. Each gene’s code is transcribed into a nucleic acid molecule called mRNA, which informs the cell’s own machinery how to organize amino acid building blocks to make one or more proteins needed for normal biological function.</w:t>
      </w:r>
    </w:p>
    <w:p>
      <w:pPr>
        <w:spacing w:after="0" w:line="74"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Nucleic acid therapeutics represent a significant advancement in targeted medicines and several of these therapeutics are being developed by public and private companies. The general objectives of these therapies include:</w:t>
      </w:r>
    </w:p>
    <w:p>
      <w:pPr>
        <w:spacing w:after="0" w:line="55" w:lineRule="exact"/>
        <w:rPr>
          <w:sz w:val="20"/>
          <w:szCs w:val="20"/>
          <w:color w:val="auto"/>
        </w:rPr>
      </w:pPr>
    </w:p>
    <w:p>
      <w:pPr>
        <w:ind w:left="1020" w:right="48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introduce a gene product (e.g., mRNA, CRISPR, gene therapy) that encodes for a functional protein to replace an absent or defective protein;</w:t>
      </w:r>
    </w:p>
    <w:p>
      <w:pPr>
        <w:spacing w:after="0" w:line="17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restore a functional protein by correcting its encoding mRNA sequence;</w:t>
      </w:r>
    </w:p>
    <w:p>
      <w:pPr>
        <w:spacing w:after="0" w:line="237"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amount of a target protein in a patient by binding to and destroying the associated target mRNA (antisense and small interfering RNA (“siRNA”));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5" w:lineRule="exact"/>
        <w:rPr>
          <w:sz w:val="20"/>
          <w:szCs w:val="20"/>
          <w:color w:val="auto"/>
        </w:rPr>
      </w:pPr>
    </w:p>
    <w:p>
      <w:pPr>
        <w:ind w:left="1020" w:right="28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introduce proteins from viruses or malfunctioning proteins obtained from certain cancers to train the immune system to recognize these proteins and clear these viruses or cancer cells (nucleic acid vaccines).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Brief Introduction to our LUNAR</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and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Technology Platforms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w:t>
      </w:r>
      <w:r>
        <w:rPr>
          <w:rFonts w:ascii="Times New Roman" w:cs="Times New Roman" w:eastAsia="Times New Roman" w:hAnsi="Times New Roman"/>
          <w:sz w:val="24"/>
          <w:szCs w:val="24"/>
          <w:i w:val="1"/>
          <w:iCs w:val="1"/>
          <w:color w:val="auto"/>
          <w:vertAlign w:val="superscript"/>
        </w:rPr>
        <w:t>®</w:t>
      </w:r>
    </w:p>
    <w:p>
      <w:pPr>
        <w:spacing w:after="0" w:line="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key challenge for nucleic acid medicines is the safe and effective delivery of the nucleic acid molecule. We have developed a novel lipid-mediated delivery system called LUNAR. LUNAR is a multi-component drug delivery system that incorporates a mixture of novel biodegradable lipids. Lipids are molecules that contain hydrocarbons and make up the building blocks of the structure and function of living cells. Examples of lipids include fats, oils, waxes, certain hormones, and most of the cell membrane that is not made up of protein. LUNAR is designed to address technical challenges facing the delivery of nucleic acid medicines into cells. We continue to expand our library of proprietary lipids, termed ATX, with over 250 to date. Our preclinical studies have shown that formulations can be customized for the indication and target cell type of interest, and we have also demonstrated that our proprietary formulation process is scalable and reproducible. Our LUNAR platform is described in more detail below.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STARR</w:t>
      </w:r>
      <w:r>
        <w:rPr>
          <w:rFonts w:ascii="Times New Roman" w:cs="Times New Roman" w:eastAsia="Times New Roman" w:hAnsi="Times New Roman"/>
          <w:sz w:val="24"/>
          <w:szCs w:val="24"/>
          <w:color w:val="auto"/>
          <w:vertAlign w:val="superscript"/>
        </w:rPr>
        <w:t>®</w:t>
      </w:r>
    </w:p>
    <w:p>
      <w:pPr>
        <w:spacing w:after="0" w:line="54"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Our STARR technology is our proprietary self-amplifying mRNA (or sa-mRNA) technology platform. When combined with a delivery system, such as our lipid-mediated delivery system LUNAR, the STARR technology has the potential to generate a protective immune response or drive therapeutic protein expression to prevent against or treat a variety of diseases. Self-amplifying RNA-based prophylactic vaccines developed with STARR may trigger rapid and prolonged antigen expression within host cells affording individuals protective immunity against infectious pathogens. We have clinically shown that the combination of LUNAR and STARR technology can result in lower dose requirements with superior immune response and sustained protein expression compared to non-self-amplifying RNA-based vaccines, which may enable production of greater volumes of vaccine doses more quickly.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Internal Programs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342890" cy="130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2890" cy="130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Vaccines in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According to the National Foundation for Infectious Diseases, over 50,000 people die each year due to vaccine-preventable diseases and related complications in the United States alone. Influenza and pneumonia cases approach this number of deaths each year and more than one million individuals in the United States have died of COVID since the beginning of the COVID-19 pandemic (Centers for Disease Control and Prevention). The Department of Health and Human Services estimated that 330,000 lives were saved in the United States due to COVID-19 vaccination in 2021 alone. Outbreaks of new infectious diseases, and the rise of variants to existing viruses, create demand for new and novel approaches to producing vaccines in a more cost effective and quicker manner.</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COVID-19 pandemic has highlighted the efficacy, safety, and rapidity in which nucleic acid medicines can be used to vaccinate vulnerable populations, and our vaccine program has continued to progress. In 2020, we initiated the development of our first self-amplifying mRNA vaccine candidate to protect against COVID-19. In December 2022 we entered into the CSL Collaboration Agreement, which combines CSL Seqirus’ established global vaccine commercial and manufacturing infrastructure with Arcturus’ manufacturing expertise and innovative STARR self-amplifying mRNA vaccine and LUNAR delivery platform technologies. For a more comprehensive discussion of the CSL Collaboration Agreement, please see Item 1 “Business” – “Revenue and Collaboration Arrangements and Other Material Agreements” – “CSL Seqirus.” In a Phase 3 clinical study in Japan that completed dosing in February 2023, ARCT-154, administered as a booster dose, achieved a numerically higher immune response (meeting the non-inferiority criteria) against the original Wuhan-Hu-1 virus strain, and a superior immune response against Omicron BA.4/5 subvariant of SARS-CoV-2 virus compared to a booster dose of the conventional mRNA vaccine Comirnaty®. In November 2023, ARCT-154 was approved for primary immunization and as a booster dose in Japan. This approval marks the world’s first approval for a self-amplifying RNA (sa-mRNA) COVID-19 Vaccine. In collaboration with CSL, and CSL's partner Meiji, we continue to generate clinical data to support using the self-amplifying vaccine platform for seasonal updates of the COVID-19 vaccine.</w:t>
      </w:r>
    </w:p>
    <w:p>
      <w:pPr>
        <w:spacing w:after="0" w:line="78" w:lineRule="exact"/>
        <w:rPr>
          <w:sz w:val="20"/>
          <w:szCs w:val="20"/>
          <w:color w:val="auto"/>
        </w:rPr>
      </w:pPr>
    </w:p>
    <w:p>
      <w:pPr>
        <w:ind w:right="480" w:firstLine="509"/>
        <w:spacing w:after="0" w:line="312" w:lineRule="auto"/>
        <w:rPr>
          <w:sz w:val="20"/>
          <w:szCs w:val="20"/>
          <w:color w:val="auto"/>
        </w:rPr>
      </w:pPr>
      <w:r>
        <w:rPr>
          <w:rFonts w:ascii="Times New Roman" w:cs="Times New Roman" w:eastAsia="Times New Roman" w:hAnsi="Times New Roman"/>
          <w:sz w:val="17"/>
          <w:szCs w:val="17"/>
          <w:color w:val="auto"/>
        </w:rPr>
        <w:t>Our influenza vaccine franchise continued to expand, with the initiation of the Phase 1 clinical trial in January 2024 for the seasonal influenza candidate vaccine under our collaboration with CSL and our continued efforts under our pandemic influenza vaccine program with BARDA.</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Development Program</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Coronaviruses are a family of viruses that can lead to respiratory illness. Three viruses in this family have emerged in the past twenty years: Severe Acute Respiratory Syndrome (SARS-CoV), Middle East Respiratory Syndrome (MERS-CoV), and Severe Acute Respiratory Syndrome 2 (SARS-CoV-2), the virus responsible for the COVID-19 pandemic. Throughout the pandemic, there have been surges of infections as protective health measures have waxed and waned. Uncontrolled viral spread has led to approximately half a billion cases worldwide and the selection of viral variants that are more contagious, pathogenic, or both. Since late 2021, infections have been dominated by subvariants of the Omicron strain, which continue to displace previous circulating strains by evading immunity and spreading more efficiently, resulting in an increased risk of breakthrough infection among the vaccinated. Despite the expeditious Emergency Use Authorization (“EUA”) and rollout of vaccines in many countries, vaccine efficacy rates vary widely to currently circulating variants. The current recommendations include seasonal vaccination of risk populations against COVID-19, using vaccine compositions, including the new emergent SARS-CoV-2 variants.</w:t>
      </w:r>
    </w:p>
    <w:p>
      <w:pPr>
        <w:spacing w:after="0" w:line="7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the world pivots from a pandemic to an endemic response to SARS-CoV-2 infections, primary and booster vaccines that induce robust and durable immunity against current and emerging variants of concern (“VOCs”) can help to reduce the infection and disease burden for both the public and the health care systems globally. As such, through the CSL collaboration, we are developing the next generation of mRNA vaccines, which have demonstrated encouraging immunogenicity data, including neutralizing antibody responses against various variants of concern, including Omicron, boosting pre-existing immunity to SARS-CoV-2.</w:t>
      </w:r>
    </w:p>
    <w:p>
      <w:pPr>
        <w:spacing w:after="0" w:line="74" w:lineRule="exact"/>
        <w:rPr>
          <w:sz w:val="20"/>
          <w:szCs w:val="20"/>
          <w:color w:val="auto"/>
        </w:rPr>
      </w:pPr>
    </w:p>
    <w:p>
      <w:pPr>
        <w:jc w:val="both"/>
        <w:ind w:right="320" w:firstLine="509"/>
        <w:spacing w:after="0" w:line="260" w:lineRule="auto"/>
        <w:rPr>
          <w:sz w:val="20"/>
          <w:szCs w:val="20"/>
          <w:color w:val="auto"/>
        </w:rPr>
      </w:pPr>
      <w:r>
        <w:rPr>
          <w:rFonts w:ascii="Times New Roman" w:cs="Times New Roman" w:eastAsia="Times New Roman" w:hAnsi="Times New Roman"/>
          <w:sz w:val="18"/>
          <w:szCs w:val="18"/>
          <w:color w:val="auto"/>
        </w:rPr>
        <w:t>Our initial COVID-19 vaccine candidate, ARCT-021, developed in conjunction with Duke-NUS Medical School, is based on our STARR (self-amplifying mRNA) technology platform and demonstrated antibody and cell-mediated immunogenicity and an excellent safety profile through Phase 2 clinical trials. This vaccine was designed to promote immune responses to the spike protein of the SARS-CoV-2 virus, the critical part of the virus that allows infection to occur.</w:t>
      </w:r>
    </w:p>
    <w:p>
      <w:pPr>
        <w:spacing w:after="0" w:line="7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next-generation COVID-19 vaccine candidate, ARCT-154, is also based on our STARR (self-amplifying mRNA) technology platform and our LUNAR platform. Additional changes were implemented for new generation vaccine candidates to further improve the immunogenicity and tolerability profile and increase vaccine efficacy. These changes include codon optimization for replicon and spike protein, additional mutations for stabilization of spike protein in pre-fusion confirmation, and changes in the manufacturing process to improve the impurity profile and reduce the amount of double-stranded RNA.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 Approval of ARCT-154 in Japan</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8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In November 2023, ARCT-154 received marketing authorization approval from the Japanese Ministry of Health, Labour and Welfare for use as a primary immunization and booster in Japan. The approval was based on positive clinical data from several ARCT-154 studies, including the pivotal 19,000 subject efficacy, safety and immunogenicity study performed in Vietnam as well as the pivotal Phase 3 booster study in Japan.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 Application for ARCT-154 in Europe</w:t>
      </w:r>
    </w:p>
    <w:p>
      <w:pPr>
        <w:spacing w:after="0" w:line="119"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CSL Seqirus and Arcturus submitted a European Medicines Agency (EMA) marketing authorization application for ARCT-154 for active immunization to prevent COVID-19 caused by SARS-CoV-2 in individuals 18 years of age and older. The application was accepted by EMA for review and the review procedure started on August 17, 2023.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Pivotal Phase 1/2/3 Study in Vietnam</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During 2021, we entered into a collaboration with Vinbiocare Biotechnology Joint Stock Company (“Vinbiocare”), a member company of the Vingroup Joint Stock Company (Vingroup) group of companies. As part of a collaboration with Vinbiocare, ARCT-154, our investigational next-generation, self-amplifying mRNA-based vaccine for COVID-19, was advanced into a Phase 1/2/3 study in Vietnam, funded and sponsored by Vinbiocare (the “Vinbiocare Study”). The trial is randomized, observer-blinded, placebo, and active-controlled and is intended to assess the safety, immunogenicity, and efficacy of ARCT-154. The Phase 3 arm of the Phase 1/2/3 study was initiated in September 2021. The study enrolled over 19,000 adult subjects in Vietnam, including individuals with medical conditions, putting them at higher risk of severe complications of COVID-19. The Phase 3b placebo-controlled efficacy portion of the study enrolled over 16,000 participants.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2022, Vinbiocare provided safety and immunogenicity data from the placebo-controlled Phase 1/2/3a portions of the study with approximately 1,000 participants. In April 2022, Vinbiocare shared results from the vaccine safety and efficacy analysis of Phase 3b participants. The primary efficacy endpoint in the placebo-controlled Phase 3b portion of the study was met. Analysis of the data demonstrated that two 5-mcg doses of ARCT-154 administered 28 days apart resulted in vaccine efficacy of 56.6% (95% CI; 48.7% - 63.3%) for protection against COVID-19 overall and 93.3% (95% CI; 80.5% - 98.9%) against severe COVID-19. Nine COVID-19-related deaths were reported in the placebo group and one in the ARCT-154 vaccinated group. The single death in the ARCT-154 vaccination arm occurred in an older age group participant who was also at increased risk of severe COVID-19. During the window when COVID-19 cases in the study were routinely collected, the prevalent SARS-CoV-2 strain associated with COVID-19 infections in Vietnam was Delta.</w:t>
      </w:r>
    </w:p>
    <w:p>
      <w:pPr>
        <w:spacing w:after="0" w:line="8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In the Phase 3b study population comprising 8,059 ARCT-154 recipients and 8,041 placebo recipients, and although local solicited AEs were reported more frequently by ARCT-154 recipients than placebo recipients (52.3% versus 15.3%) after Dose 1 or 2, the majority of solicited local AEs were mild or moderate in intensity. Solicited local AEs of severe intensity were infrequent in ARCT-154 recipients (0.6%) and mainly consisted of injection site pain and tenderness. Also, systemic solicited AEs were reported by ARCT-154 recipients more frequently than the placebo recipients (60.5% versus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and most solicited systemic AEs were mild or moderate in intensity. Solicited systemic AEs of severe intensity were reported by 2.7% of ARCT-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 recipients. No Grade 4 solicited AE was reported in the study.</w:t>
      </w:r>
    </w:p>
    <w:p>
      <w:pPr>
        <w:spacing w:after="0" w:line="9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Local and systemic AEs were less frequent after the second dose than after the first dose of ARCT-154 and generally resolved within three days. In the entire Phase 3b population and throughout the study, SAEs considered related to the study vaccine were infrequent and reported by 10 ARCT-154 recipients and five placebo recipients from Day 1 to Day 92, and 1 ARCT-154 recipient who had formerly received two placebo doses, from Day 92 to the end of the study.</w:t>
      </w:r>
    </w:p>
    <w:p>
      <w:pPr>
        <w:spacing w:after="0" w:line="7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 administration of the third dose (early booster dose) of the ARCT-154 vaccine approximately two months after the primary vaccination series was not associated with any safety concerns.</w:t>
      </w:r>
    </w:p>
    <w:p>
      <w:pPr>
        <w:spacing w:after="0" w:line="55"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No clinically meaningful differences in the safety profile were observed when comparing different subgroups in terms of age/risk groups, sex, or site/region.</w:t>
      </w:r>
    </w:p>
    <w:p>
      <w:pPr>
        <w:spacing w:after="0" w:line="55"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No signs of disease enhancement (VAERD) were observed during the study period, judging by the reduction in the severity of the COVID-19 cases observed after one or two doses of the ARCT-154 vaccine. No case of myocarditis or pericarditis was reported.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 w:name="page12"/>
    <w:bookmarkEnd w:id="11"/>
    <w:p>
      <w:pPr>
        <w:spacing w:after="0" w:line="84"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Two doses of ARCT-154 were immunogenic in the adult study population without previous exposure to SARS-CoV-2 infection in terms of the induction of neutralizing and IgG-binding antibodies specific to the ancestral strain of SARS-CoV-2. Moreover, two doses of ARCT-154 induced cross-neutralization responses to Alpha, Beta, Gamma, and Delta/B.1.617.2 variants of concern when measured by the ACE2 surrogate virus neutralization assay.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ACE2 surrogate neutralization panel, showing geometric mean concentrations of neutralizing antibody responses (with 95% confidence intervals) obtained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participants across a range of SARS-CoV-2 variants. Data from participants with verified COVID-19 were left out of the analysis.</w:t>
      </w:r>
    </w:p>
    <w:p>
      <w:pPr>
        <w:spacing w:after="0" w:line="50"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The administration of the third dose of ARCT-154 (early booster after 2-dose primary series) was associated with a further increase in immune responses to the ancestral SARS-CoV-2 strain and Delta and Omicron BA.1 variants of concern.</w:t>
      </w:r>
    </w:p>
    <w:p>
      <w:pPr>
        <w:spacing w:after="0" w:line="55"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In August 2023, we submitted the primary manuscript with efficacy, immunogenicity and safety results of the pivotal Phase 1/2/3 clinical study of ARCT-154 in Vietnam. The preprint of this article is available on https://doi.org/10.21203/rs.3.rs-3329097/v1. The peer review of the manuscript is ongoing by Nature Communications.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Pivotal Phase 3 Non-Inferiority Study of ARCT-154 in Japan</w:t>
      </w:r>
    </w:p>
    <w:p>
      <w:pPr>
        <w:spacing w:after="0" w:line="334"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Meiji is sponsoring a randomized, multicenter, Phase 3, observer-blind, active-controlled comparative study to evaluate the safety and immunogenicity of a booster dose of ARCT-154 and to evaluate the non-inferiority of ARCT-154 over COMIRNATY (Monovalent, Original strain). The study targeted a total of 780 adult participants, with half in the ARCT-154 group and half in a comparator group, and completed enrollment with 828 participants in February 2023.</w:t>
      </w:r>
    </w:p>
    <w:p>
      <w:pPr>
        <w:spacing w:after="0" w:line="74"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Subjects were eligible if they had received three doses of approved mRNA COVID-19 vaccines with the last dose as COMIRNATY at least three months prior to screening.</w:t>
      </w:r>
    </w:p>
    <w:p>
      <w:pPr>
        <w:spacing w:after="0" w:line="55"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immunogenicity of ARCT-154 was non-inferior to COMIRNATY against the SARS-CoV-2 (Wuhan strain), thus meeting the primary objective of the study. Furthermore, the immunogenicity of ARCT-154 was superior to COMIRNATY against SARS-CoV-2 (Omicron BA.4/5 strain).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1047750</wp:posOffset>
            </wp:positionV>
            <wp:extent cx="5342890" cy="3561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56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(A) Geometric mean titers (GMT) of surrogate neutralizing antibodies at Days 1 (baseline) and 29, and geometric mean-fold rises (GMFR) in titers from Day 1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29; B) GMT Ratio; C) seroresponse rates (SRR) at Day 29; D) SRR Difference - Study ARCT-154-J01. Note: GMT – Geometric Mean Titer; SRR – seroresponse rate. All values are from the Per Protocol Subset 1 (PPS-1) and are shown with 95% confidence intervals in parentheses. Solid circles (●) represent the Wuhan variant, and open circles (○) represent the Omicron BA.4/5 variant. Vertical dashed lines represent the threshold for achieving the non-inferiority comparison of ARCT-154 to Comirnaty.</w:t>
      </w:r>
    </w:p>
    <w:p>
      <w:pPr>
        <w:spacing w:after="0" w:line="68"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In addition, the immunogenicity results of ARCT-154 compared to COMIRNATY were not affected by age, sex, time since the last vaccination, antibody titer against SARS-CoV-2 (Wuhan and Omicron BA.4/5 strains) before administration of the study vaccine, and brands of the vaccines administered in the past.</w:t>
      </w:r>
    </w:p>
    <w:p>
      <w:pPr>
        <w:spacing w:after="0" w:line="69"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Six months after vaccination, GMTs and SRRs of neutralizing antibodies against SARS-CoV-2 (Wuhan and Omicron BA.4/5 strains) remained higher in ARCT-154 recipients than in COMIRNATY recipients.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910590</wp:posOffset>
            </wp:positionV>
            <wp:extent cx="5342890" cy="2988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98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Geometric mean titers (with 95% CI bars) of surrogate neutralizing antibodies against the SARS-CoV-2 Wuhan-Hu-1 (panel A) and Omicron BA.4/5 (panel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strains up to six months after vaccination with one booster dose of either ARCT-154 or BNT162b2. Geometric mean titer ratios (95% CI) for ARCT-154/ BNT162b2 are shown for Days 29, 91 and 181, and geometric mean-fold rises over baseline (GMFR) with 95% CI are shown for each group at Days 29, 91 and 181.</w:t>
      </w:r>
    </w:p>
    <w:p>
      <w:pPr>
        <w:spacing w:after="0" w:line="6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No safety concerns were raised from the study. No deaths or ARCT-154-related SAEs were reported. The proportions of subjects with the solicited local AEs of injection-site swelling, induration, and erythema were lower after administration of ARCT-154 than after administration of COMIRNATY, and the proportion of subjects with solicited systemic AEs was similar in both study arms. The proportion of subjects with Grade 3 or higher solicited AEs was low in both study arms.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910590</wp:posOffset>
            </wp:positionV>
            <wp:extent cx="5154295" cy="5574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15429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Rates of solicited local reactions and systemic adverse events in the two study groups with severity.</w:t>
      </w:r>
    </w:p>
    <w:p>
      <w:pPr>
        <w:spacing w:after="0" w:line="12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summary, the pivotal Phase 3 Non-Inferiority Study of ARCT-154 in Japan met all primary and secondary immunogenicity endpoints, including a secondary pre-defined superiority assessment over Comirnaty (Omicron BA.4/5 strain). Overall, the safety and immunogenicity results of the study support the favorable benefit/risk profile of the ARCT-154 vaccine when administered as a booster dose in adult individuals who previously received other mRNA COVID-19 vaccines.</w:t>
      </w:r>
    </w:p>
    <w:p>
      <w:pPr>
        <w:spacing w:after="0" w:line="74" w:lineRule="exact"/>
        <w:rPr>
          <w:sz w:val="20"/>
          <w:szCs w:val="20"/>
          <w:color w:val="auto"/>
        </w:rPr>
      </w:pPr>
    </w:p>
    <w:p>
      <w:pPr>
        <w:jc w:val="both"/>
        <w:ind w:right="320" w:firstLine="509"/>
        <w:spacing w:after="0" w:line="312" w:lineRule="auto"/>
        <w:rPr>
          <w:sz w:val="20"/>
          <w:szCs w:val="20"/>
          <w:color w:val="auto"/>
        </w:rPr>
      </w:pPr>
      <w:r>
        <w:rPr>
          <w:rFonts w:ascii="Times New Roman" w:cs="Times New Roman" w:eastAsia="Times New Roman" w:hAnsi="Times New Roman"/>
          <w:sz w:val="17"/>
          <w:szCs w:val="17"/>
          <w:color w:val="auto"/>
        </w:rPr>
        <w:t>On July 13, 2023, an article reporting the study results titled “Booster dose of self-amplifying SARS-CoV-2 RNA vaccine vs. mRNA vaccine: a Phase 3 comparison of ARCT-154 with Comirnaty” was posted on medRxiv.org at https://www.medrxiv.org/content/10.1101/2023.07.13.23292597v1.</w:t>
      </w:r>
    </w:p>
    <w:p>
      <w:pPr>
        <w:spacing w:after="0" w:line="31"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In December 2023, Lancet Infectious Diseases published results of the study showing that a booster dose of ARCT-154, a novel, self-amplifying messenger RNA (sa-mRNA) vaccine, elicited a numerically higher immune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8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response (meeting the non-inferiority criteria) against the original Wuhan-Hu-1 virus strain, and a superior immune response against Omicron BA.4/5 subvariant of SARS-CoV-2 virus compared to a booster dose of the conventional mRNA vaccine Comirnaty®. ARCT-154 results were achieved with one-sixth the dose of Comirnaty® (5 μg vs 30 μg).</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Arcturus and Meiji submitted the article ‘Persistence of immune responses of a self-amplifying RNA COVID-19 vaccine (ARCT-</w:t>
      </w:r>
    </w:p>
    <w:p>
      <w:pPr>
        <w:spacing w:after="0" w:line="27" w:lineRule="exact"/>
        <w:rPr>
          <w:sz w:val="20"/>
          <w:szCs w:val="20"/>
          <w:color w:val="auto"/>
        </w:rPr>
      </w:pPr>
    </w:p>
    <w:p>
      <w:pPr>
        <w:ind w:right="280" w:firstLine="8"/>
        <w:spacing w:after="0" w:line="253" w:lineRule="auto"/>
        <w:tabs>
          <w:tab w:leader="none" w:pos="3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versus BNT162b2’ to Lancet Infectious Disease, with a 6-month follow-up results from this study. These additional data demonstrate the extended persistence of neutralizing antibodies after ARCT-154 compared with conventional mRNA vaccine in the clinical setting, indicating longer-lasting immunity and implying a longer duration of protection by ARCT-154 (Figure above). The manuscript was published on February 1, 2024 (https://www.thelancet.com/journals/laninf/article/PIIS1473-3099(24)00060-4/fulltext).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1/2 Study in United States, Singapore, and South Africa</w:t>
      </w:r>
    </w:p>
    <w:p>
      <w:pPr>
        <w:spacing w:after="0" w:line="33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January 2022, we announced immunogenicity data for participants of a Phase 1/2 study being conducted in the United States and Singapore. Results from the arms where participants were dosed with five mcg of ARCT-154 as a booster after at least five months of being vaccinated with two doses of Comirnaty (Pfizer-BioNTech) showed encouraging increases in levels of neutralizing antibody activity against D614G and several variants of concern (VoCs) and variants of interest (VoIs).</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August 7, 2023, we announced that Phase 1/2 clinical trial data demonstrated one-year durability of immune response following ARCT-154 booster vaccine administration as measured using validated microneutralization (MNT) assays. The geometric mean fold rise (GMFR) in neutralizing antibodies remained greater than 10-fold above baseline for one year across a panel of SARS-CoV-2 variants, including ancestral strain with the D614G mutation, Beta (B.1.351), Delta (B.1.617.2), and Omicron (BA.1, BA.2 and BA.4/5), for participants receiving ARCT-154 booster. The results of this study were presented as a poster at the 9th Influenza Conference of the European Scientific Working Group on Influenza (ESWI) in Valencia,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342890" cy="2277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2890" cy="227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5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Geometric mean fold rise (GMFR) of neutralizing antibodies against SARS-CoV-2 variants (versus pre-booster levels) after ARCT-154 booster vaccination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measured by validated pseudovirus microneutralization assays (N=12). Error bars represent the 95% CI. Participants who received any COVID-19 vaccines or had laboratory-confirmed SARS-CoV-2 infection during the follow-up period were excluded from immunogenicity analysis at sampling times after the event.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Study of Bivalent Version of COVID-19 Vaccine Candidate in Japan</w:t>
      </w:r>
    </w:p>
    <w:p>
      <w:pPr>
        <w:spacing w:after="0" w:line="119"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On September 29, 2023, Meiji initiated an additional Phase 3 clinical study with a bivalent version of our COVID-19 vaccine candidate (ancestral strain, ARCT-154 and Omicron BA.4/5) to further support immunogenicity and safety data for our self-amplifying mRNA platform, which may facilitate the timely release of future seasonal</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updates of our COVID-19 vaccine against evolving variants of concern. The study enrolled 930 healthy adults and individuals with comorbidities, who previously received three to five doses of mRNA COVID-19 vaccines, including the last booster at least three months prior to recruitment. The study will compare the investigational vaccine, ARCT-2301 and COMIRNATY (ancestral strain and BA.4/5), to evaluate safety and immunogenicity between observer-blind groups. Preliminary results of his study are expected by the end of Q1 2024. The results of this study of the bivalent version of our COVID-19 vaccine candidate are not required for approval of ARCT-154 in Japan but will facilitate the timely release of future seasonal updates of the COVID-19 vaccine without the need for additional 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266700</wp:posOffset>
            </wp:positionV>
            <wp:extent cx="5342890" cy="403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2890" cy="403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Geometric mean titers (GMT) of surrogate neutralizing antibodies at Days 1 (baseline) and 29, and geometric mean-fold rises (GMFR) in titers from Day 1 to Day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29; B) GMT Ratio; C) seroresponse rates (SRR) at Day 29; D) SRR Difference – Study ARCT-2301-J01. Note: GMT – Geometric Mean Titer; SRR – seroresponse rate. All values are from the Per Protocol Subset 1 (PPS-1) and are shown with 95% confidence intervals in parentheses. Solid circles (●) represent the Wuhan variant, open circles</w:t>
      </w:r>
    </w:p>
    <w:p>
      <w:pPr>
        <w:ind w:right="480" w:firstLine="8"/>
        <w:spacing w:after="0" w:line="202" w:lineRule="exact"/>
        <w:tabs>
          <w:tab w:leader="none" w:pos="2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the Omicron BA.4/5 variant, and open squares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represent the Omicron XBB.1.5 variant. Vertical lines represent the threshold for achieving the non-inferiority and superiority comparisons of ARCT-154 to Comirnaty</w:t>
      </w:r>
      <w:r>
        <w:rPr>
          <w:rFonts w:ascii="Times New Roman" w:cs="Times New Roman" w:eastAsia="Times New Roman" w:hAnsi="Times New Roman"/>
          <w:sz w:val="16"/>
          <w:szCs w:val="16"/>
          <w:color w:val="0078D4"/>
        </w:rPr>
        <w:t>.</w:t>
      </w:r>
    </w:p>
    <w:p>
      <w:pPr>
        <w:spacing w:after="0" w:line="9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Bivalent ARCT-2301, when administered intramuscularly as a booster dose in subjects who had received three to five doses of authorized mRNA COVID-19 vaccines at least three months before the recruitment, demonstrated immunological superiority over the comparator vaccine (Comirnaty® bivalent: Wuhan strain/Omicron strain BA.4/5), as measured by GMT ratios and seroresponse rates differences for both vaccine strains (prototype Wuhan strain and Omicron BA.4/65 variant). In addition, ARCT-2301 induced a higher immune response against the epidemiologically dominant Omicron XBB.1.5 variant.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Vaccine Platform Stability Data</w:t>
      </w:r>
    </w:p>
    <w:p>
      <w:pPr>
        <w:spacing w:after="0" w:line="119" w:lineRule="exact"/>
        <w:rPr>
          <w:sz w:val="20"/>
          <w:szCs w:val="20"/>
          <w:color w:val="auto"/>
        </w:rPr>
      </w:pPr>
    </w:p>
    <w:p>
      <w:pPr>
        <w:ind w:right="40" w:firstLine="554"/>
        <w:spacing w:after="0" w:line="280" w:lineRule="auto"/>
        <w:rPr>
          <w:sz w:val="20"/>
          <w:szCs w:val="20"/>
          <w:color w:val="auto"/>
        </w:rPr>
      </w:pPr>
      <w:r>
        <w:rPr>
          <w:rFonts w:ascii="Times New Roman" w:cs="Times New Roman" w:eastAsia="Times New Roman" w:hAnsi="Times New Roman"/>
          <w:sz w:val="17"/>
          <w:szCs w:val="17"/>
          <w:color w:val="auto"/>
        </w:rPr>
        <w:t>Current data regarding the product format, stability and cold chain characteristics of our lyophilized self-amplifying mRNA COVID-19 vaccine compares favorably to existing smaller non-self-amplifying COVID-19 vaccine stability requirements. The lyophilized powder of ARCT-154 demonstrated room temperature stability for four days (25°C; 60% RH), refrigerator stability for five months (2-8°C), and long-term stability for 24 months (-25°C to -15°C). The vaccine stability data are supportive for shipping at 2-8°C. Notably, the vaccine remains stable in the event of temperature cycling.</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Development Program</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LUNAR-qsFLU (Quadrivalent Seasonal Influenza)</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Influenza is estimated to cause one billion infections globally every year and hundreds of thousands of deaths, especially in the elderly and individuals with underlying medical conditions. In many regions, influenza is seasonal, with infections peaking during November through April in the Northern Hemisphere and May through September in the Southern Hemisphere. Year-round surveillance by the World Health Organization (“WHO”) in collaboration with various national health agencies informs WHO recommendations on the strains of influenza most likely to spread during the upcoming influenza season. National health agencies (such as the U.S. Food and Drug Administration (“FDA”)) then make the final decision of which strains should be covered by vaccines licensed in their country.</w:t>
      </w:r>
    </w:p>
    <w:p>
      <w:pPr>
        <w:spacing w:after="0" w:line="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LUNAR-qsFLU (qs; quadrivalent seasonal) program, now exclusively licensed to CSL Seqirus, has the objective of producing a safe and effective seasonal influenza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 We believe the ability of mRNA platforms to nimbly adapt to new viral strains should help improve efficacy. In addition, we do not expect mRNA vaccines to face the challenge from mutations common to egg-grown vaccines.</w:t>
      </w:r>
    </w:p>
    <w:p>
      <w:pPr>
        <w:spacing w:after="0" w:line="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Increasing evidence supports that immunity against neuraminidase (NA), the second most abundant influenza surface protein, along with hemagglutinin (HA) specific immunity protects against influenza disease (Krammer et al, mBIO, 2018). While most currently licensed vaccines contain some neuraminidase, the amount is not standardized, and currently licensed vaccines do not induce robust anti-neuraminidase immune responses. LUNAR-qsFLU, targets both the HA and NA, and may have a protective benefit over current vaccines during seasons even when vaccine strains are not well matched to circulating strains (Sandbulte et al, PNAS, 2011).</w:t>
      </w:r>
    </w:p>
    <w:p>
      <w:pPr>
        <w:spacing w:after="0" w:line="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LUNAR-qsFLU has been designed to take advantage of our expertise in both LUNAR lipid delivery systems and our STARR self-amplifying mRNA technology. This platform has been shown to deliver effective protection against COVID-19 and has been optimized to elicit robust immunogenicity with acceptable reactogenicity at a lower dose than conventional mRNA vaccines with the aspiration of creating a highly effective influenza vaccine for use in general and high-risk populations. Working with CSL Seqirus, we have generated a comprehensive non-clinical data package to support the initiation of the Phase 1 clinical trial with a novel influenza mRNA vaccine candidate. A Phase 1 dose-finding safety and immunogenicity study was initiated in January 2024 in Australia and is ongoing.</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non-clinical studies, the immunogenicity of ARCT-2138 was compared with those of three licensed influenza vaccines in naïve mice.</w:t>
      </w:r>
    </w:p>
    <w:p>
      <w:pPr>
        <w:spacing w:after="0" w:line="11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Naïve BALB/c mice were vaccinated once with 2 µg of ARCT-2138 or one-fifth of the human dose for comparator vaccines. All vaccines contained antigens from the FDA recommended strains for the 2022/2023 influenza season for cell or egg-based vaccines. Smaller doses than the full adult dose of the comparator vaccines was given due to limitation in the injection volume in the hind legs of mice (50µl per leg, total 100µl). ARCT-2138 was dosed at 2 µg which is a five times lower dose than was tested in humans (10 µg) based on clinical dose escalation studies performed with ARCT-021.</w:t>
      </w:r>
    </w:p>
    <w:p>
      <w:pPr>
        <w:spacing w:after="0" w:line="7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most significant differences in HAI titers were observed between ARCT-2138 and cell-based and recombinant influenza vaccines. While a significant increase in HAI titers was observed for H1N1 and B Victoria antigens at day 56 for ARCT-2138 compared to the adjuvanted influenza vaccine, no difference was observed between these vaccine groups for H3N2 antigen, and the immune response for B Yamagata antigen was lower after ARCT-2138. Neurominidase antibody responses were assessed at days 42 and 70. As with HAI titers, ARCT-2138 elicited significant higher antibody titers for all four vaccine strains and at all time points analyzed when compared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4"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to titers from mice immunized with cell-based and recombinant influenza vaccines. ARCT-2138 neuraminidase antibody response were slightly, but significantly, higher for all vaccine strains except B Yamagata compared to mice immunized with adjuvanted influenza vaccines.</w:t>
      </w:r>
    </w:p>
    <w:p>
      <w:pPr>
        <w:spacing w:after="0" w:line="55" w:lineRule="exact"/>
        <w:rPr>
          <w:sz w:val="20"/>
          <w:szCs w:val="20"/>
          <w:color w:val="auto"/>
        </w:rPr>
      </w:pPr>
    </w:p>
    <w:p>
      <w:pPr>
        <w:ind w:right="640" w:firstLine="509"/>
        <w:spacing w:after="0" w:line="281" w:lineRule="auto"/>
        <w:rPr>
          <w:sz w:val="20"/>
          <w:szCs w:val="20"/>
          <w:color w:val="auto"/>
        </w:rPr>
      </w:pPr>
      <w:r>
        <w:rPr>
          <w:rFonts w:ascii="Times New Roman" w:cs="Times New Roman" w:eastAsia="Times New Roman" w:hAnsi="Times New Roman"/>
          <w:sz w:val="18"/>
          <w:szCs w:val="18"/>
          <w:color w:val="auto"/>
        </w:rPr>
        <w:t>Altogether, the animal study data indicates that ARCT-2138 elicited higher antibody titers in mice than licensed cell-based and recombinant influenza vaccines and moderately higher titers for most antigens compared to an adjuvanted influenza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-21590</wp:posOffset>
            </wp:positionV>
            <wp:extent cx="5342890" cy="3493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2890" cy="349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HAI and NI Titers after Vaccination with ARCT-2138 and Licensed Comparator Vaccines. Naïve BALB/c mice were vaccinated once with ARCT-2138 (2 µg)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once with one of three licensed vaccines (1/5 human dose) and assessed for HAI and NI titers for each of the antigens from the FDA recommended strains for the 2022/2023 Northern Hemisphere influenza season. Antigens used to determine inhibition titers were from cell-based vaccine strains only. ARCT-2138 showed similar or superior responses to (A) all four HAs and (B) all four NAs present in the licensed comparator. Geometric mean with geometric SD shown. Significance determined by 2-way ANOVA multiple comparisons test comparing ARCT-2138 to licensed vaccines at each time point (****=p&lt;0.0001; ***=p&lt;0.001; **=p&lt;0.01; *=p≤0.05; no asterisks=not significant).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Development Program</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LUNAR-pandFLU (Influenza)</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LUNAR-pandFLU program continues to progress under the award from the Biomedical Advanced Research and Development Authority (“BARDA”) that we obtained in 2022. The program includes all non-clinical, manufacturing, and regulatory support to advance a vaccine to protect against disease caused by H5N1 highly-pathogenic avian influenza. Non-clinical safety and pharmacology studies are ongoing, and a pre-IND meeting was granted. Enrollment for a Phase 1 clinical trial designed to evaluate the safety and immunogenicity of ARCT-2304 (LUNAR-pandFLU candidate vaccine) is expected to begin before the end of 2024. For a more comprehensive discussion of the funding award, please see Item 1 “Business” – “Revenue and Collaboration Arrangements and Other Material Agreements” – “BARDA.”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Rare Disease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Medicines in Development</w:t>
      </w:r>
    </w:p>
    <w:p>
      <w:pPr>
        <w:spacing w:after="0" w:line="334"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Orphan Drug Act of 1983 (the “Orphan Drug Act”) defines a rare disease as a disease affecting fewer than 200,000 individuals in the United States. According to the National Institutes of Health (“NIH”), there are approximately 10,000 such diseases that, together, affect nearly 30 million people in the United States. The European Union (the “EU”) defines a rare disease as having a prevalence of fewer than five in 10,000 people. Collectively, these disorders affect between 6% and 7% of the population in the developed world.</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There is a pressing need for new medicines for rare diseases as few of the 10,000 known rare diseases have approved treatments. Biopharmaceutical industry researchers are making great progress in the fight against some rare diseases as innovative science has opened new opportunities. More than 770 medicines have been approved by the FDA since the enactment of the Orphan Drug Act and more than 800 medicines are currently in clinical development. Despite recent progress, there is more work to be done to overcome the scientific, operational and financial challenges that arise.</w:t>
      </w:r>
    </w:p>
    <w:p>
      <w:pPr>
        <w:spacing w:after="0" w:line="74"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We believe our technology should provide an excellent platform to address genetically inherited rare diseases. Specifically, we are focusing on developing medicines to treat people with rare respiratory and liver diseases who currently have limited or no treatment options.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Rare Disease Program – ARCT-810 (LUNAR-OTC)</w:t>
      </w:r>
    </w:p>
    <w:p>
      <w:pPr>
        <w:spacing w:after="0" w:line="334"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LUNAR-OTC development program addresses ornithine transcarbamylase (OTC) deficiency, a rare, life-threatening, genetic disease caused by mutations in the OTC gene that lead to dysfunctional or deficient OTC.</w:t>
      </w:r>
    </w:p>
    <w:p>
      <w:pPr>
        <w:spacing w:after="0" w:line="5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OTC deficiency is the most common of the urea cycle disorders, a group of inherited metabolic disorders that are associated with reduced ability to eliminate ammonia from the body. There are over 5,000 people with OTC deficiency in the United States and the prevalence is approximately one in 14,000 to one in 77,000 people worldwide. Ammonia is a toxic waste product produced from the breakdown of protein. OTC is a critical enzyme in the urea cycle, which takes place in liver cells and converts ammonia to harmless urea which is eliminated by the kidneys. In patients with OTC deficiency, ammonia accumulates in the blood and is toxic to the brain and liver. Symptoms of high ammonia levels include vomiting, headaches, coma and death. OTC deficiency can cause developmental problems, seizures and death in newborn babies. As an X-linked disorder, OTC deficiency tends to be more severe in males, though female carriers are often affected. Patients with less severe symptoms may present later in life, as adults. Currently no cure exists for OTC deficiency apart from liver transplant; however, this treatment comes with significant risks and complications such as organ rejection, and transplant recipients must take immunosuppressant drugs for the rest of their lives. Current standard of care for OTC deficiency is a low-protein diet, dietary supplements, and ammonia scavengers to try to prevent accumulation of ammonia. Life-threatening episodes of high ammonia levels can still occur, requiring treatment with dialysis or hemofiltration. These treatments do not address the underlying cause of disease and there remains a high unmet need for an effective treatment.</w:t>
      </w:r>
    </w:p>
    <w:p>
      <w:pPr>
        <w:spacing w:after="0" w:line="78"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LUNAR-OTC development candidate, ARCT-810, uses our LUNAR platform to deliver normal OTC mRNA into liver cells which then produce normal functioning OTC with possible disease-modifying effects. Our LUNAR-OTC approach has the potential to treat the underlying defect that causes the debilitating symptoms of OTC deficiency, rather than mitigating symptoms by sequestering ammonia. We have retained worldwide development and commercialization rights to ARCT-810.</w:t>
      </w:r>
    </w:p>
    <w:p>
      <w:pPr>
        <w:spacing w:after="0" w:line="7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LUNAR-OTC has received orphan drug designation from the FDA and the EMA for treatment of OTC deficiency. ARCT-810 was also successfully granted Fast Track Designation in May 2023 and Rare Pediatric Disease Designation (RPDD) in June 2023. Fast Track Designation is designated to facilitate development and expedite review of new therapeutics intended to treat serious or life-threatening conditions that demonstrate the potential to address important unmet medical needs. Rare Pediatric Disease Designation is designed to recognize rare pediatric diseases in which the serious or life-threatening manifestations primarily affect patients from birth to 18 years of age. Due to such designation, if ARCT-810 achieves approval for a pediatric indication in the original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rare pediatric disease product application in the United States, Arcturus (or the sponsor of ARCT-810) is eligible to receive a voucher for priority review of a subsequent marketing application for a different product.</w:t>
      </w:r>
    </w:p>
    <w:p>
      <w:pPr>
        <w:spacing w:after="0" w:line="55"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Preclinical data in OTC-deficient murine models have demonstrated that dosing of LUNAR-OTC results in robust OTC protein expression and activity, thereby improving ureagenesis, reducing plasma ammonia, and increasing survival.</w:t>
      </w:r>
    </w:p>
    <w:p>
      <w:pPr>
        <w:spacing w:after="0" w:line="55"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The Phase 1, double-blind, placebo-controlled, single-dose, dose-escalation study of ARCT-810 in healthy volunteers, completed in November 2020, demonstrated favorable safety, tolerability and PK profiles.</w:t>
      </w:r>
    </w:p>
    <w:p>
      <w:pPr>
        <w:spacing w:after="0" w:line="5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 Phase 1b study in stable OTC-deficient adults completed dosing in the United States in August 2023. The trial is designed to assess safety, tolerability and pharmacokinetics of a single dose of ARCT-810, as well as exploratory biomarkers of drug activity. The Phase 1b study is a single ascending dose, placebo-controlled study that enrolled 16 adults with mild OTCD. ARCT-810 was generally safe and well tolerated. A Phase 2 multiple-dose study of ARCT-810 in OTC-deficient adolescents and adults initiated dosing in December 2022 and plans to enroll approximately 24 participants in two dose cohorts. The study is being conducted in the UK and several other countries in the European Union.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Rare Disease Program - LUNAR-CF (Cystic Fibrosis)</w:t>
      </w:r>
    </w:p>
    <w:p>
      <w:pPr>
        <w:spacing w:after="0" w:line="33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LUNAR-CF program addresses cystic fibrosis (CF) lung disease, a progressive disorder caused by mutations in the cystic fibrosis transmembrane conductance regulator (CFTR) gene. ARCT-032, our lead development candidate for the treatment of cystic fibrosis, uses our LUNAR platform to deliver a codon-optimized CFTR mRNA into airway epithelial cells. This allows airway cells to produce functional human CFTR protein using native translational machinery and protein trafficking pathways which could result in the treatment of the underlying defect that causes CF lung disease, regardless of the specific mutation. The Cystic Fibrosis Foundation (the “CFF”) has partnered with us to support development of this therapy. ARCT-032 represents the first LUNAR-based mRNA therapeutic delivered by the inhaled route, offering direct delivery to the affected airways to restore functional CFTR.</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are close to 40,000 children and adults living with cystic fibrosis in the United States (and an estimated 105,000 people have been diagnosed with CF across 94 countries), and CF can affect people of every racial and ethnic group. Approximately 800 people are newly diagnosed with CF each year in the United States. CF is caused by one of more than 2,000 known mutations in the CFTR gene. These mutations have been grouped into several different classes based on the mechanism by which they cause reduction in the production and/or function of the CFTR protein. When CFTR is absent or defective, the airway surfaces become dehydrated and coated with a layer of thick mucus that clogs the airways, causing difficulty breathing and often resulting in chronic infections, exaggerated inflammation, structural airway damage, and other serious complications in the lungs. CF is a multi-system disease that may also affect the pancreas, intestines, liver, sinuses, reproductive tract and sweat glands. The median predicted survival of CF patients born between 2018-2022 in the United States is approximately 56 years, and the cause of most of the mortality and morbidity is due to the lung disease.</w:t>
      </w:r>
    </w:p>
    <w:p>
      <w:pPr>
        <w:spacing w:after="0" w:line="81" w:lineRule="exact"/>
        <w:rPr>
          <w:sz w:val="20"/>
          <w:szCs w:val="20"/>
          <w:color w:val="auto"/>
        </w:rPr>
      </w:pPr>
    </w:p>
    <w:p>
      <w:pPr>
        <w:ind w:right="460" w:firstLine="509"/>
        <w:spacing w:after="0" w:line="265" w:lineRule="auto"/>
        <w:rPr>
          <w:sz w:val="20"/>
          <w:szCs w:val="20"/>
          <w:color w:val="auto"/>
        </w:rPr>
      </w:pPr>
      <w:r>
        <w:rPr>
          <w:rFonts w:ascii="Times New Roman" w:cs="Times New Roman" w:eastAsia="Times New Roman" w:hAnsi="Times New Roman"/>
          <w:sz w:val="18"/>
          <w:szCs w:val="18"/>
          <w:color w:val="auto"/>
        </w:rPr>
        <w:t>Current non-curative therapies for CF lung disease are directed towards disease severity and to prevent the progression of the disease. These treatments include aerosolized mucolytics, antibiotics, and airway clearance techniques that are time-consuming and represent a significant treatment burden for people with CF. Many CF patients ultimately suffer from a critical decline in lung function and require lung transplants.</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has approved several CFTR modulator therapies (Kalydeco®, Orkambi®, Symdeko®, and Trikafta®) that assist certain classes of abnormal CFTR protein to reach the cell membrane and/or increase functional ion channel activity. The CFTR modulators, while effective in many patients, are mutation-specific and therefore are not effective in all persons with CF. Other treatments are required to target Class I mutations (no CFTR produced; approximately 10% of CF cases worldwide), and people who are intolerant or have poor response to CFTR modulator therapies. We are initially focusing ARCT-032 on these groups of patients, as they currently have the highest unmet need for CF therapies.</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made significant progress on the LUNAR-CF program in 2023. Following on our activities of 2022, which included reproducible demonstration of restoration of CFTR function in human bronchial epithelial cell cultures from CF donors and the completion of the first-in-human enabling GLP toxicology studies, in 2023 we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84" w:lineRule="exact"/>
        <w:rPr>
          <w:sz w:val="20"/>
          <w:szCs w:val="20"/>
          <w:color w:val="auto"/>
        </w:rPr>
      </w:pPr>
    </w:p>
    <w:p>
      <w:pPr>
        <w:jc w:val="both"/>
        <w:ind w:right="360"/>
        <w:spacing w:after="0" w:line="260" w:lineRule="auto"/>
        <w:rPr>
          <w:sz w:val="20"/>
          <w:szCs w:val="20"/>
          <w:color w:val="auto"/>
        </w:rPr>
      </w:pPr>
      <w:r>
        <w:rPr>
          <w:rFonts w:ascii="Times New Roman" w:cs="Times New Roman" w:eastAsia="Times New Roman" w:hAnsi="Times New Roman"/>
          <w:sz w:val="18"/>
          <w:szCs w:val="18"/>
          <w:color w:val="auto"/>
        </w:rPr>
        <w:t>initiated and successfully achieved the recruitment target in a Phase 1 single ascending dose study of ARCT-032 (LUNAR-CF), our mRNA therapeutic candidate for CF, in 32 healthy participants (eight subjects in each of four dose cohorts). In August 2023 we received regulatory approval of a protocol amendment to transition to a Phase 1b clinical study of ARCT-032 in up to eight adults with CF, with each participant receiving two administrations of ARCT-032. We initiated Phase 1b enrollment in October 2023.</w:t>
      </w:r>
    </w:p>
    <w:p>
      <w:pPr>
        <w:spacing w:after="0" w:line="74" w:lineRule="exact"/>
        <w:rPr>
          <w:sz w:val="20"/>
          <w:szCs w:val="20"/>
          <w:color w:val="auto"/>
        </w:rPr>
      </w:pPr>
    </w:p>
    <w:p>
      <w:pPr>
        <w:ind w:right="120" w:firstLine="509"/>
        <w:spacing w:after="0" w:line="276" w:lineRule="auto"/>
        <w:rPr>
          <w:sz w:val="20"/>
          <w:szCs w:val="20"/>
          <w:color w:val="auto"/>
        </w:rPr>
      </w:pPr>
      <w:r>
        <w:rPr>
          <w:rFonts w:ascii="Times New Roman" w:cs="Times New Roman" w:eastAsia="Times New Roman" w:hAnsi="Times New Roman"/>
          <w:sz w:val="17"/>
          <w:szCs w:val="17"/>
          <w:color w:val="auto"/>
        </w:rPr>
        <w:t>ARCT-032 was granted Orphan Drug Designation by the FDA in November 2023 and Orphan Medicinal Product Designation by the EMA in February 2024. The FDA granted Rare Pediatric Disease Designation for ARCT-032 in October 2023. The Rare Pediatric Disease Designation is designed to recognize rare pediatric diseases in which the serious or life-threatening manifestations primarily affect patients from birth to 18 years of age. With this designation, if ARCT-032 achieves approval for a pediatric indication in the original rare pediatric disease product application in the United States, Arcturus (or the sponsor of ARCT-032) is eligible to receive a voucher for priority review of a subsequent marketing application for a different product.</w:t>
      </w:r>
    </w:p>
    <w:p>
      <w:pPr>
        <w:spacing w:after="0" w:line="63"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An extensive portfolio of nonclinical studies supported the advancement of ARCT-032 to the clinic. Our comprehensive data set showcasing the potential for ARCT-032 as a disease-modifying treatment has been presented at the major CF conferences in North America and Europe. For example, we recently presented data at the North American Cystic Fibrosis Conference in November 2023 that demonstrated that a single dose of ARCT-032, administered in the airways of CF ferrets by microsprayer, effectively doubled the mucociliary transport rate in vivo.</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vitro proof of concept of ARCT-032 was obtained using HBE cells cultured in an air-liquid interface system, a model system that has been shown to be highly correlated with clinical trial results with CFTR modulator drugs. HBE cells cultured in this manner undergo extensive differentiation, resulting in an in vitro model that is representative of the in vivo airway epithelium. The cells exhibit a pseudostratified morphology and are comprised of a heterogeneous cell population, including ionocytes, ciliated, basal, and secretory cells. Work performed at University of Alabama at Birmingham (UAB) demonstrated that ARCT-032 (LUNAR-CFTR) treatment resulted in significantly higher chloride activity when compared to negative control (LUNAR-TdTomato). More importantly, after treatment with ARCT-032, cultures derived from patients with CF with the F508del mutation (F508del+/+) demonstrated that the chloride current had been restored, i.e., the chloride efflux was similar to HBE cells from people without CF (WT) that were used as a positive control (figure below). Additionally, western blot analysis of protein in the HBE cells showed higher levels of mature CFTR protein (C-band) in ARCT-032 treated cells when compared to non-CF donor control cells.</w:t>
      </w:r>
    </w:p>
    <w:p>
      <w:pPr>
        <w:spacing w:after="0" w:line="290"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Functional Measurement of Chloride Activity and Western Blot Protein Expression Analysis in Human CF F508del+/+ Cells Transduced With ARCT-032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-24130</wp:posOffset>
            </wp:positionV>
            <wp:extent cx="4109720" cy="2149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09720" cy="214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Isc = short-circuit current; WT = wild type (healthy subjects).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Left: A significant increase in chloride activity was observed in cultured cells from CF donors (F508del) treated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1" w:lineRule="auto"/>
        <w:rPr>
          <w:sz w:val="20"/>
          <w:szCs w:val="20"/>
          <w:color w:val="auto"/>
        </w:rPr>
      </w:pPr>
      <w:r>
        <w:rPr>
          <w:rFonts w:ascii="Times New Roman" w:cs="Times New Roman" w:eastAsia="Times New Roman" w:hAnsi="Times New Roman"/>
          <w:sz w:val="18"/>
          <w:szCs w:val="18"/>
          <w:color w:val="auto"/>
        </w:rPr>
        <w:t>with LUNAR-CFTR (ARCT-032) compared to those treated with LUNAR-TdTomato (negative control). ARCT-032 restored the levels of chloride efflux to the wild-type range observed for healthy human donors.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p&lt;0.001 (unpaired t-test)</w:t>
      </w:r>
    </w:p>
    <w:p>
      <w:pPr>
        <w:spacing w:after="0" w:line="22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Right: Western blot demonstrates robust mature (C-band) CFTR protein expression specific to ARCT-032 treated CF cells (F508del+/+) comparable to WT cells, and not present in the LUNAR buffer or TdTomato controls.</w:t>
      </w:r>
    </w:p>
    <w:p>
      <w:pPr>
        <w:spacing w:after="0" w:line="27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use of F508del HBEs allowed us to compare the activity of ARCT-032 with Vertex Pharmaceutical’s Trikafta (elexacaftor/tezacaftor/ivacaftor), a highly effective CFTR modulator combination approved for patients with F508del and other CFTR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342890" cy="2620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2890"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Figure 1: </w:t>
      </w:r>
      <w:r>
        <w:rPr>
          <w:rFonts w:ascii="Times New Roman" w:cs="Times New Roman" w:eastAsia="Times New Roman" w:hAnsi="Times New Roman"/>
          <w:sz w:val="16"/>
          <w:szCs w:val="16"/>
          <w:color w:val="auto"/>
        </w:rPr>
        <w:t>Chloride conductance was measured in presence or absence of a chloride gradient in ALI-cultured F508 HBE cells (solid bars) or WT HBEs (textured bars) 24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hours following a single treatment with ARCT-032 (blue circles), LUNAR-TdT (red circles) or Trikafta (green circles). The measurements were performed in three separate studies at different times.</w:t>
      </w:r>
    </w:p>
    <w:p>
      <w:pPr>
        <w:spacing w:after="0" w:line="6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ALI-cultured HBE cell monolayers derived from either three different CF patients carrying the F508del mutation or from an equal number of healthy donors carrying the WT CFTR. The cells were transfected with a single, 20 µg dose of ARCT-032 or LUNAR-TdT, a formulation carrying TdTomato encoding mRNA that was used as a negative control. When the HBE monolayer was tested for transepithelial chloride currents in presence of a chloride gradient, a single 20 µg treatment with ARCT-032 resulted in significantly increased chloride conductance compared to the LUNAR-TdT control at 24 hours post-treatment (Figure 1). Importantly, ARCT-032-restored chloride efflux in F508del HBEs matched the chloride efflux observed in wild type HBEs from non-CF donors. In absence of a chloride gradient, ARCT-032 driven chloride currents were lower than those with a chloride gradient but matched the activity of Trikafta tested alongside (Figure 1). Our results from the UAB studies without chloride gradients are comparable to those previously obtained at CF Foundation Therapeutics under similar experimental conditions.</w:t>
      </w:r>
    </w:p>
    <w:p>
      <w:pPr>
        <w:spacing w:after="0" w:line="8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Next, ARCT-032 activity was evaluated in CF HBEs carrying the nonsense mutations (G542X/R1162X) which are associated with a severe CF phenotype due to the complete absence of CFTR expression (CFTR null). CF patients harboring these and other nonsense mutations are not eligible to be treated with the approved CF modulators such as Trikafta and are a primary target population of patients for ARCT-032 treatment. We demonstrated that a single 20 µg treatment with ARCT-032 resulted in a significantly higher CFTR-mediated chloride conductance compared to the LUNAR-TdT used as a negative control (Figure 2). These observations highlight the potential applicability of ARCT-032 treatment in CF patients non-responsive to currently approved CF modulators.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2400300</wp:posOffset>
            </wp:positionH>
            <wp:positionV relativeFrom="page">
              <wp:posOffset>1184910</wp:posOffset>
            </wp:positionV>
            <wp:extent cx="3108325" cy="1969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310832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Figure 2: </w:t>
      </w:r>
      <w:r>
        <w:rPr>
          <w:rFonts w:ascii="Times New Roman" w:cs="Times New Roman" w:eastAsia="Times New Roman" w:hAnsi="Times New Roman"/>
          <w:sz w:val="16"/>
          <w:szCs w:val="16"/>
          <w:color w:val="auto"/>
        </w:rPr>
        <w:t>Chloride conductance measured in G542X/R1162X nonsense mutation carrying HBEs or WT HBEs at 24 hours following a single treatment with ARCT-032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(blue circles) or LUNAR-TdT (red circles) or buffer (black circles).</w:t>
      </w:r>
    </w:p>
    <w:p>
      <w:pPr>
        <w:spacing w:after="0" w:line="5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 preliminary results have indicated that a single 20 µg treatment with ARCT-032 could impart substantial CFTR activity in F508del HBEs for at least three days while the activity is still detectable at five days from the treatment (Figure 3A). This highlights the efficacy of transfection and the stability of translated CFTR protein. Furthermore, we have demonstrated that treatment of F508 HBEs with multiple smaller doses (3 µg and 5 µg) of ARCT-032 can achieve CFTR activity comparable to a larger single dose (20 µg) (Figure 3B). Together, these results have demonstrated the ability of ARCT-032 to generate a functional and stable CFTR protein in a dose and treatment amenable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-8890</wp:posOffset>
            </wp:positionV>
            <wp:extent cx="5086350" cy="1617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86350"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b w:val="1"/>
          <w:bCs w:val="1"/>
          <w:color w:val="auto"/>
        </w:rPr>
        <w:t>Figure 3</w:t>
      </w:r>
      <w:r>
        <w:rPr>
          <w:rFonts w:ascii="Times New Roman" w:cs="Times New Roman" w:eastAsia="Times New Roman" w:hAnsi="Times New Roman"/>
          <w:sz w:val="16"/>
          <w:szCs w:val="16"/>
          <w:color w:val="auto"/>
        </w:rPr>
        <w:t>: A) Time-course study in F508del HBEs carried out in presence of a chloride gradient following a single treatment with ARCT-032 indicated substantial CFTR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activity for three days and detectable activity for at least five days. B) Under no chloride gradient conditions, treatment of F508del HBEs with multiple smaller doses (3µg or 5µg) of ARCT-032 achieved CFTR function comparable to a single larger dose (20µg).</w:t>
      </w:r>
    </w:p>
    <w:p>
      <w:pPr>
        <w:spacing w:after="0" w:line="6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mentioned, earlier work has shown successful transduction of airway epithelial cells with LUNAR-mRNA in multiple species of healthy animals. We recently achieved similar success in a CF animal model. In collaboration with the University of Iowa and supported by the Cystic Fibrosis Foundation, a double transgenic ferret model of CF was used to assess transduction of bronchial epithelial cells in diseased ferrets. Ferrets with the G551D mutation maintained on VX-770 (ivacaftor) developed a CF phenotype including thick mucus in the lungs upon withdrawal from VX-770 treatment. LUNAR-Cre was administered to the airways by microsprayer, and the Cre recombinase mRNA-transduced cells switched off TdTomato expression (shown in red) and expressed EGFP (cells in green). This demonstrated the ability of LUNAR-Cre to penetrate the mucus layer and transduce the target pulmonary epithelial cells in CF-diseased ferrets.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Penetration of LUNAR-mRNA Through Mucus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342890" cy="1823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2890" cy="182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Figure 4: </w:t>
      </w:r>
      <w:r>
        <w:rPr>
          <w:rFonts w:ascii="Times New Roman" w:cs="Times New Roman" w:eastAsia="Times New Roman" w:hAnsi="Times New Roman"/>
          <w:sz w:val="16"/>
          <w:szCs w:val="16"/>
          <w:color w:val="auto"/>
        </w:rPr>
        <w:t>Photomicrographs of the pulmonary epithelium of G551D CFTR/Rosa transgenic ferrets following microsprayer administration of LUNAR Cre. The ferrets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express TdTomato protein (red) by default; introduction of Cre recombinase mRNA (via LUNAR-Cre) results in Cre protein expression and excision of TdTomato enabling expression of EGFP (green). The panel on the left shows transduction with LUNAR-Cre of pulmonary epithelial cells lining the trachea, as evidenced by the conversion of TdTomato expression in red to EGFP expression in green. The panel on the right illustrates the ability of LUNAR-Cre LNPs to penetrate the mucus (outlined by a blue box) in a smaller bronchiole and transduce the underlying epithelial cells. The red-fluorescing cells are not transduced by LUNAR-Cre. Sections were counterstained with DAPI (blue).</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experiments with G551D CFTR-transgenic ferrets demonstrated in vivo proof of concept of ARCT-032 (LUNAR-CFTR) in this model system. The G551D ferrets are initially maintained on VX-770 treatment and develop typical findings of CF lung disease upon withdrawal of the drug. This enables the evaluation of therapeutic interventions. Following withdrawal of VX-770, the ferrets were treated with either ARCT-032 or LUNAR-TdTomato (negative control) administered by a microsprayer. Mucociliary clearance was assessed by PET/CT scan while maintained on VX-770, a few weeks after VX-770 withdrawal, and 24 hours following dosing. As shown in figure below, after a single administration of ARCT-03 the mucociliary clearance in CF ferrets 2 (green line) was about twice that of the ‘VX-770 Off’ baseline (black line), and comparable to or greater than that for ‘VX-770 On’ (turquoise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-6350</wp:posOffset>
            </wp:positionV>
            <wp:extent cx="4041140" cy="2688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41140" cy="268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LUNARhCFTR = ARCT-032; LUNARdT = LUNAR-TdTomato; MCC = mucociliary clearance; VX-770 = ivacaftor.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x-axis represents time in minutes.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Figure 5: </w:t>
      </w:r>
      <w:r>
        <w:rPr>
          <w:rFonts w:ascii="Times New Roman" w:cs="Times New Roman" w:eastAsia="Times New Roman" w:hAnsi="Times New Roman"/>
          <w:sz w:val="16"/>
          <w:szCs w:val="16"/>
          <w:color w:val="auto"/>
        </w:rPr>
        <w:t>After VX-770 washout, G551D CFTR ferrets were treated as shown and PET/CT scanned. MCC was assessed post first dose.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Discovery Program – Phenylketonuria (PKU)</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Phenylketonurea (PKU) is an inherited metabolic disease characterized by the buildup of the amino acid phenylalanine (Phe) in the body due to the lack or deficient activity of the enzyme responsible for its metabolism, phenylalanine hydroxylase (PAH). In PKU patients, high levels of phenylalanine affect normal nervous system function and can lead to brain disfunction and intellectual disability. Globally, approximately 1:10,000 newborns carry mutations in the PAH gene responsible for the PKU disease. Dietary restriction (low protein diet) has been the main therapeutic treatment to control Phe levels and, although successful, outcomes are not always optimal, and patients often have difficulty adhering to restrictions. There are only two approved treatments for PKU: Palynziq®, which requires injections that may lead to an immune response against Palynziq® as it is an enzyme derived from bacteria, and the synthetic PAH co-factor, BH4, Kuvan®, which only helps a subpopulation of PKU patients.</w:t>
      </w:r>
    </w:p>
    <w:p>
      <w:pPr>
        <w:spacing w:after="0" w:line="79"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The LUNAR PKU program attempts to address the unmet needs of PKU patients by delivering mRNA encoding the PAH protein formulated in LUNAR lipid nanoparticles to the PAH-deficient liver, restoring PAH function and reducing blood Phe to healthy levels. In a PKU mouse model, we have shown that we can deliver a functional human PAH mRNA to the liver and reduce Phe to safe levels (Phe &lt; 0.3 mM). Presently, the program is aiming to increase the duration of the efficacy after a single dose treatment to reduce the frequency of dosing and improve the effectiveness of the therapy. Proof of concept studies in PKU mice show that engineering of PAH mRNA and protein lead to a significant increase in the duration of the efficacy, longer than six</w:t>
      </w:r>
    </w:p>
    <w:p>
      <w:pPr>
        <w:spacing w:after="0" w:line="2" w:lineRule="exact"/>
        <w:rPr>
          <w:sz w:val="20"/>
          <w:szCs w:val="20"/>
          <w:color w:val="auto"/>
        </w:rPr>
      </w:pPr>
    </w:p>
    <w:p>
      <w:pPr>
        <w:ind w:right="40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as compared to the original, first-generation PAH mRNA (~24-48 hours). Additional in vivo efficacy and tolerability studies are underway to finalize a candidate drug product composed of the optimized PAH mRNA and LUNAR formulations.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LUNAR PAH mRNA reduces phenylalanine plasma levels in a PKU mouse model after a single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342890" cy="3056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2890" cy="305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Discovery Programs – Vaccine Programs (Lyme Disease and Gonorrhea)</w:t>
      </w:r>
    </w:p>
    <w:p>
      <w:pPr>
        <w:spacing w:after="0" w:line="11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Based on the clinical and regulatory validation of LUNAR and STARR technologies provided by the approval of ARCT-154, our next-generation vaccine for COVID-19, we have initiated new vaccine discovery programs for Lyme disease and gonorrhea. The new discovery programs rely on the evidence of superior immunogenicity, durability, and breadth of immune response compared to conventional mRNA vaccines, as observed in the COVID-19 program.</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Lyme disease is a bacterial infection and is the most common vector-borne disease in the United States. Infection can spread to joints, the heart and the nervous system. Gonorrhea is a sexually transmitted disease (STD) that can infect the mucous membranes of the reproductive tract. It is the second most commonly reported bacterial sexually transmitted infection in the United States. We selected these diseases based on high unmet medical needs, good understanding of the path forward in vaccine target selection, and demonstration of proof of concept, as well as platform advantages that may be translated in a favorable vaccine product.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Enabling Technologies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Technologies – LUNAR-Genome Editing</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Genome editing therapies are based on the ability to modify a specific DNA sequence in the human genome. All genome editing molecular tools can be programmed to target a DNA sequence of interest. Although the diversity of programmable gene editing tools is increasing, all of them are based on a DNA binding component (either a protein or, as in the case of CRISPR-clustered regularly interspaced short palindromic repeats, an RNA sequence) plus a DNA modifier component (a protein that can either make double strand breaks on the DNA (nuclease), single strand breaks (nickase), or make chemical modification in the DNA (base editors)). One of the main roadblocks to applying genome editing as a therapy to treat human disease is the delivery of the genome editing tool components into the cells, either ex-vivo or in vivo, applying them directly into the human body and targeting the right organ.</w:t>
      </w:r>
    </w:p>
    <w:p>
      <w:pPr>
        <w:spacing w:after="0" w:line="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LUNAR-Genome editing program aims to leverage the ability of our LUNAR-mRNA technology to deliver any type of genome editing tools into target cells. Some of the genome editing tools are based on protein components working in pairs (TALEN-Transcriptional Activator-Like Effector Nuclease, ZFN-Zinc Finger Nuclease) or as a single protein (meganuclease), while other tools could have a combination of RNA and protein component (CRISPR). We have delivered mRNAs coding for TALEN proteins encapsulated in our LUNAR formulations acting on different targets, and also CRISPR Cas9 mRNA to edit the targeted DNA sequence.</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To test the efficacy of the different genome editing strategies as a proof of concept, we utilized target genes that encode proteins that are well known, that are involved in diseases and can be detected in the plasma, which facilitated the readout of the experiments. For evaluation of the LUNAR TALEN mRNA strategy, we designed TALEN pairs targeting either the mouse Pcsk9 gene or the human LPA gene which are involved in lipid metabolism and are associated with cardiovascular disease.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PCSK9</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Pcsk9 gene is expressed only in the liver, and the PCSK9 protein is secreted into the blood circulation. PCSK9 binds and downregulates the low-density lipoprotein (LDL) receptors (LDLR) present in the hepatocytes cell membrane, therefore reduction of PCSK9 protein levels increases LDLR (defined below) levels and its availability to take and reduce LDL-Cholesterol from the blood (Figure below. Top). A single intravenous dose of LUNAR-TALEN PCSK9 mRNA encapsulated LUNAR LNPs into wildtype mice led to insertions and deletions in the PCSK9 genomic DNA sequence which resulted in the inactivation of the PCSK9 gene and, consequently, a reduction of PCSK9 protein levels in the mouse plasma of the treated mice (Figure below. Bottom Left). Examination of the targeted PCSK9 DNA sequence extracted from different organs did not show any DNA modifications except for the liver, which is explained by the liver specificity of this LUNAR formulation (Figure below. Bottom Right).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910590</wp:posOffset>
            </wp:positionV>
            <wp:extent cx="5342890" cy="4580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2890" cy="458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Top: PCSK9 involvement in LDL-Cholesterol metabolism. PCSK inhibits LDL-Receptor activity and increases LDL-Cholesterol in circulation. Elimination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PCSK9 protein after editing the Pcsk9 target gene Bottom Left: LUNAR-PCSK9 TALEN mRNA dosing of mice at time Day 0 reduces levels of PCSK9 in circulation.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Bottom Right: Genome editing evaluation by sequencing shows INDEL (insertion/deletions) only in DNA extracted from the liver but not from other tissues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Lp(a)</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Lipoprotein(a), Lp(a), is a causal risk factor for cardiovascular disease. Numerous epidemiological studies have shown an association between higher circulating Lp(a) concentrations and an increased risk of atherosclerotic and aortic calcification cardiovascular disease. Lipid-lowering drugs do not effectively reduce Lp(a) levels that are mainly regulated by the genomic structure of the apo(a) gene named </w:t>
      </w:r>
      <w:r>
        <w:rPr>
          <w:rFonts w:ascii="Times New Roman" w:cs="Times New Roman" w:eastAsia="Times New Roman" w:hAnsi="Times New Roman"/>
          <w:sz w:val="18"/>
          <w:szCs w:val="18"/>
          <w:i w:val="1"/>
          <w:iCs w:val="1"/>
          <w:color w:val="auto"/>
        </w:rPr>
        <w:t>LPA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LPA</w:t>
      </w:r>
      <w:r>
        <w:rPr>
          <w:rFonts w:ascii="Times New Roman" w:cs="Times New Roman" w:eastAsia="Times New Roman" w:hAnsi="Times New Roman"/>
          <w:sz w:val="18"/>
          <w:szCs w:val="18"/>
          <w:color w:val="auto"/>
        </w:rPr>
        <w:t xml:space="preserve"> is expressed only in the liver and natural homozygous loss of this gene in humans has not been associated with adverse phenotypes, which makes </w:t>
      </w:r>
      <w:r>
        <w:rPr>
          <w:rFonts w:ascii="Times New Roman" w:cs="Times New Roman" w:eastAsia="Times New Roman" w:hAnsi="Times New Roman"/>
          <w:sz w:val="18"/>
          <w:szCs w:val="18"/>
          <w:i w:val="1"/>
          <w:iCs w:val="1"/>
          <w:color w:val="auto"/>
        </w:rPr>
        <w:t>LPA</w:t>
      </w:r>
      <w:r>
        <w:rPr>
          <w:rFonts w:ascii="Times New Roman" w:cs="Times New Roman" w:eastAsia="Times New Roman" w:hAnsi="Times New Roman"/>
          <w:sz w:val="18"/>
          <w:szCs w:val="18"/>
          <w:color w:val="auto"/>
        </w:rPr>
        <w:t xml:space="preserve"> a candidate for genome editing therapies. We designed and tested our LUNAR-TALEN-LPA technology in primary human hepatocytes and in a transgenic mouse model containing the human LPA gene. Like the PCSK9 model, either one or two intravenous doses of LUNAR-TALEN-LPA mRNA encapsulated LUNAR LNPs led to a significant reduction of Lp(a) levels in serum that correlated with the reduction of </w:t>
      </w:r>
      <w:r>
        <w:rPr>
          <w:rFonts w:ascii="Times New Roman" w:cs="Times New Roman" w:eastAsia="Times New Roman" w:hAnsi="Times New Roman"/>
          <w:sz w:val="18"/>
          <w:szCs w:val="18"/>
          <w:i w:val="1"/>
          <w:iCs w:val="1"/>
          <w:color w:val="auto"/>
        </w:rPr>
        <w:t>LPA</w:t>
      </w:r>
      <w:r>
        <w:rPr>
          <w:rFonts w:ascii="Times New Roman" w:cs="Times New Roman" w:eastAsia="Times New Roman" w:hAnsi="Times New Roman"/>
          <w:sz w:val="18"/>
          <w:szCs w:val="18"/>
          <w:color w:val="auto"/>
        </w:rPr>
        <w:t xml:space="preserve"> mRNA expression and the presence of gene editing in the </w:t>
      </w:r>
      <w:r>
        <w:rPr>
          <w:rFonts w:ascii="Times New Roman" w:cs="Times New Roman" w:eastAsia="Times New Roman" w:hAnsi="Times New Roman"/>
          <w:sz w:val="18"/>
          <w:szCs w:val="18"/>
          <w:i w:val="1"/>
          <w:iCs w:val="1"/>
          <w:color w:val="auto"/>
        </w:rPr>
        <w:t>LPA</w:t>
      </w:r>
      <w:r>
        <w:rPr>
          <w:rFonts w:ascii="Times New Roman" w:cs="Times New Roman" w:eastAsia="Times New Roman" w:hAnsi="Times New Roman"/>
          <w:sz w:val="18"/>
          <w:szCs w:val="18"/>
          <w:color w:val="auto"/>
        </w:rPr>
        <w:t xml:space="preserve"> target sequence.</w:t>
      </w:r>
    </w:p>
    <w:p>
      <w:pPr>
        <w:spacing w:after="0" w:line="29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u w:val="single" w:color="auto"/>
          <w:color w:val="auto"/>
        </w:rPr>
        <w:t>LUNAR-TALEN-LPA mRNA reduces human Lp(a) plasma levels and hepatic mRNA levels in a human Lp(a) transgenic mouse model after either one or two doses.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910590</wp:posOffset>
            </wp:positionV>
            <wp:extent cx="5342890" cy="2671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67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Enabling Technologies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CRISPR/Cas9</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efforts in CRISPR/Cas9 genome engineering are focused on generating proof-of-concept for our platform technology. To test the ability to deliver CRISPR/Cas9 complexes to the liver, we used a single guide RNA known to target the mouse </w:t>
      </w:r>
      <w:r>
        <w:rPr>
          <w:rFonts w:ascii="Times New Roman" w:cs="Times New Roman" w:eastAsia="Times New Roman" w:hAnsi="Times New Roman"/>
          <w:sz w:val="18"/>
          <w:szCs w:val="18"/>
          <w:i w:val="1"/>
          <w:iCs w:val="1"/>
          <w:color w:val="auto"/>
        </w:rPr>
        <w:t>TTR</w:t>
      </w:r>
      <w:r>
        <w:rPr>
          <w:rFonts w:ascii="Times New Roman" w:cs="Times New Roman" w:eastAsia="Times New Roman" w:hAnsi="Times New Roman"/>
          <w:sz w:val="18"/>
          <w:szCs w:val="18"/>
          <w:color w:val="auto"/>
        </w:rPr>
        <w:t xml:space="preserve"> gene and an mRNA encoding the Cas9 nuclease, both encapsulated in a proprietary LUNAR LNP (</w:t>
      </w:r>
      <w:r>
        <w:rPr>
          <w:rFonts w:ascii="Times New Roman" w:cs="Times New Roman" w:eastAsia="Times New Roman" w:hAnsi="Times New Roman"/>
          <w:sz w:val="18"/>
          <w:szCs w:val="18"/>
          <w:i w:val="1"/>
          <w:iCs w:val="1"/>
          <w:color w:val="auto"/>
        </w:rPr>
        <w:t>LUNAR-Cas9-TTR</w:t>
      </w:r>
      <w:r>
        <w:rPr>
          <w:rFonts w:ascii="Times New Roman" w:cs="Times New Roman" w:eastAsia="Times New Roman" w:hAnsi="Times New Roman"/>
          <w:sz w:val="18"/>
          <w:szCs w:val="18"/>
          <w:color w:val="auto"/>
        </w:rPr>
        <w:t xml:space="preserve">). The transthyretin (TTR) protein is expressed only in the liver and is secreted into the blood. In humans, mutations in the </w:t>
      </w:r>
      <w:r>
        <w:rPr>
          <w:rFonts w:ascii="Times New Roman" w:cs="Times New Roman" w:eastAsia="Times New Roman" w:hAnsi="Times New Roman"/>
          <w:sz w:val="18"/>
          <w:szCs w:val="18"/>
          <w:i w:val="1"/>
          <w:iCs w:val="1"/>
          <w:color w:val="auto"/>
        </w:rPr>
        <w:t>TTR</w:t>
      </w:r>
      <w:r>
        <w:rPr>
          <w:rFonts w:ascii="Times New Roman" w:cs="Times New Roman" w:eastAsia="Times New Roman" w:hAnsi="Times New Roman"/>
          <w:sz w:val="18"/>
          <w:szCs w:val="18"/>
          <w:color w:val="auto"/>
        </w:rPr>
        <w:t xml:space="preserve"> gene can cause transthyretin amyloidosis (ATTR), which is a progressive and fatal disorder resulting from the deposition of insoluble amyloid fibrils in different tissues of the body, predominantly the nervous system and the heart, resulting in organ failure. Reduction of TTR production by CRISPR/Cas9-mediated gene editing has been shown to halt disease progression (Fig. 2 Top). LUNAR-Cas9-TTR formulations were injected intravenously into wild-type mice. After a single dose, there was a significant reduction in the amount of TTR protein detected in the mouse serum at the doses tested (Fig.2, Bottom left). This reduction of TTR protein correlated with the deletions detected in the targeted </w:t>
      </w:r>
      <w:r>
        <w:rPr>
          <w:rFonts w:ascii="Times New Roman" w:cs="Times New Roman" w:eastAsia="Times New Roman" w:hAnsi="Times New Roman"/>
          <w:sz w:val="18"/>
          <w:szCs w:val="18"/>
          <w:i w:val="1"/>
          <w:iCs w:val="1"/>
          <w:color w:val="auto"/>
        </w:rPr>
        <w:t>TTR</w:t>
      </w:r>
      <w:r>
        <w:rPr>
          <w:rFonts w:ascii="Times New Roman" w:cs="Times New Roman" w:eastAsia="Times New Roman" w:hAnsi="Times New Roman"/>
          <w:sz w:val="18"/>
          <w:szCs w:val="18"/>
          <w:color w:val="auto"/>
        </w:rPr>
        <w:t xml:space="preserve"> genomic DNA extracted from the liver of the LUNAR-Cas9-TTR treated mice (Fig.2, Bottom right). Further, when our constructs were compared to a competitor’s results, using a similar Cas9 mRNA and </w:t>
      </w:r>
      <w:r>
        <w:rPr>
          <w:rFonts w:ascii="Times New Roman" w:cs="Times New Roman" w:eastAsia="Times New Roman" w:hAnsi="Times New Roman"/>
          <w:sz w:val="18"/>
          <w:szCs w:val="18"/>
          <w:i w:val="1"/>
          <w:iCs w:val="1"/>
          <w:color w:val="auto"/>
        </w:rPr>
        <w:t>TTR</w:t>
      </w:r>
      <w:r>
        <w:rPr>
          <w:rFonts w:ascii="Times New Roman" w:cs="Times New Roman" w:eastAsia="Times New Roman" w:hAnsi="Times New Roman"/>
          <w:sz w:val="18"/>
          <w:szCs w:val="18"/>
          <w:color w:val="auto"/>
        </w:rPr>
        <w:t>-targeting sgRNA, a significantly greater amount of gene editing was observed using the Arcturus mRNA and lipid nanoparticles. Demonstration of efficacy of the LUNAR mRNA platform with different genome editing technologies and targets will enable future discovery efforts toward the identification of new potential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1107440</wp:posOffset>
            </wp:positionH>
            <wp:positionV relativeFrom="page">
              <wp:posOffset>910590</wp:posOffset>
            </wp:positionV>
            <wp:extent cx="5342890" cy="4657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2890" cy="465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Top: TTR protein containing mutations aggregates and deposits forming amyloid fibers in different organs causing cardiomyopathies or neuropathies. Left: TTR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levels in the serum were reduced in mice treated with LUNAR-Cas9-TTR. Right: Quantitation of genome editing by DNA sequencing analysis showed a significant amount of INDELs (insertion/deletions) in the livers of mice treated with LUNAR-Cas9-TTR.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Technologies – Cancer vaccines</w:t>
      </w:r>
    </w:p>
    <w:p>
      <w:pPr>
        <w:spacing w:after="0" w:line="11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LUNAR Cancer vaccine discovery efforts are aimed at developing an immunotherapy against a tumor via activated T-cells. We contemplate that the vaccine would encode an antigen(s) that would be specifically presented by (or associated with) a tumor, such that the vaccination would elicit T cell responses that recognize and attack the tumor. We have applied our learnings from our more-advanced LUNAR-COVID-19 vaccine program to establish both STARR (self-amplifying) and conventional mRNA platforms for immuno-oncology therapy.</w:t>
      </w:r>
    </w:p>
    <w:p>
      <w:pPr>
        <w:spacing w:after="0" w:line="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 preclinical study, our proof of concept (POC) vaccine encoding AH1 antigen of gp70 protein which is highly expressed on the surface of mouse colorectal carcinoma cell line CT26 has demonstrated clear effectiveness in a syngeneic mouse model of a colorectal CT26 cell line. With intramuscular administration of the STARR vaccine (two doses of 10 ug), treated with a checkpoint inhibitor (CPI), anti-PD1/PDL1 antibody, led to a substantial reduction of tumor growth in comparison to the CPI treatment by itself (Panel A). Moreover, the same level of efficacy was achieved with a single administration of a 0.2 ug dose of the STARR vaccine.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4"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With various LUNAR formulations, conventional mRNA vaccine expressing the AH1 antigen also demonstrated a robust T cell response (Panel B) and reduction of tumor growth with anti-PD1/PDL1 treatment in the syngeneic mouse model. We believe that these POC results from the two platforms hints for the possible applicability to various types of cancer with flexibility in dosing regimens.</w:t>
      </w:r>
    </w:p>
    <w:p>
      <w:pPr>
        <w:spacing w:after="0" w:line="69"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Our current effort focuses on the selection of neoantigens, and other common tumor-specific antigens encoded in the cancer vaccines. Common tumor antigens can be shared among patients, and therefore target broader patient populations, whereas a neoantigen vaccine would be a personalized vaccine specific for an individual patient. Additional advancements of the LUNAR Cancer Vaccine program include the improvement of antigen cassette designs, STARR RNA elements, and immune modulator molecules, all of which can significantly enhance T cell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5334635" cy="1995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34635" cy="199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Figure: </w:t>
      </w:r>
      <w:r>
        <w:rPr>
          <w:rFonts w:ascii="Times New Roman" w:cs="Times New Roman" w:eastAsia="Times New Roman" w:hAnsi="Times New Roman"/>
          <w:sz w:val="16"/>
          <w:szCs w:val="16"/>
          <w:color w:val="auto"/>
        </w:rPr>
        <w:t>Antitumor activity and T cell response by Arcturus cancer vaccines. A. STARR vaccine expressing a tumor antigen led to a significant reduction of the tumor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growth rate of a colorectal cancer cell line, CT26. B. T responses elicited by conventional mRNA cancer vaccine by various LUNAR formulations.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Technologies – Immuno-oncology</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Cell-based therapies for hematologic malignancies using chimeric antigen receptor (CAR) T cells have made significant advances in the past decade. The success of CAR-T cells in immuno-oncology has led to a growing number of therapies utilizing other immune cell types engineered to express a variety of immunomodulatory molecules. Yet, despite their promise, extensive challenges still exist with this therapeutic approach. Some of the issues include toxicity, potential for insertional mutagenesis of the CAR construct, T cell malignancies, and an ex vivo manufacturing process that is complex, time consuming and costly. We believe that our LUNAR-I/O approach has the potential to ameliorate some of these issues. For example:</w:t>
      </w:r>
    </w:p>
    <w:p>
      <w:pPr>
        <w:spacing w:after="0" w:line="74" w:lineRule="exact"/>
        <w:rPr>
          <w:sz w:val="20"/>
          <w:szCs w:val="20"/>
          <w:color w:val="auto"/>
        </w:rPr>
      </w:pPr>
    </w:p>
    <w:p>
      <w:pPr>
        <w:ind w:left="1020" w:right="40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RNA-driven CAR expression in lymphocytes or immune cell types would be transient and therefore expected to have a lower side effect profile;</w:t>
      </w:r>
    </w:p>
    <w:p>
      <w:pPr>
        <w:spacing w:after="0" w:line="54"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integration into the germline DNA allowing for co-delivery of multiple therapeutic molecules without the risk of insertional mutagenesis; and</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CAR-expressing cells by a process that is quicker and cheaper, particularly when targeting specific immune cell subtypes in vivo.</w:t>
      </w:r>
    </w:p>
    <w:p>
      <w:pPr>
        <w:spacing w:after="0" w:line="55"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goal of the LUNAR-I/O program is to leverage the inherent advantages of both RNA and LUNAR technology to maximize clinical effectiveness of CAR-expressing cells. To this end, initial experiments have demonstrated that our proprietary LUNAR lipid nanoparticles can transfect &gt; 90% of both primary human CD8+ and CD4+ T lymphocytes in vitro. Our current efforts are focused on targeting T lymphocytes in vivo with either CAR-mRNA or CAR-STARR (self-amplifying RNA) constructs in combination with other immunostimulatory molecules.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Platform Technology 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LUNAR lipid-mediated delivery technology includes a diverse, growing library of over 300 proprietary lipids that we are rationally designing to be versatile, while maximizing efficacy and improving tolerability of a diverse selection of nucleic acids, refining the LNPs to target specific cell types, and determining the most favorable routes of administration. A key feature of our LUNAR lipids is their biodegradability, decreasing the undesired effects caused by lipid accumulation that are associated with tolerability issues present in other lipid-mediated RNA medicine delivery platforms. Our team continues to advance our LUNAR lipid formulated nucleic acid platform in a scalable and highly reproducible manner, reducing the costs of goods for the therapies in our pipeline.</w:t>
      </w:r>
    </w:p>
    <w:p>
      <w:pPr>
        <w:spacing w:after="0" w:line="7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In addition to our LUNAR lipid-mediated delivery technology, we believe we have created innovative, proprietary advancements in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6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continue to invest in our LUNAR lipid-mediated delivery of mRNA (encoding CRISPR-Cas9, TALEN, zinc finger proteins, and meganucleases), siRNA, DNA, microRNA, and antisense oligonucleotide technology platforms to improve their efficacy and safety profile, further expanding their applications. This investment has led to key innovations ensuring that our LUNAR formulated drug product candidates have optimal characteristics for therapeutic use, which we believe sets us apart from other nucleic acid therapeutics and lipid-mediated delivery platforms. As such, we consider ourselves a leader in the research and development of systemically administered mRNA therapeutics.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Attributes of Our LUNAR Lipid-Mediated Delivery Technology</w:t>
      </w:r>
    </w:p>
    <w:p>
      <w:pPr>
        <w:spacing w:after="0" w:line="334"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We have designed our LUNAR lipid-mediated delivery platform to address major challenges with nucleic acid medicine delivery, including transfection efficiency, adverse immune reactions and liver damage.</w:t>
      </w:r>
    </w:p>
    <w:p>
      <w:pPr>
        <w:spacing w:after="0" w:line="5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LUNAR formulations are a multi-component, lipid-mediated drug delivery system that utilizes our proprietary lipids, called ATX lipids. Each of our ATX lipids contain an ionizable head group and a biodegradable lipid backbone. The head group is a key chemical component of the ATX lipid, making it pH-sensitive and providing it distinct advantages as a component of our LUNAR lipid formulation. At acidic pH, ATX lipids are positively charged, facilitating interaction with the negatively charged nucleic acid, thereby enabling LUNAR particle formation. At physiological pH (e.g., pH 7.4),the ATX lipids within the LUNAR formulations are neutrally charged, reducing the toxicity often seen with permanently positively-charged lipid-mediated delivery technology. Upon uptake into a cell by endocytosis (a process that forms a cellular structure called an endosome around the LUNAR formulated nucleic acid therapeutic), the head group again becomes positively charged, disrupting the endosome and the LUNAR particle, resulting in release of the nucleic acid therapeutic into the cell where is it translated to produce a therapeutic protein.</w:t>
      </w:r>
    </w:p>
    <w:p>
      <w:pPr>
        <w:spacing w:after="0" w:line="8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disruption of the LUNAR particle also releases the components of the formulation into the cell, where the ATX lipid is degraded by enzymes in the cell allowing for the lipids to be cleared from the cell. We designed the ATX lipid to be rapidly biodegradable by engineering chemical structural components, called esters, into the ATX backbone that are sensitive to cellular enzymes, called esterases. This degradation prevents ATX lipids from accumulating inside the cell and causing toxicity.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Biodegradable, highly optimized for each cell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342890" cy="1729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2890" cy="172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LUNAR-platform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development of our LUNAR platform is focused on continuous innovation and advancement in the following areas:</w:t>
      </w:r>
    </w:p>
    <w:p>
      <w:pPr>
        <w:spacing w:after="0" w:line="117" w:lineRule="exact"/>
        <w:rPr>
          <w:sz w:val="20"/>
          <w:szCs w:val="20"/>
          <w:color w:val="auto"/>
        </w:rPr>
      </w:pPr>
    </w:p>
    <w:p>
      <w:pPr>
        <w:ind w:left="1020" w:right="2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incorporate novel ATX lipids and formulations to enrich our library of proprietary ATX lipids for target cell/tissue specificity, improved tolerability and translatability to larger species;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improvise manufacturing processes for LUNAR formulations to ensure RNA encapsulation across compositions and scales;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stabilization strategies (e.g. lyophilized presentation) for LUNAR formulations to mitigate frozen storage;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Continually assess and improvise LUNAR screening funnel to enable rigorous selection of ATX lipids for various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above efforts, our versatile LUNAR platform continues to drive internal and partner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ATX Lipid Design and In Vivo Screening Process</w:t>
      </w:r>
    </w:p>
    <w:p>
      <w:pPr>
        <w:spacing w:after="0" w:line="33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As mentioned above, we have generated a growing library of more than 300 proprietary ATX lipids. ATX lipids are rationally designed to fit their respective applications and vary depending on the target cell type and route of administration. We perform extensive formulation screening for each nucleic acid therapeutic candidate to determine the optimal ATX lipid and LUNAR composition for the particular nucleic acid therapeutic candidate, the desired route of administration, and target cell type.</w:t>
      </w:r>
    </w:p>
    <w:p>
      <w:pPr>
        <w:spacing w:after="0" w:line="7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design of ATX lipids is an iterative process based on in vivo protein expression and tolerability results from previous ATX lipid candidates. New ATX lipids are chemically synthesized and used to package both siRNAs for inhibiting target protein expression and mRNAs expressing a secreted protein. The ATX lipid formulated RNAs must meet specific chemical and biophysical acceptance criteria before being tested for biological activity. RNA formulations meeting all acceptance criteria are first screened for protein expression in mice. Active candidates are then tested for tolerability and preliminary tissue clearance rates following administration. Active candidates are further verified by evaluating protein expression in non-human primates. Active ATX lipid candidates demonstrating high levels of protein expression and equivalent or improved tissue clearance rates are then assigned to a specific disease target for development of therapeutic applications. The following results are from an in vivo mRNA expression study which identified three new highly active LUNAR lipids with regard to protein expression in non-human primates compared to the positive control.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1509395</wp:posOffset>
            </wp:positionH>
            <wp:positionV relativeFrom="page">
              <wp:posOffset>910590</wp:posOffset>
            </wp:positionV>
            <wp:extent cx="4495165" cy="73291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95165" cy="732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top two figures, mice were injected intravenously with 4 different LUNAR lipid formulations containing mRNA expressing human erythropoietin (EPO). The LUNAR lipids that were screened were LUNAR96, LUNAR97, LUNAR98 and LUNAR2 at 0.1 mg/kg 0.3 mg/kg RNA doses. LUNAR lipid 2 formulation is a positive control to which expression from the other formulations is compared. Mice were bled 24 hours after injection and assayed for EPO, a secreted protein. The figure below the mouse human EPO expression figure shows the clearance of the LUNAR lipids from the liver 48 hours after administration of 0.1mg/kg and 0.3 mg/kg RNA doses. LUNAR 96, 97 and 98 yielded much higher expression levels of EPO than LUNAR 2, the positive control for both doses tested. The mouse liver clearance figure shows that the residual amount of LUNAR96 and LUNAR98 were below the limit of detection and the residual amount of LUNAR97 was at least 10-fold less than the remaining amount of LUNAR2 at the 0.1 mg/kg RNA dose and at least two-fold less than the residual amount of LUNAR2 at the higher RNA dose. LUNAR96 and LUNAR98 formulations were tested for EPO expression in non-human primates at a single dose and assayed for secreted EPO in the blood 24 hours after IV administration. Both LUNAR96 and LUNAR98 yielded significantly higher expression levels than the positive control, LUNAR2 further confirming the superior performance of the new LUNAR formulations. Hence, this lipid screen identified 3 LUNAR lipids that yielded greater RNA expression in mice and 2 LUNAR lipids in NHPs, and were rapidly cleared from the liver within 48 hours after administration.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Lung Targeting</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Aerosol capabilities have been developed for the Cystic Fibrosis program using our proprietary lipid nanoparticle delivery platform, LUNAR. Characterization and optimization of the aerosolized LUNAR formulations in targeting airway epithelium have been achieved in rodent (mice, rat) and nonrodent models (ferret, NHP) as depicted in the image using a reporter mRNA encapsulated in LUNAR. We expect that the validation attained for the inhaled LUNAR platform in the Cystic Fibrosis program will serve as a translatable approach to support other respiratory approaches where targeting airway epithelium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5317490" cy="2474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7490" cy="247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 delivery to airways epithelium demonstrated in vivo across species (rodents, ferrets, NHPs)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Liver Targeting</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proof of concept for augmenting LUNAR liver-targeting capabilities, we are developing LUNAR formulations containing a propriety hepatocyte targeting agent. Traditional lipid nanoparticle-mediated delivery to hepatocytes occurs via uptake by the low-density lipoprotein receptor (LDLR). We evaluated this targeting agent in an LDLR-deficient mouse model and found that only the LUNAR formulations with this targeting agent were able to deliver mRNA to the hepatocytes compared to LUNAR formulations that did not contain the targeting agent. Based on these promising data, we are expanding these platform development efforts.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1689735</wp:posOffset>
            </wp:positionH>
            <wp:positionV relativeFrom="page">
              <wp:posOffset>979170</wp:posOffset>
            </wp:positionV>
            <wp:extent cx="4460875" cy="1729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460875" cy="172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 Safety (i.v. administration)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LUNAR-CF - ARCT-032 Nonclinical Safety Profile</w:t>
      </w:r>
    </w:p>
    <w:p>
      <w:pPr>
        <w:spacing w:after="0" w:line="117" w:lineRule="exact"/>
        <w:rPr>
          <w:sz w:val="20"/>
          <w:szCs w:val="20"/>
          <w:color w:val="auto"/>
        </w:rPr>
      </w:pPr>
    </w:p>
    <w:p>
      <w:pPr>
        <w:jc w:val="both"/>
        <w:ind w:firstLine="509"/>
        <w:spacing w:after="0" w:line="288" w:lineRule="auto"/>
        <w:rPr>
          <w:sz w:val="20"/>
          <w:szCs w:val="20"/>
          <w:color w:val="auto"/>
        </w:rPr>
      </w:pPr>
      <w:r>
        <w:rPr>
          <w:rFonts w:ascii="Times New Roman" w:cs="Times New Roman" w:eastAsia="Times New Roman" w:hAnsi="Times New Roman"/>
          <w:sz w:val="17"/>
          <w:szCs w:val="17"/>
          <w:color w:val="auto"/>
        </w:rPr>
        <w:t>Arcturus has instituted a robust ATX lipid screening paradigm to ensure that we identify formulations with suitable properties for the intended drug’s target product profile, whether is it a protein replacement therapy, a gene editing treatment, or a vaccine. Drug product safety is a key feature in that profile. A recent example of the outcome of these efforts is the nonclinical safety profile we obtained with ARCT-032 that has enabled the first-in-human trials.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Proprietary mRNA and Protein Design Technology</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mRNA programs in our pipeline benefit from our in-house expertise in protein and mRNA design, which helps us address many of the known challenges that face the viability of mRNA therapeutics today. We have identified several design elements of mRNA compounds that provide improved translation (the process of making protein based on the instructions/codes in the mRNA) of our mRNA therapeutics, including untranslated regions derived from species that have not previously been combined with human mRNA sequences. This platform technology is applicable to many different human mRNA sequences that we are currently investigating in our discovery efforts. We are able to engineer human protein sequences to increase the half-life of the proteins produced by our mRNA therapies and can more efficiently direct specific types of proteins to certain cellular structures of interest. These innovations are broadly applicable to several programs that are part of our mRNA discovery efforts.</w:t>
      </w:r>
    </w:p>
    <w:p>
      <w:pPr>
        <w:spacing w:after="0" w:line="79"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these platform technologies, we have developed a proprietary tool to aid our team in the efficient design and development of new mRNA drug candidates. Our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in silico quality control pipelines, mRNA Design Suite promptly generates high-quality and error-free sequences accompanied by various statistics. Additionally, mRNA Design Suite seamlessly interacts with our plasmid/mRNA production database to accelerate the process from mRNA design to gene synthesis, cloning, and mRNA production.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mRNA Technology</w:t>
      </w:r>
    </w:p>
    <w:p>
      <w:pPr>
        <w:spacing w:after="0" w:line="54"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7"/>
          <w:szCs w:val="17"/>
          <w:color w:val="auto"/>
        </w:rPr>
        <w:t>In addition to our LUNAR lipids technology, our platform technologies include our distinct and proprietary self-amplifying RNA (saRNA) platform, termed STARR. The STARR platform includes proprietary algorithms that inform the design and optimization of saRNA to enhance expression of the applicable antigen while minimizing structures that might inhibit expression. The replicase, an RNA-dependent RNA polymerase, is encoded upstream of the antigen of interest and functions to amplify transcripts and increase the duration of antigen expression compared to non-self-amplifying (conventional) mRNA. The enhanced expression leads to higher immunogenicity at lower doses than conventional mRNA vaccines in preclinical studies (Figure below).</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533400</wp:posOffset>
            </wp:positionH>
            <wp:positionV relativeFrom="page">
              <wp:posOffset>1047750</wp:posOffset>
            </wp:positionV>
            <wp:extent cx="4683760" cy="1678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683760" cy="167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The above results show the luciferase expression from an optimized saRNA, STARR Technology (Green), a non-optimized saRNA (Blue) and the conventional RNA (Purple). The STARR Technology yields at least a 30-fold greater expression level than conventional RNA. The STARR Technology also produces a longer duration of expression compared to the conventional RNA and also the non-optimized self-amplifying RNA.</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believe the combination of LUNAR and STARR technology can provide lower dose requirements by generating a superior immune response and sustained protein expression as compared to non-self-amplifying RNA-based vaccines. We believe this LUNAR/STARR technology will enable us to simplify and increase the speed of vaccine production.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supply and manufacturing strategies are focused on addressing the following considerations:</w:t>
      </w:r>
    </w:p>
    <w:p>
      <w:pPr>
        <w:spacing w:after="0" w:line="117"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pre-clinical &amp; clinical pipeline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late-stage clinical and commercial scale COVID vaccine products;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global product demand.</w:t>
      </w:r>
    </w:p>
    <w:p>
      <w:pPr>
        <w:spacing w:after="0" w:line="33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date, we have manufactured and supplied gram quantities of drug substance, and scaled-up and validated our finished drug products (COVID Vaccine) through our CDMOs for clinical studies, and commercial readiness. We continue to dedicate, resources to advance our sophisticated manufacturing know-how, including formulation of lipid nanoparticles, which improves manufacturing efficiency and capacity. As the market for COVID vaccines shifts from multi-dose vial formats to lower and single-dose vial formats, we continue, with our collaborator CSL Seqirus, to evaluate and advance manufacturing process and capabilities and technology transfers, and prepare for commercialization of COVID vaccines.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center"/>
        <w:ind w:right="-19"/>
        <w:spacing w:after="0"/>
        <w:rPr>
          <w:sz w:val="20"/>
          <w:szCs w:val="20"/>
          <w:color w:val="auto"/>
        </w:rPr>
      </w:pPr>
      <w:r>
        <w:rPr>
          <w:rFonts w:ascii="Calibri" w:cs="Calibri" w:eastAsia="Calibri" w:hAnsi="Calibri"/>
          <w:sz w:val="30"/>
          <w:szCs w:val="30"/>
          <w:color w:val="auto"/>
        </w:rPr>
        <w:t>Global Manufacturing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269875</wp:posOffset>
            </wp:positionV>
            <wp:extent cx="5342890" cy="2406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289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For the near future, we expect to continue to rely on third-party CDMOs for the supply of drug substance and finished drug product for our current product candidates, including to support the launch of our first commercial product.</w:t>
      </w:r>
    </w:p>
    <w:p>
      <w:pPr>
        <w:spacing w:after="0" w:line="5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Our CDMOs are compliant with CGMPs, and other rules and regulations prescribed by foreign regulatory authorities. We believe we have established sufficient manufacturing capacity through our CDMOs to meet our current internal research, development, and potential commercial needs, as well as our obligations under existing agreements with our partners. Additionally, we continue to evaluate relationships with additional suppliers to increase overall capacity and diversify our supply chain.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Collaboration Arrangements and Other Material Agreements</w:t>
      </w:r>
    </w:p>
    <w:p>
      <w:pPr>
        <w:spacing w:after="0" w:line="12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In addition to our internal programs, we have a number of strategic alliances where we collaborate with other parties on discovery, development, manufacturing or other efforts based on our LUNAR lipid-mediated delivery system and our proprietary mRNA and protein design technologies. Among other collaboration arrangements,</w:t>
      </w:r>
    </w:p>
    <w:p>
      <w:pPr>
        <w:spacing w:after="0" w:line="69" w:lineRule="exact"/>
        <w:rPr>
          <w:sz w:val="20"/>
          <w:szCs w:val="20"/>
          <w:color w:val="auto"/>
        </w:rPr>
      </w:pPr>
    </w:p>
    <w:p>
      <w:pPr>
        <w:ind w:left="1020" w:right="24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collaboration with CSL Seqirus for vaccines against SARS-CoV-2 (COVID-19), influenza and three other respiratory infectious diseases;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funding from the CFF to support our LUNAR-CF development program;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partnering with Ultragenyx to develop mRNA therapeutic candidates for rare disease targets; and</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contract with BARDA to support the development of a low-dose pandemic influenza candidate based on our proprietary self-amplifying messenger RNA-based vaccine platform.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CSL Seqirus</w:t>
      </w:r>
    </w:p>
    <w:p>
      <w:pPr>
        <w:spacing w:after="0" w:line="119"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In November 2022, we entered into the CSL Collaboration Agreement with CSL Seqirus for the global exclusive rights to research, develop, manufacture and commercialize self-amplifying mRNA vaccines. The CSL Collaboration Agreement became effective on December 8, 2022, following clearance under the Hart-Scott-Rodino Antitrust Improvements Act.</w:t>
      </w:r>
    </w:p>
    <w:p>
      <w:pPr>
        <w:spacing w:after="0" w:line="6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Under the CSL Collaboration Agreement, CSL Seqirus receives global exclusive rights to our technology for vaccines against SARS-CoV-2 (COVID-19), influenza and three other respiratory infectious diseases. Specifically, the collaboration agreement grants CSL Seqirus a license to our STARR mRNA technology and LUNAR lipid-mediated delivery, as well as mRNA drug substance and drug product manufacturing expertise. CSL has also been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38" w:name="page39"/>
    <w:bookmarkEnd w:id="38"/>
    <w:p>
      <w:pPr>
        <w:spacing w:after="0" w:line="84"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granted global non-exclusive rights in the field of pandemic preparedness (i.e., pathogens identified as priority diseases by the WHO), with the right to convert to an exclusive license.</w:t>
      </w:r>
    </w:p>
    <w:p>
      <w:pPr>
        <w:spacing w:after="0" w:line="55"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The CSL Collaboration Agreement sets forth how the parties will collaborate to research and develop vaccine candidates. In the COVID-19 field, we undertake activities for certain regulatory filings for our leading self-amplifying mRNA vaccine candidate in COVID-19, ARCT-154, in the United States and Europe and for research and development activities of a next-generation COVID vaccine candidate. CSL Seqirus leads and is responsible for all other research and development in COVID-19, influenza and the other fields.</w:t>
      </w:r>
    </w:p>
    <w:p>
      <w:pPr>
        <w:spacing w:after="0" w:line="7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received an up-front payment of $200.0 million, with the potential to receive development milestones totaling more than $1.3 billion if all products are registered in the licensed fields. We also are entitled to potentially receive up to $3.0 billion in commercial milestones based on “net sales” of vaccines in the various fields. In addition, we are entitled to receive a 40% share of net profits from COVID-19 vaccine sales and up to low double-digit royalties of annual net sales for vaccines against influenza, pandemic preparedness and three additional respiratory infectious diseases. Entitlement to all such payments is subject to the strict conditions, requirements, royalty reduction provisions and other limitations set forth in the CSL Collaboration Agreement.</w:t>
      </w:r>
    </w:p>
    <w:p>
      <w:pPr>
        <w:spacing w:after="0" w:line="78"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Either party may terminate the CSL Collaboration Agreement on a field-by-field basis for material breach by the other party, following notice and opportunity to cure. CSL Seqirus may also terminate the collaboration agreement in its entirety or on a field-by-field basis for any reason or no reason whatsoever, with certain limitations. The CSL Collaboration Agreement may also be terminated by CSL Seqirus for safety reasons, clinical data nonviability, commercial nonviability and other specified reasons.</w:t>
      </w:r>
    </w:p>
    <w:p>
      <w:pPr>
        <w:spacing w:after="0" w:line="74"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CSL Collaboration Agreement allows us to fulfill our obligations under the award from the Biomedical Advanced Research and Development Authority (BARDA) relating to rapid pandemic influenza response, announced by Arcturus in August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Cystic Fibrosis Foundation Agreement</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May 16, 2017, pursuant to a Development Program Letter Agreement (as amended, the “CFF Agreement”) with the CFF, CFF agreed to award us funding for a development program to identify lead CFTR mRNA sequences and LUNAR formulations, demonstrate tolerability of LUNAR CFTR mRNA, and demonstrate translatability of aerosolized LUNAR. The award includes a grant of rights to CFF know-how to assist us to research, develop, commercialize, make or otherwise exploit a product. If the award results in a successful commercialized product, we will pay CFF (i) royalties on sales of the product up to a maximum of a single-digit multiple of the total award amount actually paid to us by CFF, and (ii) thereafter, a single-digit percentage of annual net sales. Further, in the event of a license, sale or other transfer of the product or our development program technology (including a change of control transaction), we will pay CFF a percentage of such license, sale or transfer payments actually received by us or our shareholders (subject to a royalty cap). On August 1, 2019, we entered into an amendment to the CFF Agreement. Pursuant to the amendment, (i) CFF will increase the amount it will award to advance LUNAR-CF, (ii) we will provide a certain amount of matching funds for remaining budgeted costs, and (iii) the related disbursement schedule from CFF to us was modified such that (a) a disbursement was made upon execution of the amendment, (b) an agreed upon amount will be disbursed to us within thirty days of the first day of each of January, April, July and October 2020, and (c) the last payment will be disbursed upon us invoicing CFF to meet good manufacturing practices and submitting an IND application. In January 2022, the parties signed an additional amendment for CFF to fund the development of a CF ferret model for application in the development of ARCT-032, our LUNAR-CF candidate.</w:t>
      </w:r>
    </w:p>
    <w:p>
      <w:pPr>
        <w:spacing w:after="0" w:line="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September 25, 2023, we entered into an additional amendment (the “Fourth Amendment”) to the CFF Agreement, pursuant to which we and CFF agreed to: (a) increase the Amount of Award (as defined in the CFF Agreement and applicable amendment) from CFF to advance LUNAR-CF by up to $9 million (for a total to date of up to approximately $25 million), and required Arcturus to provide $15 million in matching funds for remaining budgeted costs; (b) modify the existing rates and caps on royalties due to CFF under the CFF Agreement, including the addition of an option for Arcturus to reduce the royalty rate through a one-time payment; (c) modify the calculation of payments from Arcturus to CFF in the event of certain dispositions or licensing of cystic fibrosis or other pulmonary assets or of a change of control of Arcturus; and (d) make corresponding changes to exhibits, definitions and other provisions of the CFF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Ultragenyx</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October 26, 2015, we entered into a Research Collaboration and License Agreement with Ultragenyx, which was later amended in 2017, 2018 and during the second quarter of 2019 (as amended, the “Ultragenyx Agreement”). Ultragenyx initially selected two development targets, including Glycogen Storage Disease Type III, and the parties initially agreed to a list of eight additional reserved rare disease targets which Ultragenyx has an exclusive option to select for collaborative development. Under the Ultragenyx Agreement, we granted Ultragenyx exclusivity (i) with respect to development targets, to the development and commercialization of products containing nucleic acid technology, and (ii) with respect to reserved targets, the development and commercialization of any product containing nucleic acid products or utilizing LUNAR lipid-mediated delivery technology.</w:t>
      </w:r>
    </w:p>
    <w:p>
      <w:pPr>
        <w:spacing w:after="0" w:line="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June 18, 2019, we expanded our collaboration with Ultragenyx and entered into a third amendment (the “Third Amendment”) to the Ultragenyx Agreement. Pursuant to the Third Amendment, the total number of targets was increased from 10 to 12, and we granted Ultragenyx exclusivity to development targets for four years at no additional cost. In connection with the Third Amendment, Ultragenyx purchased shares of our common stock and made a one-time upfront payment. Ultragenyx also received a two-year option to purchase additional shares of our common stock which they exercised in May of 2020.</w:t>
      </w:r>
    </w:p>
    <w:p>
      <w:pPr>
        <w:spacing w:after="0" w:line="7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December 1, 2021, Ultragenyx announced that the first patient had been dosed in its Phase 1/2 study of UX053, an investigational messenger RNA therapy in development under the collaboration for the treatment of Glycogen Storage Disease Type III, and thus the first milestone under the collaboration agreement had been met. Ultragenyx completed dosing in the single ascending dose, or SAD, stage of the Phase 1/2 study of UX053 with no safety issues observed. In May 2023, Ultragenyx announced that it terminated the Phase 1/2 study for UX053 due to reasons unrelated to safety concerns. On June 18, 2023, the exclusivity period for reserved targets expired. Prior to this expiration, Ultragenyx exercised its option with respect to some of its reserved targets thereby converting them to development targets under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BARDA</w:t>
      </w:r>
    </w:p>
    <w:p>
      <w:pPr>
        <w:spacing w:after="0" w:line="11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In August 2022, we entered into a cost reimbursement contract with the Biomedical Advanced Research and Development Authority (“BARDA”) of the U.S. Department of Health and Human Services to support the development of a low-dose pandemic influenza candidate based on our proprietary self-amplifying messenger RNA-based vaccine platform.</w:t>
      </w:r>
    </w:p>
    <w:p>
      <w:pPr>
        <w:spacing w:after="0" w:line="6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contract is to support our non-clinical and pre-clinical development, early-stage clinical development through Phase 1, and associated drug product manufacturing, regulatory and quality-assurance activities over a period of three years. The contract provides for reimbursement by BARDA of Arcturus’ permitted costs incorporated into the contract, up to $63.2 million. The contract does not include the purchase of any pandemic influenza vaccine that eventually may be developed. The contract is terminable by BARDA at any time under specified circumstances, including for convenience.</w:t>
      </w:r>
    </w:p>
    <w:p>
      <w:pPr>
        <w:spacing w:after="0" w:line="74"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This contract is part of BARDA’s ongoing efforts to bolster pandemic preparedness and response capabilities by investing in innovative medical counter-measures that can help prevent the medical consequences that result from outbreaks caused by pandemic influenza and emerging infectious diseases.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CureVac</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1, 2018, we entered into a Development and Option Agreement with CureVac, which was amended on May 3, 2018, restated on September 28, 2018 and amended on July 24, 2019 (as amended and restated, the “Development and Option Agreement”). Under the terms of the Development and Option Agreement, CureVac and Arcturus agreed to conduct joint preclinical development programs and we granted CureVac a license to develop and commercialize certain products incorporating certain of our technology (the “Arcturus LMD Technology”) and CureVac technology. CureVac did not exercise its option to extend the term prior to its expiration, and the Development and Option Agreement expired as of July 24, 2023.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ARCALIS Joint Venture</w:t>
      </w:r>
    </w:p>
    <w:p>
      <w:pPr>
        <w:spacing w:after="0" w:line="119"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On August 14, 2023, we announced that ARCALIS Inc. (ARCALIS), our manufacturing joint venture in Japan to support the production of mRNA vaccines and therapeutics, had been awarded up to $115 million in two separate grants from the Japanese government. We anticipate that these grants will be used to fund the construction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of a factory and the purchase of capital equipment to support current Good Manufacturing Practice (cGMP) production of mRNA drug substance and mRNA drug product operations.</w:t>
      </w:r>
    </w:p>
    <w:p>
      <w:pPr>
        <w:spacing w:after="0" w:line="55" w:lineRule="exact"/>
        <w:rPr>
          <w:sz w:val="20"/>
          <w:szCs w:val="20"/>
          <w:color w:val="auto"/>
        </w:rPr>
      </w:pPr>
    </w:p>
    <w:p>
      <w:pPr>
        <w:ind w:right="120" w:firstLine="509"/>
        <w:spacing w:after="0" w:line="276" w:lineRule="auto"/>
        <w:rPr>
          <w:sz w:val="20"/>
          <w:szCs w:val="20"/>
          <w:color w:val="auto"/>
        </w:rPr>
      </w:pPr>
      <w:r>
        <w:rPr>
          <w:rFonts w:ascii="Times New Roman" w:cs="Times New Roman" w:eastAsia="Times New Roman" w:hAnsi="Times New Roman"/>
          <w:sz w:val="17"/>
          <w:szCs w:val="17"/>
          <w:color w:val="auto"/>
        </w:rPr>
        <w:t>On October 4, 2023, we announced that ARCALIS was selected by the Japanese Ministry of Economy, Trade and Industry to receive additional financial support to construct a DNA template manufacturing facility along with new state-of-the-art equipment. DNA plasmid generated at this facility would be used as key starting material in the manufacture of mRNA drug substance at ARCALIS’ neighboring mRNA drug substance facility, which was completed in July 2023. To date, approximately $165 million has been awarded to ARCALIS by the Japanese government, subject to certain terms and conditions, to build mRNA Drug Substance, mRNA Drug Product manufacturing capabilities and to construct a DNA template manufacturing facility.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Our business success depends in part on our ability to obtain and maintain intellectual property protection for our proprietary technologies, inventions and know-how, and on our ability to operate without infringing on the proprietary rights of others. We strive to protect our intellectual property through a combination of patents, trademarks, trade secrets, licensing agreements, invention assignment agreements and confidentiality agreements with employees, advisors, consultants and contractors.</w:t>
      </w:r>
    </w:p>
    <w:p>
      <w:pPr>
        <w:spacing w:after="0" w:line="74"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We rely on continuing technological innovation to strengthen our proprietary position in the field of nucleic acid medicines. Therefore, we plan to continue to file patent applications in jurisdictions around the world as we discover and develop novel nucleic acid technology platforms and novel nucleic acid therapeutic candidates. We cannot guarantee that future applications will be issued.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Patent Portfolio</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February 26, 2024, we own over 438 patents and pending patent applications including 46 granted U.S. patents, 41 pending U.S. patent applications, six pending international applications under Patent Cooperation Treaty (“PCT”), 157 granted foreign patents and 188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acids, the use of UNA oligomers for therapeutics and reagents, the use of LNA oligomers for therapeutics, specific nucleic acid modalities for treating disease, as well as our proprietary technology regarding the design, manufacture, and purification of nucleic acids for use in therapy. Claims also cover the composition of matter, formulation, and use of our therapeutic candidates to prevent and/or treat target diseases including OTC deficiency, CF and COVID-19. If issued, our patents are expected to expire between 2028 and 2044, without taking into account any possible patent term extensions.</w:t>
      </w:r>
    </w:p>
    <w:p>
      <w:pPr>
        <w:spacing w:after="0" w:line="81" w:lineRule="exact"/>
        <w:rPr>
          <w:sz w:val="20"/>
          <w:szCs w:val="20"/>
          <w:color w:val="auto"/>
        </w:rPr>
      </w:pPr>
    </w:p>
    <w:p>
      <w:pPr>
        <w:ind w:right="720" w:firstLine="509"/>
        <w:spacing w:after="0" w:line="281" w:lineRule="auto"/>
        <w:rPr>
          <w:sz w:val="20"/>
          <w:szCs w:val="20"/>
          <w:color w:val="auto"/>
        </w:rPr>
      </w:pPr>
      <w:r>
        <w:rPr>
          <w:rFonts w:ascii="Times New Roman" w:cs="Times New Roman" w:eastAsia="Times New Roman" w:hAnsi="Times New Roman"/>
          <w:sz w:val="18"/>
          <w:szCs w:val="18"/>
          <w:color w:val="auto"/>
        </w:rPr>
        <w:t>Our patent portfolio includes the following patents and pending patent applications for LUNAR, UNA and the use of LNA in certain RNA medicines:</w:t>
      </w:r>
    </w:p>
    <w:p>
      <w:pPr>
        <w:spacing w:after="0" w:line="62" w:lineRule="exact"/>
        <w:rPr>
          <w:sz w:val="20"/>
          <w:szCs w:val="20"/>
          <w:color w:val="auto"/>
        </w:rPr>
      </w:pPr>
    </w:p>
    <w:p>
      <w:pPr>
        <w:ind w:left="1020" w:right="320" w:hanging="504"/>
        <w:spacing w:after="0" w:line="23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As of February 26, 2024, we own 20 U.S. patents, 12 U.S. pending patent applications, one international patent application (“PCT”), 56 foreign granted patents, and 91 foreign pending patent applications covering the composition of matter, manufacture of lipid nanoparticles (including lyophilization), and use of our LUNAR technology for nucleic acid delivery and drug delivery.</w:t>
      </w:r>
    </w:p>
    <w:p>
      <w:pPr>
        <w:spacing w:after="0" w:line="212"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 tRNA, mRNA and LNA – As of February 26, 2024, we own 25 U.S. patents, 23 U.S. pending patent applications, three PCT applications, 83 granted foreign patents and 58 foreign pending patent applications covering methods and uses of LNA, UNA oligomer and mRNA therapeutics, tRNA constructs, and compositions of UNA oligomers or mRNA to treat specific target diseases.</w:t>
      </w:r>
    </w:p>
    <w:p>
      <w:pPr>
        <w:spacing w:after="0" w:line="197" w:lineRule="exact"/>
        <w:rPr>
          <w:rFonts w:ascii="Times New Roman" w:cs="Times New Roman" w:eastAsia="Times New Roman" w:hAnsi="Times New Roman"/>
          <w:sz w:val="18"/>
          <w:szCs w:val="18"/>
          <w:color w:val="auto"/>
        </w:rPr>
      </w:pPr>
    </w:p>
    <w:p>
      <w:pPr>
        <w:ind w:left="1020" w:right="80" w:hanging="504"/>
        <w:spacing w:after="0" w:line="24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In 2019, we began to develop our STARR platform which combines our proprietary LUNAR delivery systems with technologies that enable self-transcribing and self-amplifying RNA. As noted above, our robust LUNAR portfolio of over 168 patents and patent applications, provides protection for delivery vehicles that can enable specific and effective delivery of STARR drug substances. Our portfolio has expanded, and as of February 26, 2024 own two pending U.S. nonprovisional patent applications, 21 pending foreign applications. Our first granted U.S. patent for our STARR platform is U.S. 11,759,515 (issued September, 19, 2023). This portfolio is generally directed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84" w:lineRule="exact"/>
        <w:rPr>
          <w:sz w:val="20"/>
          <w:szCs w:val="20"/>
          <w:color w:val="auto"/>
        </w:rPr>
      </w:pPr>
    </w:p>
    <w:p>
      <w:pPr>
        <w:ind w:left="1020" w:right="180"/>
        <w:spacing w:after="0" w:line="260" w:lineRule="auto"/>
        <w:rPr>
          <w:sz w:val="20"/>
          <w:szCs w:val="20"/>
          <w:color w:val="auto"/>
        </w:rPr>
      </w:pPr>
      <w:r>
        <w:rPr>
          <w:rFonts w:ascii="Times New Roman" w:cs="Times New Roman" w:eastAsia="Times New Roman" w:hAnsi="Times New Roman"/>
          <w:sz w:val="18"/>
          <w:szCs w:val="18"/>
          <w:color w:val="auto"/>
        </w:rPr>
        <w:t>to specially designed RNA constructs, specific nucleotide and amino acid sequences, and lipid formulations comprising the same under the STARR technology. We anticipate that further patents will be filed as we continue to innovate with respect to our STARR platform and that current applications covering these developments in our STARR platform, if granted, will last until 2044, not including any patent term extensions.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Terms</w:t>
      </w:r>
    </w:p>
    <w:p>
      <w:pPr>
        <w:spacing w:after="0" w:line="119"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5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We intend to apply for patent term extensions where possible.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11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have developed valuable trade secrets to protect our product candidates and proprietary processes, including trade secrets related to the design and optimization of nucleic acids, the design and optimization of lipid compositions for delivery of nucleic acids, manufacturing and formulation processes, and analytical techniques.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Risks to Intellectual Property</w:t>
      </w:r>
    </w:p>
    <w:p>
      <w:pPr>
        <w:spacing w:after="0" w:line="119"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Our commercial success also depends in part on our non-infringement of the patents or proprietary rights of third parties. For a more comprehensive discussion of the risks related to our intellectual property, please see Item 1A “Risk Factors” – “Risks Related to Our Intellectual Property.”</w:t>
      </w:r>
    </w:p>
    <w:p>
      <w:pPr>
        <w:spacing w:after="0" w:line="3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success depends in part on our ability to:</w:t>
      </w:r>
    </w:p>
    <w:p>
      <w:pPr>
        <w:spacing w:after="0" w:line="117"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trade secrets;</w:t>
      </w:r>
    </w:p>
    <w:p>
      <w:pPr>
        <w:spacing w:after="0" w:line="23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third parties from infringing upon our proprietary rights; and</w:t>
      </w:r>
    </w:p>
    <w:p>
      <w:pPr>
        <w:spacing w:after="0" w:line="23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business without infringing the patents and proprietary rights of third parties, both in the United States and internationally.</w:t>
      </w:r>
    </w:p>
    <w:p>
      <w:pPr>
        <w:spacing w:after="0" w:line="33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Approval and Government Regulation</w:t>
      </w:r>
    </w:p>
    <w:p>
      <w:pPr>
        <w:spacing w:after="0" w:line="121" w:lineRule="exact"/>
        <w:rPr>
          <w:sz w:val="20"/>
          <w:szCs w:val="20"/>
          <w:color w:val="auto"/>
        </w:rPr>
      </w:pPr>
    </w:p>
    <w:p>
      <w:pPr>
        <w:jc w:val="both"/>
        <w:ind w:right="200" w:firstLine="509"/>
        <w:spacing w:after="0" w:line="288"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we develop must be authorized or approved by the FDA before it may be legally marketed in the United States and by the appropriate foreign regulatory agency before it may be legally marketed in foreign countries.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Drug Development Process</w:t>
      </w:r>
    </w:p>
    <w:p>
      <w:pPr>
        <w:spacing w:after="0" w:line="33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development, manufacturing, and marketing of human drugs and vaccines are subject to extensive regulation. The FDA regulates drugs under the Federal Food, Drug and Cosmetic Act (“FDCA”) and implementing regulations, and biological products, including vaccines, under provisions of the FDCA and the Public Health Service Act (“PHSA”). Drugs and vaccines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or biological product may be marketed in the United States generally involves the following:</w:t>
      </w:r>
    </w:p>
    <w:p>
      <w:pPr>
        <w:spacing w:after="0" w:line="83" w:lineRule="exact"/>
        <w:rPr>
          <w:sz w:val="20"/>
          <w:szCs w:val="20"/>
          <w:color w:val="auto"/>
        </w:rPr>
      </w:pPr>
    </w:p>
    <w:p>
      <w:pPr>
        <w:ind w:left="1020" w:right="60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and stability studies according to good laboratory practices (“GLP”) or other applicable regulations;</w:t>
      </w:r>
    </w:p>
    <w:p>
      <w:pPr>
        <w:spacing w:after="0" w:line="17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IND, which must become effective before human clinical trials may begin;</w:t>
      </w:r>
    </w:p>
    <w:p>
      <w:pPr>
        <w:spacing w:after="0" w:line="237"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current good clinical practices (“GCPs”) to establish the safety and efficacy of the proposed drug for its intended use;</w:t>
      </w:r>
    </w:p>
    <w:p>
      <w:pPr>
        <w:spacing w:after="0" w:line="17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or biologics license application (“BLA”) for a new drug or biologics;</w:t>
      </w:r>
    </w:p>
    <w:p>
      <w:pPr>
        <w:spacing w:after="0" w:line="237" w:lineRule="exact"/>
        <w:rPr>
          <w:rFonts w:ascii="Times New Roman" w:cs="Times New Roman" w:eastAsia="Times New Roman" w:hAnsi="Times New Roman"/>
          <w:sz w:val="18"/>
          <w:szCs w:val="18"/>
          <w:color w:val="auto"/>
        </w:rPr>
      </w:pPr>
    </w:p>
    <w:p>
      <w:pPr>
        <w:ind w:left="1020" w:right="160" w:hanging="504"/>
        <w:spacing w:after="0" w:line="26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inspections of the manufacturing facility or facilities where the drug is produced to ensure compliance with the FDA’s current good manufacturing practice standards (“cGMP”), to assure that the facilities, methods and controls are adequate to preserve the drug’s identity, strength, quality and purity;</w:t>
      </w:r>
    </w:p>
    <w:p>
      <w:pPr>
        <w:spacing w:after="0" w:line="19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NDA or BLA; and</w:t>
      </w:r>
    </w:p>
    <w:p>
      <w:pPr>
        <w:spacing w:after="0" w:line="23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w:t>
      </w:r>
    </w:p>
    <w:p>
      <w:pPr>
        <w:spacing w:after="0" w:line="117"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5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drug candidate enters the preclinical study stage. Preclinical tests, also referred to as nonclinical studies, include discovery and target identification, in vitro testing to assess biological activity, mechanism of action, and potential toxicity, as well as animal studies to assess the potential safety, pharmacokinetics, and pharmacological activity of the drug candidate. The conduct of the animal studies must comply with federal regulations and requirements including GLP. The sponsor must submit the results of the preclinical tests, together with manufacturing information, analytical data, any available clinical data or literature and a proposed clinical protocol, to the FDA as part of the IND. The IND automatically becomes effective thirty days after receipt by the FDA, unless the FDA imposes a clinical hold within that 30-day time period. In such a case, the IND sponsor and the FDA must resolve any outstanding concerns before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w:t>
      </w:r>
    </w:p>
    <w:p>
      <w:pPr>
        <w:spacing w:after="0" w:line="6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 trial must be reviewed and approved by an independent institutional review board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provides oversight for the clinical trial until completed.</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520" w:hanging="504"/>
        <w:spacing w:after="0" w:line="26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190" w:lineRule="exact"/>
        <w:rPr>
          <w:rFonts w:ascii="Times New Roman" w:cs="Times New Roman" w:eastAsia="Times New Roman" w:hAnsi="Times New Roman"/>
          <w:sz w:val="18"/>
          <w:szCs w:val="18"/>
          <w:color w:val="auto"/>
        </w:rPr>
      </w:pPr>
    </w:p>
    <w:p>
      <w:pPr>
        <w:ind w:left="1020" w:right="240" w:hanging="504"/>
        <w:spacing w:after="0" w:line="312"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 and</w:t>
      </w:r>
    </w:p>
    <w:p>
      <w:pPr>
        <w:spacing w:after="0" w:line="152" w:lineRule="exact"/>
        <w:rPr>
          <w:rFonts w:ascii="Times New Roman" w:cs="Times New Roman" w:eastAsia="Times New Roman" w:hAnsi="Times New Roman"/>
          <w:sz w:val="17"/>
          <w:szCs w:val="17"/>
          <w:color w:val="auto"/>
        </w:rPr>
      </w:pPr>
    </w:p>
    <w:p>
      <w:pPr>
        <w:ind w:left="1020" w:right="220" w:hanging="504"/>
        <w:spacing w:after="0" w:line="26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a well-controlled Phase 3 clinical trial is required by the FDA for approval of an NDA or BLA.</w:t>
      </w:r>
    </w:p>
    <w:p>
      <w:pPr>
        <w:spacing w:after="0" w:line="195"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5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processes</w:t>
      </w:r>
    </w:p>
    <w:p>
      <w:pPr>
        <w:spacing w:after="0" w:line="334"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 waiver of such fees may be obtained under certain limited circumstances.</w:t>
      </w:r>
    </w:p>
    <w:p>
      <w:pPr>
        <w:spacing w:after="0" w:line="74"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In addition, under the Pediatric Research Equity Act (“PREA”), an NDA or BLA or supplement to an NDA or BLA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7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reviews all NDAs or BLAs submitted to determine if they are substantially complete before it accepts them for filing. If the FDA determines that an NDA or BLA is incomplete or is found to be non-navigable, the filing may be refused and must be re-submitted for consideration. Once the submission is accepted for filing, the FDA begins an in-depth review of the NDA or BLA. Under the goals and policies agreed to by the FDA under the Prescription Drug User Fee Act (“PDUFA”), the FDA has 10 months from acceptance of filing in which to complete its initial review of a standard NDA or BLA and respond to the applicant, and six months from acceptance of filing for a priority NDA or BLA. The FDA does not always meet its PDUFA goal dates. The review process and the PDUFA goal date may be extended by three months or longer if the FDA requests or the NDA or BLA sponsor otherwise provides additional information or clarification regarding information already provided in the submission before the PDUFA goal date.</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After the NDA or BLA submission is accepted for filing, the FDA reviews the NDA or BLA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(“REMS”) is necessary to assure the safe use of the drug. If the FDA concludes a REMS is needed, the sponsor of the NDA or BLA must submit a proposed REMS; the FDA will not approve the NDA or BLA without a REMS, if required.</w:t>
      </w:r>
    </w:p>
    <w:p>
      <w:pPr>
        <w:spacing w:after="0" w:line="7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The FDA requires vaccine manufacturers to submit data supporting the demonstration of consistency between manufacturing batches, or lots. The FDA works together with vaccine manufacturers to develop a lot release protocol, the tests conducted on each lot of vaccine post-approval. Additionally, before approving an NDA or BLA,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NDA or BLA review and approval process is lengthy and difficult and the FDA may refuse to approve an NDA or BLA if the applicable regulatory criteria are not satisfied or may require additional clinical data or other data and information. Even if such data and information are submitted, the FDA may ultimately decide that the NDA or BLA does not satisfy the criteria for approval. Data obtained from clinical trials are not always conclusive and the FDA may interpret data differently than we interpret the same data. The FDA will issue a complete response letter if the agency decides not to approve the NDA or BLA. The complete response letter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45" w:name="page46"/>
    <w:bookmarkEnd w:id="45"/>
    <w:p>
      <w:pPr>
        <w:spacing w:after="0" w:line="8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condition for approval. If a complete response letter is issued, the applicant may either submit new information, addressing all of the deficiencies identified in the letter, or withdraw the application.</w:t>
      </w:r>
    </w:p>
    <w:p>
      <w:pPr>
        <w:spacing w:after="0" w:line="55"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product’s safety and effectiveness and may require testing and surveillance programs to monitor the safety of approved products that have been commercialized.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drug or biological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Following approval, the FDA continues to monitor vaccine quality through real-time monitoring of lots by requiring manufacturers to submit certain information for each vaccine lot. Vaccine manufacturers may only distribute a lot following release by the FDA.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require notice to or prior approval from the FDA before being implemented and other types of changes to the approved product, such as adding new indications and additional labeling claims, are also subject to further FDA review and approval.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Europe and Other Regions</w:t>
      </w:r>
    </w:p>
    <w:p>
      <w:pPr>
        <w:spacing w:after="0" w:line="334"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In addition to regulations in the United States, we and our strategic alliance partners are subject to a variety of regulations in other jurisdictions governing, among other things, clinical trials and any commercial sales and distribution of our products.</w:t>
      </w:r>
    </w:p>
    <w:p>
      <w:pPr>
        <w:spacing w:after="0" w:line="5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Once the CTA is approved in accordance with a country’s requirements, clinical trial development may proceed.</w:t>
      </w:r>
    </w:p>
    <w:p>
      <w:pPr>
        <w:spacing w:after="0" w:line="74"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To obtain regulatory approval of an investigational drug or biological product under EU regulatory systems, we or our strategic alliance partners must submit a marketing authorization application. The application in the EU is similar to that required in the United States, with the exception of, among other things, region/country-specific document requirements.</w:t>
      </w:r>
    </w:p>
    <w:p>
      <w:pPr>
        <w:spacing w:after="0" w:line="69"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 The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regulatory approval of marketing authorization application of an investigational drug or biological product is similar to that required in the United States, with the exception of, among other things, country-specific document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in General</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recent collaboration with CSL, a global leader in vaccines, will allow us to compete better commercially on the world stage within the COVID and influenza markets.</w:t>
      </w:r>
    </w:p>
    <w:p>
      <w:pPr>
        <w:spacing w:after="0" w:line="81"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Our success will be based in part upon our ability to identify, develop and manage a portfolio of product candidates that are safer and more effective than competing products in the treatment of our targeted patients. The commercial opportunity could be reduced or eliminated if competitors develop and commercialize products that are safer, more effective, are more convenient or are less expensive than any products we may develop in our respective areas.</w:t>
      </w:r>
    </w:p>
    <w:p>
      <w:pPr>
        <w:spacing w:after="0" w:line="51" w:lineRule="exact"/>
        <w:rPr>
          <w:sz w:val="20"/>
          <w:szCs w:val="20"/>
          <w:color w:val="auto"/>
        </w:rPr>
      </w:pPr>
    </w:p>
    <w:p>
      <w:pPr>
        <w:jc w:val="both"/>
        <w:ind w:right="700" w:firstLine="509"/>
        <w:spacing w:after="0" w:line="265" w:lineRule="auto"/>
        <w:rPr>
          <w:sz w:val="20"/>
          <w:szCs w:val="20"/>
          <w:color w:val="auto"/>
        </w:rPr>
      </w:pPr>
      <w:r>
        <w:rPr>
          <w:rFonts w:ascii="Times New Roman" w:cs="Times New Roman" w:eastAsia="Times New Roman" w:hAnsi="Times New Roman"/>
          <w:sz w:val="18"/>
          <w:szCs w:val="18"/>
          <w:color w:val="auto"/>
        </w:rPr>
        <w:t>We are aware of several other companies that are working to develop nucleic acid medicines, including gene therapy, gene editing, mRNA (including saRNA), siRNA, and antisense therapeutics. Many of these companies, such as Genevant Sciences and Acuitas Therapeutics, are also developing nucleic acid delivery platforms which compete with LUNAR technology.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Below we have included what we believe to be the competitive landscape for certain of the medicines that we currently have in development.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Vaccine Franchise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LUNAR-COV19 Vaccines (ARCT-154)</w:t>
      </w:r>
    </w:p>
    <w:p>
      <w:pPr>
        <w:spacing w:after="0" w:line="31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vaccine franchise is based on our self-amplifying and self-replicating STARR technology platform and our lipid nanoparticle delivery platform called LUNAR. This franchise has advanced into late-stage clinical development including ARCT-154 in two Phase 3 clinical studies. We have partnered our COVID-19 vaccine franchise with CSL Seqirus. We consider the following companies with approved or late-stage clinical development vaccines as some of our competitors or future competitors to our partnered COVID-19 vaccine franchise: Pfizer/BioNTech, Moderna, Janssen, AstraZeneca, Novavax, and HDT Bio. Dozens of other companies are continuing to develop COVID-19 vaccines. However, the majority of these companies use conventional mRNA (not self-amplifying) and egg-based vaccine technology as the basis for their COVID-19 vaccines.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LUNAR-FLU Vaccine</w:t>
      </w:r>
    </w:p>
    <w:p>
      <w:pPr>
        <w:spacing w:after="0" w:line="119"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We have partnered our influenza vaccine franchise with CSL Seqirus. We consider the following companies as some of the competitors or future competitors to our partnered LUNAR-Flu vaccine franchise: Pfizer, BioNTech, Moderna, and Sanofi. The flu industry is rapidly shifting to utilizing mRNA-based platforms in addition to traditional (egg-based) technologies.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Liver Franchise ARCT-810 (LUNAR-OTC)</w:t>
      </w:r>
    </w:p>
    <w:p>
      <w:pPr>
        <w:spacing w:after="0" w:line="117"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Our liver franchise has advanced into mid-stage clinical development with ARCT-810 in Phase 2 clinical development. Potential competitors include, but are not limited to, Ultragenyx which is advancing a gene therapy</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7" w:name="page48"/>
    <w:bookmarkEnd w:id="47"/>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for OTC in clinical development, and Moderna which has a therapeutic candidate in pre-clinical development.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Lung Franchise: ARCT-032 (LUNAR-CF)</w:t>
      </w:r>
    </w:p>
    <w:p>
      <w:pPr>
        <w:spacing w:after="0" w:line="117"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lead candidate of our lung franchise is ARCT-032, which is an mRNA therapeutic candidate for cystic fibrosis based on our proprietary drug substance mRNA technology platform and our LUNAR lipid nanoparticle delivery platform.</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aware of product candidates of the following companies that we consider as competitors or future competitors to ARCT-032: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Moderna/Vertex, Eloxx Pharmaceuticals, Recode, 4DMT, Spirovant, SalioGen and Splisense.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we had approximately 180 employees, all of which were full-time. None of our employees are represented by a labor union or covered by a collective bargaining agreement. We consider our relationship with our employees to be good.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Internet address is www.arcturusrx.com. Our Annual Reports on Form 10-K, quarterly reports on Form 10-Q, current reports on Form 8-K and proxy statements, and all amendments thereto, are available free of charge on our Internet website. These reports are posted on our website as soon as reasonably practicable after they are electronically filed with the SEC. The public may read and copy any materials that we file with the SEC electronically through the SEC website (www.sec.gov). The information contained on the SEC’s website is not incorporated by reference into this Annual Report on Form 10-K and should not be considered to be part thereof.</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process, as well as changing economic, political, industry, regulatory, business and financial conditions. The risks and uncertainties described below are not the only ones we face.</w:t>
      </w:r>
    </w:p>
    <w:p>
      <w:pPr>
        <w:spacing w:after="0" w:line="74"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You should carefully consider the following factors and other information in this Annual Report before you decide to invest in our common stock. If any of the negative events referred to below occur, our business, financial condition and results of operations could suffer. In any such case, the trading price of our common stock could decline, and you may lose all or part of your investment.</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following is a summary of certain important factors that may make an investment in our company speculative or risky. You should carefully consider the fuller risk factor disclosure set forth in this Annual Report, in addition to the other information herein, including the section of this report titled “Management’s Discussion and Analysis of Financial Condition and Results of Operations” and our financial statements and related notes.</w:t>
      </w:r>
    </w:p>
    <w:p>
      <w:pPr>
        <w:spacing w:after="0" w:line="67" w:lineRule="exact"/>
        <w:rPr>
          <w:sz w:val="20"/>
          <w:szCs w:val="20"/>
          <w:color w:val="auto"/>
        </w:rPr>
      </w:pPr>
    </w:p>
    <w:p>
      <w:pPr>
        <w:ind w:left="1020" w:right="700" w:hanging="504"/>
        <w:spacing w:after="0" w:line="283"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limited operating history, have incurred significant losses since our inception (with the exception of fiscal year 2022) and anticipate that we will continue to incur significant losses for the foreseeable future.</w:t>
      </w:r>
    </w:p>
    <w:p>
      <w:pPr>
        <w:spacing w:after="0" w:line="51" w:lineRule="exact"/>
        <w:rPr>
          <w:rFonts w:ascii="Times New Roman" w:cs="Times New Roman" w:eastAsia="Times New Roman" w:hAnsi="Times New Roman"/>
          <w:sz w:val="18"/>
          <w:szCs w:val="18"/>
          <w:color w:val="auto"/>
        </w:rPr>
      </w:pPr>
    </w:p>
    <w:p>
      <w:pPr>
        <w:ind w:left="1020" w:right="160" w:hanging="504"/>
        <w:spacing w:after="0" w:line="283"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never generated any revenue from product sales, have generated only limited collaboration and grant revenue since inception, and may never be profitable in the long term.</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2" w:lineRule="exact"/>
        <w:rPr>
          <w:sz w:val="20"/>
          <w:szCs w:val="20"/>
          <w:color w:val="auto"/>
        </w:rPr>
      </w:pPr>
    </w:p>
    <w:p>
      <w:pPr>
        <w:ind w:left="504" w:hanging="504"/>
        <w:spacing w:after="0"/>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expect that we will need to raise additional capital in the future, which may not be available on acceptable terms, or at all.</w:t>
      </w:r>
    </w:p>
    <w:p>
      <w:pPr>
        <w:spacing w:after="0" w:line="116" w:lineRule="exact"/>
        <w:rPr>
          <w:rFonts w:ascii="Times New Roman" w:cs="Times New Roman" w:eastAsia="Times New Roman" w:hAnsi="Times New Roman"/>
          <w:sz w:val="18"/>
          <w:szCs w:val="18"/>
          <w:color w:val="auto"/>
        </w:rPr>
      </w:pPr>
    </w:p>
    <w:p>
      <w:pPr>
        <w:ind w:left="504" w:right="52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dependent upon relationships with our collaboration partners, and the failure of these relationships could negatively affect our business and results of operations.</w:t>
      </w:r>
    </w:p>
    <w:p>
      <w:pPr>
        <w:spacing w:after="0" w:line="51"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exposed to interest rate risk, including under our loan agreements.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debt contains customary default clauses, a breach of which may result in acceleration of the repayment of some or all of this debt.</w:t>
      </w:r>
    </w:p>
    <w:p>
      <w:pPr>
        <w:spacing w:after="0" w:line="116" w:lineRule="exact"/>
        <w:rPr>
          <w:rFonts w:ascii="Times New Roman" w:cs="Times New Roman" w:eastAsia="Times New Roman" w:hAnsi="Times New Roman"/>
          <w:sz w:val="18"/>
          <w:szCs w:val="18"/>
          <w:color w:val="auto"/>
        </w:rPr>
      </w:pPr>
    </w:p>
    <w:p>
      <w:pPr>
        <w:ind w:left="504" w:right="10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highly dependent upon our relationship with CSL Seqirus to further research, manufacture and commercialize self-amplifying mRNA vaccines against COVID-19, influenza and three other respiratory infectious diseases.</w:t>
      </w:r>
    </w:p>
    <w:p>
      <w:pPr>
        <w:spacing w:after="0" w:line="51"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our COVID-19 vaccine candidate is commercialized, it might not have a profitable commercial market.</w:t>
      </w:r>
    </w:p>
    <w:p>
      <w:pPr>
        <w:spacing w:after="0" w:line="116" w:lineRule="exact"/>
        <w:rPr>
          <w:rFonts w:ascii="Times New Roman" w:cs="Times New Roman" w:eastAsia="Times New Roman" w:hAnsi="Times New Roman"/>
          <w:sz w:val="18"/>
          <w:szCs w:val="18"/>
          <w:color w:val="auto"/>
        </w:rPr>
      </w:pPr>
    </w:p>
    <w:p>
      <w:pPr>
        <w:ind w:left="504" w:right="440" w:hanging="504"/>
        <w:spacing w:after="0" w:line="267"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partnered next generation COVID-19 vaccine candidate, ARCT-154, only has marketing approval in Japan and may never achieve marketing approval in any other countries. Regulators may refuse to approve our current or an updated COVID-19 vaccine candidate containing an updated variant strain in Japan and elsewhere.</w:t>
      </w:r>
    </w:p>
    <w:p>
      <w:pPr>
        <w:spacing w:after="0" w:line="64" w:lineRule="exact"/>
        <w:rPr>
          <w:rFonts w:ascii="Times New Roman" w:cs="Times New Roman" w:eastAsia="Times New Roman" w:hAnsi="Times New Roman"/>
          <w:sz w:val="18"/>
          <w:szCs w:val="18"/>
          <w:color w:val="auto"/>
        </w:rPr>
      </w:pPr>
    </w:p>
    <w:p>
      <w:pPr>
        <w:ind w:left="504" w:right="12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authorities may change views and recommendations, which could lead to more challenging regulatory paths to approvals and to more expensive clinical and commercial efforts.</w:t>
      </w:r>
    </w:p>
    <w:p>
      <w:pPr>
        <w:spacing w:after="0" w:line="51" w:lineRule="exact"/>
        <w:rPr>
          <w:rFonts w:ascii="Times New Roman" w:cs="Times New Roman" w:eastAsia="Times New Roman" w:hAnsi="Times New Roman"/>
          <w:sz w:val="18"/>
          <w:szCs w:val="18"/>
          <w:color w:val="auto"/>
        </w:rPr>
      </w:pPr>
    </w:p>
    <w:p>
      <w:pPr>
        <w:ind w:left="504" w:right="12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with the approval in Japan of our partnered next generation COVID-19 vaccine candidate, ARCT-154, we might not achieve any sales in Japan.</w:t>
      </w:r>
    </w:p>
    <w:p>
      <w:pPr>
        <w:spacing w:after="0" w:line="51" w:lineRule="exact"/>
        <w:rPr>
          <w:rFonts w:ascii="Times New Roman" w:cs="Times New Roman" w:eastAsia="Times New Roman" w:hAnsi="Times New Roman"/>
          <w:sz w:val="18"/>
          <w:szCs w:val="18"/>
          <w:color w:val="auto"/>
        </w:rPr>
      </w:pPr>
    </w:p>
    <w:p>
      <w:pPr>
        <w:ind w:left="504" w:right="12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authorities may change views and recommendations, which could lead to more challenging regulatory paths to approvals and to more expensive clinical and commercial efforts.</w:t>
      </w:r>
    </w:p>
    <w:p>
      <w:pPr>
        <w:spacing w:after="0" w:line="51" w:lineRule="exact"/>
        <w:rPr>
          <w:rFonts w:ascii="Times New Roman" w:cs="Times New Roman" w:eastAsia="Times New Roman" w:hAnsi="Times New Roman"/>
          <w:sz w:val="18"/>
          <w:szCs w:val="18"/>
          <w:color w:val="auto"/>
        </w:rPr>
      </w:pPr>
    </w:p>
    <w:p>
      <w:pPr>
        <w:ind w:left="504" w:right="6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There is significant competition in the development of a vaccine against COVID-19, some competitors’ vaccines are already widely accepted in the market, and many of our competitors have substantially greater financial, scientific and other resources than we have.</w:t>
      </w:r>
    </w:p>
    <w:p>
      <w:pPr>
        <w:spacing w:after="0" w:line="51" w:lineRule="exact"/>
        <w:rPr>
          <w:rFonts w:ascii="Times New Roman" w:cs="Times New Roman" w:eastAsia="Times New Roman" w:hAnsi="Times New Roman"/>
          <w:sz w:val="18"/>
          <w:szCs w:val="18"/>
          <w:color w:val="auto"/>
        </w:rPr>
      </w:pPr>
    </w:p>
    <w:p>
      <w:pPr>
        <w:ind w:left="504" w:right="46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generate successful results from preclinical and clinical studies of our product candidates, or experience significant delays in doing so, our business may be materially harmed.</w:t>
      </w:r>
    </w:p>
    <w:p>
      <w:pPr>
        <w:spacing w:after="0" w:line="51" w:lineRule="exact"/>
        <w:rPr>
          <w:rFonts w:ascii="Times New Roman" w:cs="Times New Roman" w:eastAsia="Times New Roman" w:hAnsi="Times New Roman"/>
          <w:sz w:val="18"/>
          <w:szCs w:val="18"/>
          <w:color w:val="auto"/>
        </w:rPr>
      </w:pPr>
    </w:p>
    <w:p>
      <w:pPr>
        <w:ind w:left="504" w:right="240" w:hanging="504"/>
        <w:spacing w:after="0" w:line="267"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spacing w:after="0" w:line="64"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drug product format could significantly impact our timeline to commercialize our products.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not be successful in our efforts to identify or discover potential product candidates.</w:t>
      </w:r>
    </w:p>
    <w:p>
      <w:pPr>
        <w:spacing w:after="0" w:line="116" w:lineRule="exact"/>
        <w:rPr>
          <w:rFonts w:ascii="Times New Roman" w:cs="Times New Roman" w:eastAsia="Times New Roman" w:hAnsi="Times New Roman"/>
          <w:sz w:val="18"/>
          <w:szCs w:val="18"/>
          <w:color w:val="auto"/>
        </w:rPr>
      </w:pPr>
    </w:p>
    <w:p>
      <w:pPr>
        <w:ind w:left="504" w:right="340" w:hanging="504"/>
        <w:spacing w:after="0" w:line="314" w:lineRule="auto"/>
        <w:tabs>
          <w:tab w:leader="none" w:pos="50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spacing w:after="0" w:line="27" w:lineRule="exact"/>
        <w:rPr>
          <w:rFonts w:ascii="Times New Roman" w:cs="Times New Roman" w:eastAsia="Times New Roman" w:hAnsi="Times New Roman"/>
          <w:sz w:val="17"/>
          <w:szCs w:val="17"/>
          <w:color w:val="auto"/>
        </w:rPr>
      </w:pPr>
    </w:p>
    <w:p>
      <w:pPr>
        <w:ind w:left="504" w:right="12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cause undesirable side effects or have other properties impacting safety, their regulatory approval could be prevented, delayed or limited.</w:t>
      </w:r>
    </w:p>
    <w:p>
      <w:pPr>
        <w:spacing w:after="0" w:line="51" w:lineRule="exact"/>
        <w:rPr>
          <w:rFonts w:ascii="Times New Roman" w:cs="Times New Roman" w:eastAsia="Times New Roman" w:hAnsi="Times New Roman"/>
          <w:sz w:val="18"/>
          <w:szCs w:val="18"/>
          <w:color w:val="auto"/>
        </w:rPr>
      </w:pPr>
    </w:p>
    <w:p>
      <w:pPr>
        <w:ind w:left="504"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we obtain regulatory approval for a product candidate, we will still face extensive regulatory requirements and our products may face future development and regulatory difficulties.</w:t>
      </w:r>
    </w:p>
    <w:p>
      <w:pPr>
        <w:spacing w:after="0" w:line="51" w:lineRule="exact"/>
        <w:rPr>
          <w:rFonts w:ascii="Times New Roman" w:cs="Times New Roman" w:eastAsia="Times New Roman" w:hAnsi="Times New Roman"/>
          <w:sz w:val="18"/>
          <w:szCs w:val="18"/>
          <w:color w:val="auto"/>
        </w:rPr>
      </w:pPr>
    </w:p>
    <w:p>
      <w:pPr>
        <w:ind w:left="504" w:right="120" w:hanging="504"/>
        <w:spacing w:after="0" w:line="28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Manufacturing issues may arise that could increase product and regulatory approval costs or delay or hinder commercialization.</w:t>
      </w:r>
    </w:p>
    <w:p>
      <w:pPr>
        <w:spacing w:after="0" w:line="200" w:lineRule="exact"/>
        <w:rPr>
          <w:sz w:val="20"/>
          <w:szCs w:val="20"/>
          <w:color w:val="auto"/>
        </w:rPr>
      </w:pPr>
    </w:p>
    <w:p>
      <w:pPr>
        <w:spacing w:after="0" w:line="242"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440" w:right="359" w:bottom="1440" w:gutter="0" w:footer="0" w:header="0"/>
        </w:sectPr>
      </w:pPr>
    </w:p>
    <w:bookmarkStart w:id="49" w:name="page50"/>
    <w:bookmarkEnd w:id="49"/>
    <w:p>
      <w:pPr>
        <w:spacing w:after="0" w:line="82" w:lineRule="exact"/>
        <w:rPr>
          <w:sz w:val="20"/>
          <w:szCs w:val="20"/>
          <w:color w:val="auto"/>
        </w:rPr>
      </w:pPr>
    </w:p>
    <w:p>
      <w:pPr>
        <w:ind w:left="504" w:right="280" w:hanging="504"/>
        <w:spacing w:after="0" w:line="283"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strategic alliances are unsuccessful or are terminated, we may be unable to commercialize certain product candidates and generate revenues.</w:t>
      </w:r>
    </w:p>
    <w:p>
      <w:pPr>
        <w:spacing w:after="0" w:line="51" w:lineRule="exact"/>
        <w:rPr>
          <w:rFonts w:ascii="Times New Roman" w:cs="Times New Roman" w:eastAsia="Times New Roman" w:hAnsi="Times New Roman"/>
          <w:sz w:val="18"/>
          <w:szCs w:val="18"/>
          <w:color w:val="auto"/>
        </w:rPr>
      </w:pPr>
    </w:p>
    <w:p>
      <w:pPr>
        <w:jc w:val="both"/>
        <w:ind w:left="504" w:right="60" w:hanging="504"/>
        <w:spacing w:after="0" w:line="267"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spacing w:after="0" w:line="64" w:lineRule="exact"/>
        <w:rPr>
          <w:rFonts w:ascii="Times New Roman" w:cs="Times New Roman" w:eastAsia="Times New Roman" w:hAnsi="Times New Roman"/>
          <w:sz w:val="18"/>
          <w:szCs w:val="18"/>
          <w:color w:val="auto"/>
        </w:rPr>
      </w:pPr>
    </w:p>
    <w:p>
      <w:pPr>
        <w:ind w:left="504" w:hanging="504"/>
        <w:spacing w:after="0" w:line="267"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disruption in the supply chain of raw materials for, or in the manufacturing capacity and timing for the manufacture of drug substance or drug product for, our product candidates may cause a delay in developing and commercializing these product candidates and limit the revenues that we could generate.</w:t>
      </w:r>
    </w:p>
    <w:p>
      <w:pPr>
        <w:spacing w:after="0" w:line="64" w:lineRule="exact"/>
        <w:rPr>
          <w:rFonts w:ascii="Times New Roman" w:cs="Times New Roman" w:eastAsia="Times New Roman" w:hAnsi="Times New Roman"/>
          <w:sz w:val="18"/>
          <w:szCs w:val="18"/>
          <w:color w:val="auto"/>
        </w:rPr>
      </w:pPr>
    </w:p>
    <w:p>
      <w:pPr>
        <w:ind w:left="504" w:right="280" w:hanging="504"/>
        <w:spacing w:after="0" w:line="283"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contract research organizations and clinical trial sites we rely on to conduct, supervise and monitor our clinical trials perform in an unsatisfactory manner, it may harm our business.</w:t>
      </w:r>
    </w:p>
    <w:p>
      <w:pPr>
        <w:spacing w:after="0" w:line="51" w:lineRule="exact"/>
        <w:rPr>
          <w:rFonts w:ascii="Times New Roman" w:cs="Times New Roman" w:eastAsia="Times New Roman" w:hAnsi="Times New Roman"/>
          <w:sz w:val="18"/>
          <w:szCs w:val="18"/>
          <w:color w:val="auto"/>
        </w:rPr>
      </w:pPr>
    </w:p>
    <w:p>
      <w:pPr>
        <w:ind w:left="504" w:right="540" w:hanging="504"/>
        <w:spacing w:after="0" w:line="283"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or protect intellectual property rights related to our products and product candidates, we may not be able to compete effectively in our markets.</w:t>
      </w:r>
    </w:p>
    <w:p>
      <w:pPr>
        <w:spacing w:after="0" w:line="51" w:lineRule="exact"/>
        <w:rPr>
          <w:rFonts w:ascii="Times New Roman" w:cs="Times New Roman" w:eastAsia="Times New Roman" w:hAnsi="Times New Roman"/>
          <w:sz w:val="18"/>
          <w:szCs w:val="18"/>
          <w:color w:val="auto"/>
        </w:rPr>
      </w:pPr>
    </w:p>
    <w:p>
      <w:pPr>
        <w:ind w:left="504" w:right="480" w:hanging="504"/>
        <w:spacing w:after="0" w:line="283"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that we infringe the intellectual property rights of others, especially in the crowded and competitive field of mRNA patents, may prevent or delay our development and commercialization efforts.</w:t>
      </w:r>
    </w:p>
    <w:p>
      <w:pPr>
        <w:spacing w:after="0" w:line="51" w:lineRule="exact"/>
        <w:rPr>
          <w:rFonts w:ascii="Times New Roman" w:cs="Times New Roman" w:eastAsia="Times New Roman" w:hAnsi="Times New Roman"/>
          <w:sz w:val="18"/>
          <w:szCs w:val="18"/>
          <w:color w:val="auto"/>
        </w:rPr>
      </w:pPr>
    </w:p>
    <w:p>
      <w:pPr>
        <w:ind w:left="504" w:right="380" w:hanging="504"/>
        <w:spacing w:after="0" w:line="283"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obtain licenses to necessary intellectual property or do not comply with our obligations in license agreements, we could lose important rights.</w:t>
      </w:r>
    </w:p>
    <w:p>
      <w:pPr>
        <w:spacing w:after="0" w:line="51" w:lineRule="exact"/>
        <w:rPr>
          <w:rFonts w:ascii="Times New Roman" w:cs="Times New Roman" w:eastAsia="Times New Roman" w:hAnsi="Times New Roman"/>
          <w:sz w:val="18"/>
          <w:szCs w:val="18"/>
          <w:color w:val="auto"/>
        </w:rPr>
      </w:pPr>
    </w:p>
    <w:p>
      <w:pPr>
        <w:ind w:left="504" w:right="100" w:hanging="504"/>
        <w:spacing w:after="0" w:line="283"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be involved in lawsuits to protect or enforce our patents or to defend against third party intellectual property claims, which could be expensive, time consuming and unsuccessful.</w:t>
      </w:r>
    </w:p>
    <w:p>
      <w:pPr>
        <w:spacing w:after="0" w:line="51"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Government agencies have special contracting authority that gives them the ability to terminate and/or modify their contracts with us.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is subject to audit by the U.S. Government, and a negative audit could adversely affect our business.</w:t>
      </w:r>
    </w:p>
    <w:p>
      <w:pPr>
        <w:spacing w:after="0" w:line="116" w:lineRule="exact"/>
        <w:rPr>
          <w:rFonts w:ascii="Times New Roman" w:cs="Times New Roman" w:eastAsia="Times New Roman" w:hAnsi="Times New Roman"/>
          <w:sz w:val="18"/>
          <w:szCs w:val="18"/>
          <w:color w:val="auto"/>
        </w:rPr>
      </w:pPr>
    </w:p>
    <w:p>
      <w:pPr>
        <w:ind w:left="504" w:right="140" w:hanging="504"/>
        <w:spacing w:after="0" w:line="258"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identified material weaknesses in our internal control over financial reporting, and determined that our disclosure controls and procedures were not effective. If our remediations of these material weaknesses are not effective, or if we experience additional material weaknesses or otherwise fail to maintain an effective system of internal control over financial reporting or adequate disclosure controls and procedures, we may not be able to accurately and timely report our financial results, in which case our business may be harmed, investors may lose confidence in the accuracy and completeness of our financial reports, and the price of our common stock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440" w:right="33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NEED FOR ADDITIONAL CAPITAL</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(with the exception of fiscal year 2022) and anticipate that we will continue to incur significant losses for the foreseeable future.</w:t>
      </w:r>
    </w:p>
    <w:p>
      <w:pPr>
        <w:spacing w:after="0" w:line="5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global clinical-stage messenger RNA medicines company with a limited operating history. Since inception, our operations have been primarily limited to acquiring and licensing intellectual property rights, developing our product platform, undertaking basic research and conducting studies for our initial product development programs. We have not yet obtained regulatory approval for any product candidates. Consequently, any predictions about our future success or viability, or any evaluation of our business and prospects, is difficult and may not be accurate. In 2023 we recognized a significant portion of our revenue from non-recurring milestone payments and license revenue under our collaboration agreement with CSL Seqirus. Our future payments from CSL Seqirus are dependent on our ability to execute by meeting key product development and other milestones within the contract. We have not recognized any revenue from product sales since our inception.</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we had an accumulated deficit of $367.9 million.</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preclinical and clinical development activities. To date, we have funded our operations primarily through upfront payments, research funding and milestone payments from strategic alliances and collaborations, and through the sale of equity and convertible securities. We expect to continue to incur substantial and increased expenses, losses and negative cash flows as we expand our development activities and advance our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8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68" w:lineRule="exact"/>
        <w:rPr>
          <w:sz w:val="20"/>
          <w:szCs w:val="20"/>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of our product candidates, both independently and under our strategic alliance agreements;</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targets and product candidates;</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product candidates into and through clinical trials;</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research, executive and administrative personnel; and</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and our product development and planned future commercialization efforts.</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have generated only limited collaboration and grant revenue since inception, and may never be profitable in the long term.</w:t>
      </w:r>
    </w:p>
    <w:p>
      <w:pPr>
        <w:spacing w:after="0" w:line="5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on our ability, alone or with strategic alliance partners, to successfully complete the development of, obtain the necessary regulatory approvals for and commercialize our product candidates. Our ability to generate revenues from product sales depends heavily on our success in:</w:t>
      </w:r>
    </w:p>
    <w:p>
      <w:pPr>
        <w:spacing w:after="0" w:line="83" w:lineRule="exact"/>
        <w:rPr>
          <w:sz w:val="20"/>
          <w:szCs w:val="20"/>
          <w:color w:val="auto"/>
        </w:rPr>
      </w:pPr>
    </w:p>
    <w:p>
      <w:pPr>
        <w:ind w:left="1180" w:hanging="570"/>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our research and development of product candidates;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51" w:name="page52"/>
    <w:bookmarkEnd w:id="51"/>
    <w:p>
      <w:pPr>
        <w:ind w:left="1180" w:hanging="570"/>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completing clinical trials for product candidates with favorable results;</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obtaining, and maintaining marketing approvals for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capable parties;</w:t>
      </w:r>
    </w:p>
    <w:p>
      <w:pPr>
        <w:spacing w:after="0" w:line="130" w:lineRule="exact"/>
        <w:rPr>
          <w:rFonts w:ascii="Times New Roman" w:cs="Times New Roman" w:eastAsia="Times New Roman" w:hAnsi="Times New Roman"/>
          <w:sz w:val="18"/>
          <w:szCs w:val="18"/>
          <w:color w:val="auto"/>
        </w:rPr>
      </w:pPr>
    </w:p>
    <w:p>
      <w:pPr>
        <w:ind w:left="1200" w:right="220" w:hanging="595"/>
        <w:spacing w:after="0" w:line="281"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may obtain marketing approval, with an alliance partner or, if launched independently, successfully establishing a sales force, marketing and distribution infrastructure;</w:t>
      </w:r>
    </w:p>
    <w:p>
      <w:pPr>
        <w:spacing w:after="0" w:line="68"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intellectual property portfolio; and</w:t>
      </w:r>
    </w:p>
    <w:p>
      <w:pPr>
        <w:spacing w:after="0" w:line="130"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predict reliably the timing or amount of increased expenses and when we will be able to achieve and maintain profitability, if ever. In addition, our expenses could increase beyond expectations if we are required by the FDA, or other foreign regulatory agencies to perform studies and trials in addition to those that we currently anticipate.</w:t>
      </w:r>
    </w:p>
    <w:p>
      <w:pPr>
        <w:spacing w:after="0" w:line="74"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capital in the future, which may not be available on acceptable terms, or at all.</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Developing pharmaceutical products, including conducting studies and clinical trials, is extremely expensive. We expect our research and development expenses to substantially increase in connection with our ongoing activities, particularly as we advance our product candidates towards and through clinical trials. We may need to raise additional capital to support our operations and such funding may not be available to us on acceptable terms, or at all. As of December 31, 2023, we had unrestricted cash and cash equivalents of $292.0 million, which we expect should be sufficient to fund currently planned operations for the near future. But if our plans change or we face unexpected circumstances, our capital resources may be depleted more rapidly than we currently anticipate. For example, our clinical trials may encounter technical, regulatory or other difficulties. Any of these events would increase our development costs more than we expect. In order to support our long-term plans, we will need to raise additional capital or otherwise obtain funding through additional strategic alliances if we choose to initiate preclinical or clinical trials for product candidates that are not currently subject to a collaboration. In any event, we will require additional capital to obtain regulatory approval for, and to commercialize, future product candidates.</w:t>
      </w:r>
    </w:p>
    <w:p>
      <w:pPr>
        <w:spacing w:after="0" w:line="78"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A portion of our current cash balance is expected to be utilized during 2024 to fund our continued preclinical and clinical development activities for our pipeline, including manufacturing activities to support such development activities.</w:t>
      </w:r>
    </w:p>
    <w:p>
      <w:pPr>
        <w:spacing w:after="0" w:line="55"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our day-to-day activities, which may delay and hinder our ability to develop and commercialize future product candidates. We may be unable to raise sufficient amounts of additional capital when needed and on acceptable terms, which could require us to:</w:t>
      </w:r>
    </w:p>
    <w:p>
      <w:pPr>
        <w:spacing w:after="0" w:line="177" w:lineRule="exact"/>
        <w:rPr>
          <w:sz w:val="20"/>
          <w:szCs w:val="20"/>
          <w:color w:val="auto"/>
        </w:rPr>
      </w:pPr>
    </w:p>
    <w:p>
      <w:pPr>
        <w:ind w:left="1200" w:hanging="595"/>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any future product candidates;</w:t>
      </w:r>
    </w:p>
    <w:p>
      <w:pPr>
        <w:spacing w:after="0" w:line="27" w:lineRule="exact"/>
        <w:rPr>
          <w:rFonts w:ascii="Times New Roman" w:cs="Times New Roman" w:eastAsia="Times New Roman" w:hAnsi="Times New Roman"/>
          <w:sz w:val="18"/>
          <w:szCs w:val="18"/>
          <w:color w:val="auto"/>
        </w:rPr>
      </w:pPr>
    </w:p>
    <w:p>
      <w:pPr>
        <w:ind w:left="1200" w:right="100" w:hanging="595"/>
        <w:spacing w:after="0" w:line="250"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or clinical trials at an earlier stage than otherwise would be desirable or on terms that are less favorable than might otherwise be available; or</w:t>
      </w:r>
    </w:p>
    <w:p>
      <w:pPr>
        <w:ind w:left="1200" w:right="360" w:hanging="595"/>
        <w:spacing w:after="0" w:line="260"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2" w:name="page53"/>
    <w:bookmarkEnd w:id="52"/>
    <w:p>
      <w:pPr>
        <w:spacing w:after="0" w:line="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relationships with our collaboration partners, and the failure of these relationships could negatively affect our business and results of operations.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partners, including:</w:t>
      </w:r>
    </w:p>
    <w:p>
      <w:pPr>
        <w:spacing w:after="0" w:line="117" w:lineRule="exact"/>
        <w:rPr>
          <w:sz w:val="20"/>
          <w:szCs w:val="20"/>
          <w:color w:val="auto"/>
        </w:rPr>
      </w:pPr>
    </w:p>
    <w:p>
      <w:pPr>
        <w:ind w:left="1020" w:right="60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terminate their collaboration agreements with us for reasons specified in the collaboration agreements, including our breach;</w:t>
      </w:r>
    </w:p>
    <w:p>
      <w:pPr>
        <w:spacing w:after="0" w:line="54" w:lineRule="exact"/>
        <w:rPr>
          <w:rFonts w:ascii="Times New Roman" w:cs="Times New Roman" w:eastAsia="Times New Roman" w:hAnsi="Times New Roman"/>
          <w:sz w:val="18"/>
          <w:szCs w:val="18"/>
          <w:color w:val="auto"/>
        </w:rPr>
      </w:pPr>
    </w:p>
    <w:p>
      <w:pPr>
        <w:ind w:left="1020" w:right="60" w:hanging="504"/>
        <w:spacing w:after="0" w:line="26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partners in the event that a collaboration partner was to terminate its collaboration with us;</w:t>
      </w: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1020" w:right="90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partner regarding the amount and timing of resource expenditures for the commercialization, distribution, and sale of our drug products;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partner to perform its duties under its collaboration agreement with us (e.g., its failure to comply with regulatory requirements;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1020" w:right="300" w:hanging="504"/>
        <w:spacing w:after="0" w:line="26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and their affiliates’ development and commercialization of products that compete directly or indirectly with our products or products candidates;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partner to prioritize other of its current or future products more highly than our drug products or our product candidates when it performs its duties;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partner as to the timing, nature and extent of our development plans or distribution and sales and marketing plans; and</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20" w:right="20" w:hanging="504"/>
        <w:spacing w:after="0" w:line="26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returns to us, if any, under our collaboration agreements depend in large part on the achievement of milestones and generation of product sales, and if our partners fail to perform or satisfy their obligations under the collaboration agreement, the development and commercialization of our drug products could be delayed, hindered or may not occur and our business and prospects could be materially and adversely affected.</w:t>
      </w:r>
    </w:p>
    <w:p>
      <w:pPr>
        <w:spacing w:after="0" w:line="74" w:lineRule="exact"/>
        <w:rPr>
          <w:sz w:val="20"/>
          <w:szCs w:val="20"/>
          <w:color w:val="auto"/>
        </w:rPr>
      </w:pPr>
    </w:p>
    <w:p>
      <w:pPr>
        <w:jc w:val="both"/>
        <w:ind w:right="360" w:firstLine="509"/>
        <w:spacing w:after="0" w:line="265" w:lineRule="auto"/>
        <w:rPr>
          <w:sz w:val="20"/>
          <w:szCs w:val="20"/>
          <w:color w:val="auto"/>
        </w:rPr>
      </w:pPr>
      <w:r>
        <w:rPr>
          <w:rFonts w:ascii="Times New Roman" w:cs="Times New Roman" w:eastAsia="Times New Roman" w:hAnsi="Times New Roman"/>
          <w:sz w:val="18"/>
          <w:szCs w:val="18"/>
          <w:color w:val="auto"/>
        </w:rPr>
        <w:t>Due to these factors and other possible disagreements with our collaboration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69"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If any collaboration partner were to terminate our collaborative relationship unilaterally, we would need to undertake development, commercialization or distribution or sale activities for our drug products and product candidates solely at our own expense, and/or seek one or more other partners for some or all of these activities worldwide. If we pursued these activities on our own, it would significantly increase our capital and infrastructure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requirements, might limit the indications we are able to pursue for our drug products and our product candidates, and could prevent us from effectively developing and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partners.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interest rate risk, including under our loan agreements.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Exposure to interest rate risk results from our debt obligations, including the credit agreement entered into on April 21, 2023 by our wholly-owned subsidiary, Arcturus Therapeutics, Inc., and Wells Fargo Bank, National Association (the “Credit Agreement”), providing for a revolving credit line evidenced by a revolving line of credit note (the “Note”). Borrowings under the Credit Agreement will bear interest at a rate of 1.00% above either the Daily Simple SOFR or Term SOFR (as such terms are defined in the Note), with “SOFR” being the rate per annum equal to the secured overnight financing rate as administered by the Federal Reserve Bank of New York. All Loans shall bear interest during an Event of Default (as defined in the Credit Agreement) at a rate equal to 2.00% above the interest rate applicable immediately prior to the occurrence of the Event of Default (as defined in the Credit Agreement). As of December 31, 2023, we had no outstanding balance under the Credit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business, financial condition and 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Agreements with our lenders, including with Wells Fargo Bank, National Association, create several limitations on us, including but not limited to:</w:t>
      </w:r>
    </w:p>
    <w:p>
      <w:pPr>
        <w:spacing w:after="0" w:line="117"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who may have less debt or comparable debt at more favorable interest rates or less strict covenants and other limitations or requirements;</w:t>
      </w:r>
    </w:p>
    <w:p>
      <w:pPr>
        <w:spacing w:after="0" w:line="54" w:lineRule="exact"/>
        <w:rPr>
          <w:rFonts w:ascii="Times New Roman" w:cs="Times New Roman" w:eastAsia="Times New Roman" w:hAnsi="Times New Roman"/>
          <w:sz w:val="18"/>
          <w:szCs w:val="18"/>
          <w:color w:val="auto"/>
        </w:rPr>
      </w:pPr>
    </w:p>
    <w:p>
      <w:pPr>
        <w:ind w:left="1020" w:right="600" w:hanging="504"/>
        <w:spacing w:after="0" w:line="312"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acceleration of our obligations upon the occurrence of an event of default.</w:t>
      </w:r>
    </w:p>
    <w:p>
      <w:pPr>
        <w:spacing w:after="0" w:line="11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Credit Agreement could materially and adversely affect our business, financial condition and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contains customary default clauses, a breach of which may result in acceleration of the repayment of some or all of this debt.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default clauses. In the event we were to default on our obligations under our debt and were unable to cure or obtain a waiver of such default, the repayment of our debt may be accelerated. If such acceleration were to occur, we would be required to promptly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Under the Tax Cuts and Jobs Act, as modified by the Coronavirus Aid, Relief, and Economic Security Act, or CARES Act, U.S. federal net operating losses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applicable limitations), if any. Under Sections 382 and 383 of the Internal Revenue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significantly limited. We believe we may have triggered an “ownership change” limitation; however, we have not completed a study in accordance with Sections 382 and 383 of the Code to determine whether this ownership change has occurred or what the possible effects of an ownership change would be on our ability to use NOLs.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PRODUCT CANDIDATES</w:t>
      </w:r>
    </w:p>
    <w:p>
      <w:pPr>
        <w:spacing w:after="0" w:line="23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upon our relationship with CSL Seqirus to further research, manufacture and commercialize self-amplifying mRNA vaccines against COVID-19, influenza and three other respiratory infectious diseases.</w:t>
      </w:r>
    </w:p>
    <w:p>
      <w:pPr>
        <w:spacing w:after="0" w:line="5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November 2022, we entered into the CSL Collaboration Agreement with CSL Seqirus, for the research, manufacture and global commercialization of self-amplifying mRNA vaccines against COVID-19, influenza and three other respiratory infectious diseases. If such relationship is unsuccessful, or if CSL Seqirus terminates its collaboration agreement with us, it would negatively impact our ability to conduct our business and generate net product revenue. Failure by CSL Seqirus to perform its duties under its collaboration agreement with us may negatively affect us. The potential financial returns to us under our collaboration agreements with CSL Seqirus depends in large part on the achievement of milestones and generation of product sales, and if CSL Seqirus fails to perform or satisfy its obligations under the collaboration agreement, the development and commercialization of the licensed programs could be delayed, hindered or may not occur and our business and prospects could be materially and adversely affected. The fulfillment of our obligations under the CSL Collaboration Agreement may require significant deployment of our resources, which could disrupt or delay our ability to pursue other programs, including our platform development and development of other product candidates.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COVID-19 vaccine candidate is commercialized, it might not have a profitable commercial market.</w:t>
      </w:r>
    </w:p>
    <w:p>
      <w:pPr>
        <w:spacing w:after="0" w:line="121"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If the prevalence of COVID-19 and public concern about the virus continues to decline, the potential market opportunity will shrink for our COVID-19 vaccine under our collaboration with CSL Seqirus. As further COVID-19 vaccines are approved, production of existing COVID-19 vaccines improves and the COVID-19 impact transitions from pandemic to endemic stage, there may be downward pressure on prices. Therefore, even if we and CSL Seqirus can get through the extremely costly, long and risky process of developing and obtaining regulatory approval to market a vaccine, it may not be commercially successful. This failure could be due to reduced demand for COVID-19 vaccines, lower prices, distribution problems, competitors’ products or many other reasons. Our manufacturing process for our current COVID-19 vaccine candidates include a step for lyophilization to enhance the stability of the vaccine product. The additional step of lyophilization adds time and costs to the overall production output, which could adversely impact the production volumes and profitability of our COVID-19 vaccines if approval to market a vaccine is achieved. Any changes to our manufacturing processes or our product format could take a long time, be expensive and be unsuccessful. It is also still unclear if the vaccines will enable adequate long-term protection, as</w:t>
      </w:r>
    </w:p>
    <w:p>
      <w:pPr>
        <w:spacing w:after="0" w:line="3" w:lineRule="exact"/>
        <w:rPr>
          <w:sz w:val="20"/>
          <w:szCs w:val="20"/>
          <w:color w:val="auto"/>
        </w:rPr>
      </w:pPr>
    </w:p>
    <w:p>
      <w:pPr>
        <w:ind w:right="60" w:firstLine="8"/>
        <w:spacing w:after="0" w:line="252"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vaccinated individuals have become ill due to “breakthrough infections” and have transmitted the virus to many others, (ii) there are millions of individuals who refuse to be vaccinated or who cannot be vaccinated due to pre-existing conditions, (iii) it is unclear how long the vaccine protection will last, and (iv) genetic mutations or variants of the virus already have had, and are expected to continue to have, an adverse impact on the efficacy of available vaccines. If we cannot, with and through our partner, develop and commercialize a vaccine that adequately addresses some of these shortcomings of vaccines currently on the market, we cannot expect to have commercial success.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80"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partnered next generation COVID-19 vaccine candidate, ARCT-154, only has marketing approval in Japan and may never achieve marketing approval in any other countries. Regulators may refuse to approve our current or an updated COVID-19 vaccine candidate containing an updated variant strain in Japan and elsewhere.</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we have marketing approval for ARCT-154 in Japan, we do not have approval for ARCT-154 in any other countries and may never achieve marketing approval in any other countries. Further, ARCT-154 is not commercially viable in Japan or any other country because it does not contain an updated variant strain, and we do not have approval of a COVID-19 vaccine with an updated variant strain and may never achieve a marketing approval containing an updated variant strain. Our continued development efforts for our COVID-19 vaccine could face increased research and development costs, including for clinical trials, non-clinical studies and CMC, when updating COVID-19 vaccines containing new variants of concern based on WHO and FDA recommendations. Regulatory authorities, including the FDA, may deem the variant strain data we expect to collect from studies outside of the United States to be insufficient. If key regulatory authorities, such as the FDA, determine that our data is inadequate or unacceptable, or make the path to regulatory approval more difficult, we may not be able to achieve regulatory approval and any additional study may prove too costly for us to conduct without a strategic partner. If we do not receive approvals to market our partnered COVID-19 vaccine, our efforts and the efforts of our partner, CSL Seqirus, on future generations of COVID-19 vaccines based on our platform could be substantially harmed.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with the approval in Japan of our partnered next generation COVID-19 vaccine candidate, ARCT-154, we might not achieve any sales in Japan.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relying on our partner, CSL Seqirus, and CSL Seqirus’ partner, Meiji Seika Pharma (Meiji), to conduct further development and commercialization of our COVID-19 vaccine candidate. Even if our COVID-19 vaccine containing an updated variant strain achieves approval in Japan, purchasers in Japan might not purchase any doses of our vaccine, due to competition, pricing, product profile or other factors. Japanese regulatory agencies and purchasers might require involvement of Japanese companies in the domestic production of our COVID-19 vaccine. If any such Japanese companies do not participate or fail in such activities, then our and our partners’ ability to commercialize our COVID-19 vaccine will be materially harmed.</w:t>
      </w:r>
    </w:p>
    <w:p>
      <w:pPr>
        <w:spacing w:after="0" w:line="7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from our past and ongoing clinical trials of our COVID-19 vaccine candidates may not provide sufficient evidence to any regulatory authorities, including the FDA, that they are sufficiently safe and effective to achieve any marketing approval.</w:t>
      </w:r>
    </w:p>
    <w:p>
      <w:pPr>
        <w:spacing w:after="0" w:line="50"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Clinical trial results are inherently uncertain, and a significant portion of our potential success and business prospects currently depend on our partnered COVID-19 vaccine program. If we cannot demonstrate sufficient safety and efficacy and complete these clinical trials on a timely basis, we likely will have missed a substantial market opportunity for COVID-19 vaccines, after dedicating significant efforts and financial resources to this program, and our commercial relationships may be materially adversely affected.</w:t>
      </w:r>
    </w:p>
    <w:p>
      <w:pPr>
        <w:spacing w:after="0" w:line="7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authorities may change views and recommendations, which could lead to more challenging regulatory paths to approvals and to more expensive clinical and commercial efforts.</w:t>
      </w:r>
    </w:p>
    <w:p>
      <w:pPr>
        <w:spacing w:after="0" w:line="50" w:lineRule="exact"/>
        <w:rPr>
          <w:sz w:val="20"/>
          <w:szCs w:val="20"/>
          <w:color w:val="auto"/>
        </w:rPr>
      </w:pPr>
    </w:p>
    <w:p>
      <w:pPr>
        <w:ind w:right="100" w:firstLine="554"/>
        <w:spacing w:after="0" w:line="254" w:lineRule="auto"/>
        <w:rPr>
          <w:sz w:val="20"/>
          <w:szCs w:val="20"/>
          <w:color w:val="auto"/>
        </w:rPr>
      </w:pPr>
      <w:r>
        <w:rPr>
          <w:rFonts w:ascii="Times New Roman" w:cs="Times New Roman" w:eastAsia="Times New Roman" w:hAnsi="Times New Roman"/>
          <w:sz w:val="18"/>
          <w:szCs w:val="18"/>
          <w:color w:val="auto"/>
        </w:rPr>
        <w:t>Regulatory authorities are still settling in on their advice and recommendations for approving COVID-19 vaccine candidates. For example, at a meeting of the Vaccines and Related Biological Products Advisory Committee (VRBPAC) of the FDA in January 2023, the committee members voted to harmonize the vaccine strain composition of primary series and booster doses used in the U.S. to a single composition, the result of which was to favor bivalent vaccines (e.g., original plus Omicron BA.4/BA.5). However, five months later, FDA advised manufacturers seeking to update their COVID-19 vaccines with a monovalent XBB.1.5 composition for the 2023-2024 season based on the VRBPAC meeting on 15 June 2023. Such a changing regulatory recommendation can make our development activities significantly more challenging and expensive, and have an adverse impact on a pathway to approval for our future COVID-19 vaccine candidates. Further, additional data demonstrating broad immunogenicity against emerging variant strains may be requested by FDA and other regulatory agencies to support registration, and there can be no assurance that our vaccine candidates will achieve such immunogenicity.</w:t>
      </w:r>
    </w:p>
    <w:p>
      <w:pPr>
        <w:spacing w:after="0" w:line="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significant competition in the development of a vaccine against COVID-19, some competitors’ vaccines are already widely accepted in the market, and many of our competitors have substantially greater financial, scientific and other resources than we have.</w:t>
      </w:r>
    </w:p>
    <w:p>
      <w:pPr>
        <w:spacing w:after="0" w:line="50"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A large number of biopharmaceutical companies, academic institutions and other organizations currently have programs to develop COVID-19 vaccine candidates and many are further along in development of their vaccine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candidates. Pfizer, Moderna and Novavax have received full approvals or emergency use authorization from the FDA and many other health regulatory authorities throughout the world, and other biopharmaceutical companies have received approvals or authorizations from many health regulatory authorities other than the FDA, for their COVID-19 vaccines and have already commercialized them on a large scale and have vaccinated billions of people around the world.</w:t>
      </w:r>
    </w:p>
    <w:p>
      <w:pPr>
        <w:spacing w:after="0" w:line="7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Even with the partnering of our COVID-19 program, we are already at a significant competitive disadvantage to those companies with vaccines on the market, as well as many other competitors pursuing vaccine candidates. Many other competitors have significantly greater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 Our business could be further materially and adversely affected by our competitors’ commercialization of their vaccines before development of our vaccine candidate is completed or approval is achieved. If they develop and commercialize one or more COVID-19 vaccines that are safer, more effective against multiple variants, have fewer or less severe side effects, have broader market acceptance, are more convenient or are less expensive than any vaccine candidate that we develop, then our COVID-19 vaccine candidate may not achieve any commercial success even if it is approved. Furthermore, if any competitors are successful in producing a more efficacious vaccine or other treatment for COVID-19, or if any competitors are able to manufacture and distribute any such vaccines or treatments with greater efficiency, there may be a diversion of potential governmental and other funding away from us and toward such other parties.</w:t>
      </w:r>
    </w:p>
    <w:p>
      <w:pPr>
        <w:spacing w:after="0" w:line="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regulatory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safer or less costly than any product candidate that we may develop. Our existing competitors and new market entrants may respond more quickly to or integrate new or emerging technologies such as artificial intelligence and machine learning, undertake more extensive marketing campaigns, have greater access to clinical information to support ongoing product position in the market, have greater financial, marketing and other resources or be more successful in attracting potential customers, employees and strategic partners. There can be no assurance that any products now in development, or that we may seek to develop in the future, will achieve technological feasibility, obtain regulatory approval or gain market acceptance. If we are unable to develop and launch new products, our ability to maintain or expand our market position in the markets in which we participate may be negatively impacted. Our competitors may achieve patent protection, regulatory approval, or product commercialization that would limit our ability to compete with them. These and other competitive pressures could have a material adverse effect our business.</w:t>
      </w:r>
    </w:p>
    <w:p>
      <w:pPr>
        <w:spacing w:after="0" w:line="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successful results from preclinical and clinical studies of our product candidates, or experience significant delays in doing so, our business may be materially harmed.</w:t>
      </w:r>
    </w:p>
    <w:p>
      <w:pPr>
        <w:spacing w:after="0" w:line="50"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Other than the approval of ARCT-154 in Japan, we have no products approved for commercial marketing and all of our product candidates are in preclinical or clinical development. Before obtaining regulatory approval for the commercial distribution of our product candidates, we or an existing or future collaborator must conduct extensive preclinical studies and clinical trials to demonstrate the safety and efficacy of our product candidates.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225" w:lineRule="exact"/>
        <w:rPr>
          <w:sz w:val="20"/>
          <w:szCs w:val="20"/>
          <w:color w:val="auto"/>
        </w:rPr>
      </w:pPr>
    </w:p>
    <w:p>
      <w:pPr>
        <w:ind w:left="1200" w:hanging="595"/>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designing preclinical studies which may be predictive of clinical outcomes;</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clinical trials and completion of preclinical and clinical studies with favorable results;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for future product candidates;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ind w:left="1200" w:hanging="595"/>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manufacturing relationships with third parties or establishing our own manufacturing capability; and</w:t>
      </w:r>
    </w:p>
    <w:p>
      <w:pPr>
        <w:spacing w:after="0" w:line="27" w:lineRule="exact"/>
        <w:rPr>
          <w:rFonts w:ascii="Times New Roman" w:cs="Times New Roman" w:eastAsia="Times New Roman" w:hAnsi="Times New Roman"/>
          <w:sz w:val="18"/>
          <w:szCs w:val="18"/>
          <w:color w:val="auto"/>
        </w:rPr>
      </w:pPr>
    </w:p>
    <w:p>
      <w:pPr>
        <w:ind w:left="1200" w:right="520" w:hanging="595"/>
        <w:spacing w:after="0" w:line="260" w:lineRule="auto"/>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our products, if approved, including successfully establishing a sales force, marketing and distribution infrastructure, whether alone or in collaboration with others.</w:t>
      </w:r>
    </w:p>
    <w:p>
      <w:pPr>
        <w:spacing w:after="0" w:line="72"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5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spacing w:after="0" w:line="5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concentrated our therapeutic product research and development efforts on nucleic acid technology, and mRNA in particular, and our future success depends on the successful development and acceptance of this technology for drug products. The development and commercialization of drug products based on nucleic acid technologies, including mRNA, are relatively new. The scientific evidence to support the feasibility of developing product candidates based on these discoveries is both preliminary and limited. If nucleic acid or mRNA approaches to drug products encounter setbacks based on the safety, efficacy, distribution, costs or other factors, it will significantly hurt our prospects and the value of our common stock.</w:t>
      </w:r>
    </w:p>
    <w:p>
      <w:pPr>
        <w:spacing w:after="0" w:line="74"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Our focus on nucleic acid technology for developing drugs as opposed to more proven technologies for drug development increases the risks associated with our business. If we are not successful in developing any product candidates using nucleic acid technology, we may be required to change the scope and direction of our product development activities. In that case, we may not be able to identify and successfully implement an alternative product development strategy.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our drug product format could significantly impact our timeline to commercialize our products.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Each of our products, including our COVID-19 vaccine candidates, has a certain drug product format and utilizes certain manufacturing processes. We evaluate and implement such attributes based on our considerations of regulatory and commercial potential, along with scientific feasibility. There can be no assurance that the format and processes of any of our products is sufficient to achieve regulatory approval for commercialization per planned timelines. For example, the stability of our products and the vial presentations could impact the commercial attractiveness of a product, and different markets may favor different characteristics. Any changes to drug product formats will likely add additional cost and may delay approvals.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potential product candidates.</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messenger RNA medicines. Our research programs may initially show promise in identifying potential product candidates, yet fail to yield product candidates for clinical development for a number of reasons, including:</w:t>
      </w:r>
    </w:p>
    <w:p>
      <w:pPr>
        <w:spacing w:after="0" w:line="177" w:lineRule="exact"/>
        <w:rPr>
          <w:sz w:val="20"/>
          <w:szCs w:val="20"/>
          <w:color w:val="auto"/>
        </w:rPr>
      </w:pPr>
    </w:p>
    <w:p>
      <w:pPr>
        <w:ind w:left="1200" w:hanging="595"/>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methodology or that of our strategic alliance partners may be unsuccessful in identifying potential product candidates;</w:t>
      </w:r>
    </w:p>
    <w:p>
      <w:pPr>
        <w:spacing w:after="0" w:line="27" w:lineRule="exact"/>
        <w:rPr>
          <w:rFonts w:ascii="Times New Roman" w:cs="Times New Roman" w:eastAsia="Times New Roman" w:hAnsi="Times New Roman"/>
          <w:sz w:val="18"/>
          <w:szCs w:val="18"/>
          <w:color w:val="auto"/>
        </w:rPr>
      </w:pPr>
    </w:p>
    <w:p>
      <w:pPr>
        <w:ind w:left="1200" w:right="440" w:hanging="595"/>
        <w:spacing w:after="0" w:line="250" w:lineRule="auto"/>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be shown to have harmful side effects or may have other characteristics that may make the products unmarketable or unlikely to receive marketing approval; or</w:t>
      </w:r>
    </w:p>
    <w:p>
      <w:pPr>
        <w:ind w:left="1200" w:hanging="595"/>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may change their development profiles for potential product candidates or abandon a therapeutic area.</w:t>
      </w:r>
    </w:p>
    <w:p>
      <w:pPr>
        <w:spacing w:after="0" w:line="206"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7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8" w:name="page59"/>
    <w:bookmarkEnd w:id="58"/>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Furthermore, even if prior animal studies have demonstrated the potential safety and efficacy of our product candidates, there can be no guarantee that such results will be reproducible in preclinical studies and clinical trials involving human subjects.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which may result in a delay or unsuccessful completion of clinical development include:</w:t>
      </w:r>
    </w:p>
    <w:p>
      <w:pPr>
        <w:spacing w:after="0" w:line="225" w:lineRule="exact"/>
        <w:rPr>
          <w:sz w:val="20"/>
          <w:szCs w:val="20"/>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an agreement with the FDA or other regulatory authorities on final trial design;</w:t>
      </w:r>
    </w:p>
    <w:p>
      <w:pPr>
        <w:spacing w:after="0" w:line="27" w:lineRule="exact"/>
        <w:rPr>
          <w:rFonts w:ascii="Times New Roman" w:cs="Times New Roman" w:eastAsia="Times New Roman" w:hAnsi="Times New Roman"/>
          <w:sz w:val="18"/>
          <w:szCs w:val="18"/>
          <w:color w:val="auto"/>
        </w:rPr>
      </w:pPr>
    </w:p>
    <w:p>
      <w:pPr>
        <w:ind w:left="1200" w:right="560" w:hanging="595"/>
        <w:spacing w:after="0" w:line="250"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or acceptance of, an application for authorization to administer an investigational new drug product to humans through the submission or acceptance of an IND application to the FDA, or foreign regulatory authority;</w:t>
      </w: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of our clinical trial operations or trial sites by the FDA or other regulatory authorities;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(“CROs”) and clinical trial sites;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adhere to clinical trial requirements directly or with third parties such as CROs;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 or CRO non-compliance with GCPs, GLPs, or other regulatory requirements;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of clinical trial sites to adhere to the clinical trial protocol;</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trial site, or an IRB suspending or terminating a trial;</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trial;</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the product candidates to the clinical sites;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patients dropping out of a trial due to protocol procedures or requirements, product side effects or disease progression;</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to the detriment of enrollment;</w:t>
      </w:r>
    </w:p>
    <w:p>
      <w:pPr>
        <w:spacing w:after="0" w:line="22"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required to add new clinical sites; or</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by our contract manufacturers to produce and deliver sufficient supply of clinical trial materials.</w:t>
      </w:r>
    </w:p>
    <w:p>
      <w:pPr>
        <w:spacing w:after="0" w:line="206"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or our strategic alliance partners may:</w:t>
      </w:r>
    </w:p>
    <w:p>
      <w:pPr>
        <w:spacing w:after="0" w:line="177" w:lineRule="exact"/>
        <w:rPr>
          <w:sz w:val="20"/>
          <w:szCs w:val="20"/>
          <w:color w:val="auto"/>
        </w:rPr>
      </w:pPr>
    </w:p>
    <w:p>
      <w:pPr>
        <w:ind w:left="1200" w:hanging="595"/>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future product candidates;</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originally intended or desired;</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marketing approvals. We face risks that clinical trials may not begin as planned, may need to be restructured or may not be completed on schedule, or at all. Significant clinical trial delays also could shorten any periods during which we may have the exclusive right to commercialize our product candidates or could allow our competitors to bring products to market before we do, which would impair our ability to successfully commercialize our product candidates. Any inability to</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ind w:right="620"/>
        <w:spacing w:after="0" w:line="281" w:lineRule="auto"/>
        <w:rPr>
          <w:sz w:val="20"/>
          <w:szCs w:val="20"/>
          <w:color w:val="auto"/>
        </w:rPr>
      </w:pPr>
      <w:r>
        <w:rPr>
          <w:rFonts w:ascii="Times New Roman" w:cs="Times New Roman" w:eastAsia="Times New Roman" w:hAnsi="Times New Roman"/>
          <w:sz w:val="18"/>
          <w:szCs w:val="18"/>
          <w:color w:val="auto"/>
        </w:rPr>
        <w:t>timely and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5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spacing w:after="0" w:line="50"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certain conditions for which we plan to evaluate our current product candidates are rare genetic diseases, and have limited patient pools from which to draw for clinical studies. For example, we estimate that approximately 8,000 patients in the developed world suffer from late-onset OTC deficiency, for which LUNAR-OTC is being studied. 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may prove costly,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w:t>
      </w:r>
    </w:p>
    <w:p>
      <w:pPr>
        <w:spacing w:after="0" w:line="7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promptly enroll an adequate number of patients in our studies for the foregoing or other reasons, the timeline for conducting studies and obtaining regulatory approval of potential products will be delayed, 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achieving approval to conduct and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w:t>
      </w:r>
    </w:p>
    <w:p>
      <w:pPr>
        <w:spacing w:after="0" w:line="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cause undesirable side effects or have other properties impacting safety, their regulatory approval could be prevented, delayed or limited.</w:t>
      </w:r>
    </w:p>
    <w:p>
      <w:pPr>
        <w:spacing w:after="0" w:line="5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It is likely that there will be side effects associated with use of our product candidates. If results of our trials reveal a high and unacceptable severity and prevalence of side effects,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reputation and financial condition.</w:t>
      </w:r>
    </w:p>
    <w:p>
      <w:pPr>
        <w:spacing w:after="0" w:line="79"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69"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and causes serious, unexpected, or undesired side effects, a number of potentially significant negative consequences could result after we begin commercialization, including:</w:t>
      </w:r>
    </w:p>
    <w:p>
      <w:pPr>
        <w:spacing w:after="0" w:line="163" w:lineRule="exact"/>
        <w:rPr>
          <w:sz w:val="20"/>
          <w:szCs w:val="20"/>
          <w:color w:val="auto"/>
        </w:rPr>
      </w:pPr>
    </w:p>
    <w:p>
      <w:pPr>
        <w:ind w:left="1200" w:right="80" w:hanging="595"/>
        <w:spacing w:after="0" w:line="281" w:lineRule="auto"/>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their approval of the product or impose restrictions on its distribution in the form of a modified risk evaluation and mitigation strategy;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0" w:name="page61"/>
    <w:bookmarkEnd w:id="60"/>
    <w:p>
      <w:pPr>
        <w:ind w:left="1200" w:hanging="595"/>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post-marketing surveillance;</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6"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6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obtain regulatory approval to commercialize a product candidate and we cannot, therefore, predict the timing of any revenue from a future product.</w:t>
      </w:r>
    </w:p>
    <w:p>
      <w:pPr>
        <w:spacing w:after="0" w:line="50"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extent and timing of any product revenue is highly unpredictable because regulatory authorities may not complete their review processes in a timely manner, or we may not be able to obtain regulatory approval for many reasons including:</w:t>
      </w:r>
    </w:p>
    <w:p>
      <w:pPr>
        <w:spacing w:after="0" w:line="163" w:lineRule="exact"/>
        <w:rPr>
          <w:sz w:val="20"/>
          <w:szCs w:val="20"/>
          <w:color w:val="auto"/>
        </w:rPr>
      </w:pPr>
    </w:p>
    <w:p>
      <w:pPr>
        <w:ind w:left="1200" w:hanging="595"/>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disagreeing with the design or implementation of our clinical trials;</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8" w:lineRule="exact"/>
        <w:rPr>
          <w:rFonts w:ascii="Times New Roman" w:cs="Times New Roman" w:eastAsia="Times New Roman" w:hAnsi="Times New Roman"/>
          <w:sz w:val="18"/>
          <w:szCs w:val="18"/>
          <w:color w:val="auto"/>
        </w:rPr>
      </w:pPr>
    </w:p>
    <w:p>
      <w:pPr>
        <w:ind w:left="1200" w:right="80" w:hanging="595"/>
        <w:spacing w:after="0" w:line="250"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 such as our phase 1/2/3 clinical trial of ARCT-154 conducted in Vietnam;</w:t>
      </w:r>
    </w:p>
    <w:p>
      <w:pPr>
        <w:ind w:left="1200" w:right="160" w:hanging="595"/>
        <w:spacing w:after="0" w:line="257"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unclear results from our clinical trials or results that may not meet the level of statistical significance required by the FDA or foreign regulatory agencies for approval;</w:t>
      </w:r>
    </w:p>
    <w:p>
      <w:pPr>
        <w:spacing w:after="0" w:line="1" w:lineRule="exact"/>
        <w:rPr>
          <w:rFonts w:ascii="Times New Roman" w:cs="Times New Roman" w:eastAsia="Times New Roman" w:hAnsi="Times New Roman"/>
          <w:sz w:val="18"/>
          <w:szCs w:val="18"/>
          <w:color w:val="auto"/>
        </w:rPr>
      </w:pPr>
    </w:p>
    <w:p>
      <w:pPr>
        <w:ind w:left="1200" w:right="220" w:hanging="595"/>
        <w:spacing w:after="0" w:line="250"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drugs similar to our product candidates;</w:t>
      </w:r>
    </w:p>
    <w:p>
      <w:pPr>
        <w:ind w:left="1200" w:right="220" w:hanging="595"/>
        <w:spacing w:after="0" w:line="250"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ind w:left="1200" w:hanging="595"/>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8" w:lineRule="exact"/>
        <w:rPr>
          <w:rFonts w:ascii="Times New Roman" w:cs="Times New Roman" w:eastAsia="Times New Roman" w:hAnsi="Times New Roman"/>
          <w:sz w:val="18"/>
          <w:szCs w:val="18"/>
          <w:color w:val="auto"/>
        </w:rPr>
      </w:pPr>
    </w:p>
    <w:p>
      <w:pPr>
        <w:ind w:left="1200" w:right="20" w:hanging="595"/>
        <w:spacing w:after="0" w:line="250"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ind w:left="1200" w:hanging="595"/>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8" w:lineRule="exact"/>
        <w:rPr>
          <w:rFonts w:ascii="Times New Roman" w:cs="Times New Roman" w:eastAsia="Times New Roman" w:hAnsi="Times New Roman"/>
          <w:sz w:val="18"/>
          <w:szCs w:val="18"/>
          <w:color w:val="auto"/>
        </w:rPr>
      </w:pPr>
    </w:p>
    <w:p>
      <w:pPr>
        <w:ind w:left="1200" w:right="40" w:hanging="595"/>
        <w:spacing w:after="0" w:line="250"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manufacturers with which we contract for clinical and commercial supplies; or</w:t>
      </w:r>
    </w:p>
    <w:p>
      <w:pPr>
        <w:ind w:left="1200" w:right="680" w:hanging="595"/>
        <w:spacing w:after="0" w:line="260"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or interpretations of such authorities may significantly change in a manner rendering our or any of our potential future collaborators’ clinical data insufficient for approval.</w:t>
      </w:r>
    </w:p>
    <w:p>
      <w:pPr>
        <w:spacing w:after="0" w:line="180"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6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FDA may also require a risk evaluation and mitigation strategy as a condition of approval of our product candidates, which could include requirements for a medication guide, physician communication plans or additional elements to ensure safe use, such as restricted distribution</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1" w:name="page62"/>
    <w:bookmarkEnd w:id="61"/>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methods, patient registries and other risk minimization tools. Additionally, the manufacturing processes, packaging, distribution, adverse event reporting, labeling, advertising, promotion, and recordkeeping for the product will be subject to extensive and ongoing FDA regulatory requirements, in addition to other potentially applicable federal and state laws. These requirements include monitoring and reporting of adverse events and other post-marketing information and reports, registration, as well as continued compliance with current good manufacturing practice, or cGMP, regulations. The holder of an approved NDA must also submit new or supplemental applications and obtain FDA approval for certain changes to the approved product, product labeling or manufacturing process.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81" w:lineRule="exact"/>
        <w:rPr>
          <w:sz w:val="20"/>
          <w:szCs w:val="20"/>
          <w:color w:val="auto"/>
        </w:rPr>
      </w:pPr>
    </w:p>
    <w:p>
      <w:pPr>
        <w:ind w:right="640" w:firstLine="509"/>
        <w:spacing w:after="0" w:line="281" w:lineRule="auto"/>
        <w:rPr>
          <w:sz w:val="20"/>
          <w:szCs w:val="20"/>
          <w:color w:val="auto"/>
        </w:rPr>
      </w:pPr>
      <w:r>
        <w:rPr>
          <w:rFonts w:ascii="Times New Roman" w:cs="Times New Roman" w:eastAsia="Times New Roman" w:hAnsi="Times New Roman"/>
          <w:sz w:val="18"/>
          <w:szCs w:val="18"/>
          <w:color w:val="auto"/>
        </w:rPr>
        <w:t>If we or our strategic partners fail to comply with applicable regulatory requirements following approval of any of our product candidates, a regulatory agency may:</w:t>
      </w:r>
    </w:p>
    <w:p>
      <w:pPr>
        <w:spacing w:after="0" w:line="163" w:lineRule="exact"/>
        <w:rPr>
          <w:sz w:val="20"/>
          <w:szCs w:val="20"/>
          <w:color w:val="auto"/>
        </w:rPr>
      </w:pPr>
    </w:p>
    <w:p>
      <w:pPr>
        <w:ind w:left="1180" w:hanging="570"/>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27"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8"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8"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8"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NDA or supplements to an NDA submitted by us;</w:t>
      </w:r>
    </w:p>
    <w:p>
      <w:pPr>
        <w:spacing w:after="0" w:line="8"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product or require a product recall; or</w:t>
      </w:r>
    </w:p>
    <w:p>
      <w:pPr>
        <w:spacing w:after="0" w:line="8" w:lineRule="exact"/>
        <w:rPr>
          <w:rFonts w:ascii="Times New Roman" w:cs="Times New Roman" w:eastAsia="Times New Roman" w:hAnsi="Times New Roman"/>
          <w:sz w:val="18"/>
          <w:szCs w:val="18"/>
          <w:color w:val="auto"/>
        </w:rPr>
      </w:pPr>
    </w:p>
    <w:p>
      <w:pPr>
        <w:ind w:left="1180" w:hanging="570"/>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06"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if approved, and generate revenues.</w:t>
      </w:r>
    </w:p>
    <w:p>
      <w:pPr>
        <w:spacing w:after="0" w:line="6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5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applicable insurance coverage we may have as well as our financial resources. We also could incur significant costs associated with civil or criminal fines and penalties.</w:t>
      </w:r>
    </w:p>
    <w:p>
      <w:pPr>
        <w:spacing w:after="0" w:line="78" w:lineRule="exact"/>
        <w:rPr>
          <w:sz w:val="20"/>
          <w:szCs w:val="20"/>
          <w:color w:val="auto"/>
        </w:rPr>
      </w:pPr>
    </w:p>
    <w:p>
      <w:pPr>
        <w:ind w:right="100" w:firstLine="509"/>
        <w:spacing w:after="0" w:line="288"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8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future laws and regulations may impair our research, development or production efforts. Failure to comply with these laws and regulations also may result in substantial fines, penalties or other sanctions.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issues may arise that could increase product and regulatory approval costs or delay or hinder commercialization.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 We do not have any commercial products, and therefore, the robustness of our manufacturing supply chain to support commercial distribution has not been tested. Furthermore, we are required by our contract manufacturers to make financial commitments in advance of the receipt of clinical data or feedback from regulatory authorities, which could result in significant financial obligations.</w:t>
      </w:r>
    </w:p>
    <w:p>
      <w:pPr>
        <w:spacing w:after="0" w:line="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will depend upon the acceptance of our product candidates by the medical community, including physicians, patients and healthcare payors.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market acceptance of any product candidates will depend on a number of factors, including:</w:t>
      </w:r>
    </w:p>
    <w:p>
      <w:pPr>
        <w:spacing w:after="0" w:line="225" w:lineRule="exact"/>
        <w:rPr>
          <w:sz w:val="20"/>
          <w:szCs w:val="20"/>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safety and efficacy compared to other products;</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ease of administration and acceptance by physicians, patients and healthcare payors;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 for such products;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of our collaborators’, sales and marketing strategies;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hospital or payor formulary approval;</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coverage from healthcare payors and adequate reimbursement; and</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or inadequacy of coverage by healthcare payors.</w:t>
      </w:r>
    </w:p>
    <w:p>
      <w:pPr>
        <w:spacing w:after="0" w:line="20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Unless other formulations are developed in the future, we expect our compounds to be formulated in an injectable or inhalable form. Injectable medications may be disfavored by patients or their physicians in the event drugs which are easy to administer, such as oral medications, are available. If any of our products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7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cost-effective sales and marketing capabilities or enter into agreements with third parties to market and sell our product candidates, we may be unable to generate any revenues from product sales.</w:t>
      </w:r>
    </w:p>
    <w:p>
      <w:pPr>
        <w:spacing w:after="0" w:line="5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order to market any products that may be approved, we must build our sales, marketing, managerial and other non-technical capabilities or make arrangements with outside parties to perform these services. With respect to certain of our current programs as well as future programs, we may rely completely on a strategic alliance partner for sales and marketing. In addition, we intend to enter into strategic alliances with other parties to commercialize other product candidates, if approved,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potential profit generated from the sales of these products.</w:t>
      </w:r>
    </w:p>
    <w:p>
      <w:pPr>
        <w:spacing w:after="0" w:line="7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Our current and any future strategic alliance partners may not dedicate sufficient resources to the commercialization of our product candidates, if approved, or may otherwise fail in their commercialization due to factors beyond our control. If we are unable to establish effective alliances to enable the sale of our product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candidates, if approved, to healthcare professionals and in geographical regions, including the United States, that will not be covered by our own marketing and sales force, or if our potential future strategic alliance partners do not successfully commercialize the product candidates that may be approved, our ability to generate revenues from product sales will be adversely affected.</w:t>
      </w:r>
    </w:p>
    <w:p>
      <w:pPr>
        <w:spacing w:after="0" w:line="69" w:lineRule="exact"/>
        <w:rPr>
          <w:sz w:val="20"/>
          <w:szCs w:val="20"/>
          <w:color w:val="auto"/>
        </w:rPr>
      </w:pPr>
    </w:p>
    <w:p>
      <w:pPr>
        <w:jc w:val="both"/>
        <w:ind w:right="40" w:firstLine="509"/>
        <w:spacing w:after="0" w:line="260"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7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50"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If we obtain approval to commercialize any approved products outside of the United States, we expect that we will be subject to additional risks related to entering into international business relationships, including:</w:t>
      </w:r>
    </w:p>
    <w:p>
      <w:pPr>
        <w:spacing w:after="0" w:line="163" w:lineRule="exact"/>
        <w:rPr>
          <w:sz w:val="20"/>
          <w:szCs w:val="20"/>
          <w:color w:val="auto"/>
        </w:rPr>
      </w:pP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8" w:lineRule="exact"/>
        <w:rPr>
          <w:rFonts w:ascii="Times New Roman" w:cs="Times New Roman" w:eastAsia="Times New Roman" w:hAnsi="Times New Roman"/>
          <w:sz w:val="18"/>
          <w:szCs w:val="18"/>
          <w:color w:val="auto"/>
        </w:rPr>
      </w:pPr>
    </w:p>
    <w:p>
      <w:pPr>
        <w:ind w:left="1200" w:right="200" w:hanging="595"/>
        <w:spacing w:after="0" w:line="250" w:lineRule="auto"/>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8" w:lineRule="exact"/>
        <w:rPr>
          <w:rFonts w:ascii="Times New Roman" w:cs="Times New Roman" w:eastAsia="Times New Roman" w:hAnsi="Times New Roman"/>
          <w:sz w:val="18"/>
          <w:szCs w:val="18"/>
          <w:color w:val="auto"/>
        </w:rPr>
      </w:pPr>
    </w:p>
    <w:p>
      <w:pPr>
        <w:ind w:left="1200" w:right="740" w:hanging="595"/>
        <w:spacing w:after="0" w:line="260" w:lineRule="auto"/>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coverage and adequate reimbursement is not available for any of our future products, it would be difficult for us to sell that product profitably.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In the United States, the Centers for Medicare &amp; Medicaid Services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Inadequate reimbursement amounts could substantially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 and that may be approved. Thus, even if we succeed in bringing a product to market, it may not be considered medically necessary or cost-effective, and the amount reimbursed for any products may be insufficient to allow us to sell our products on a competitive basis.</w:t>
      </w:r>
    </w:p>
    <w:p>
      <w:pPr>
        <w:spacing w:after="0" w:line="8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 addition, we cannot be certain if and when we will obtain formulary approval to allow us to sell any products into our target markets. Obtaining formulary approval from hospitals and from pharmacy benefits payors can be an expensive and time-consuming process. Failure to obtain timely formulary approval will limit our commercial success.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We expect to experience pricing pressures in connection with the sale of any products that we develop, due to the trend toward managed healthcare, the increasing influence of health maintenance organizations and additional legislative changes. The downward pressure on healthcare costs in general, and prescription drugs in particular, has and is expected to continue to increase in the future. For instance, government and private payors who reimburse patients or healthcare providers are increasingly seeking greater upfront discounts, additional rebates and other concessions to reduce prices for pharmaceutical products. If we fail to successfully secure and maintain sufficient reimbursement coverage for our future products or are significantly delayed in doing so, we will have difficulty achieving market acceptance of our future products and our business will be harmed.</w:t>
      </w:r>
    </w:p>
    <w:p>
      <w:pPr>
        <w:spacing w:after="0" w:line="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If any country that has price controls or reimbursement limitations for pharmaceutical products does not allow favorable reimbursement and pricing arrangements for any of our products, our sales and profits from that product could be severely limited. Historically, products launched in the EU do not follow price structures of the U.S. and generally tend to be priced significantly lower.</w:t>
      </w:r>
    </w:p>
    <w:p>
      <w:pPr>
        <w:spacing w:after="0" w:line="18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RISKS RELATED TO OUR RELIANCE ON OUTSIDE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strategic alliances are unsuccessful or are terminated, we may be unable to commercialize certain product candidates and generate revenues.</w:t>
      </w:r>
    </w:p>
    <w:p>
      <w:pPr>
        <w:spacing w:after="0" w:line="121" w:lineRule="exact"/>
        <w:rPr>
          <w:sz w:val="20"/>
          <w:szCs w:val="20"/>
          <w:color w:val="auto"/>
        </w:rPr>
      </w:pPr>
    </w:p>
    <w:p>
      <w:pPr>
        <w:ind w:right="140" w:firstLine="509"/>
        <w:spacing w:after="0" w:line="272" w:lineRule="auto"/>
        <w:rPr>
          <w:sz w:val="20"/>
          <w:szCs w:val="20"/>
          <w:color w:val="auto"/>
        </w:rPr>
      </w:pPr>
      <w:r>
        <w:rPr>
          <w:rFonts w:ascii="Times New Roman" w:cs="Times New Roman" w:eastAsia="Times New Roman" w:hAnsi="Times New Roman"/>
          <w:sz w:val="17"/>
          <w:szCs w:val="17"/>
          <w:color w:val="auto"/>
        </w:rPr>
        <w:t>We depend on alliance partners for financial and scientific resources for the clinical development, manufacture and commercialization of certain of our product candidates. Under these alliances we are likely to have limited influence and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These alliances will likely provide us with limited control over the course of development of a product candidate, especially once a candidate has reached the stage of clinical development. Our ability to ultimately recognize revenue from our strategic relationships will depend upon the ability and willingness of our alliance partners to successfully meet their respective responsibilities under our agreements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ability to recognize revenues from strategic alliances may be impaired by several factors, including:</w:t>
      </w:r>
    </w:p>
    <w:p>
      <w:pPr>
        <w:spacing w:after="0" w:line="225" w:lineRule="exact"/>
        <w:rPr>
          <w:sz w:val="20"/>
          <w:szCs w:val="20"/>
          <w:color w:val="auto"/>
        </w:rPr>
      </w:pPr>
    </w:p>
    <w:p>
      <w:pPr>
        <w:ind w:left="1200" w:right="320" w:hanging="595"/>
        <w:spacing w:after="0" w:line="260"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shift its priorities and resources away from our programs due to a change in its business strategies, or a merger, acquisition, sale or downsizing of its company or business unit;</w:t>
      </w:r>
    </w:p>
    <w:p>
      <w:pPr>
        <w:spacing w:after="0" w:line="1"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cease development in therapeutic areas which are the subject of our strategic alliances;</w:t>
      </w:r>
    </w:p>
    <w:p>
      <w:pPr>
        <w:spacing w:after="0" w:line="8" w:lineRule="exact"/>
        <w:rPr>
          <w:rFonts w:ascii="Times New Roman" w:cs="Times New Roman" w:eastAsia="Times New Roman" w:hAnsi="Times New Roman"/>
          <w:sz w:val="18"/>
          <w:szCs w:val="18"/>
          <w:color w:val="auto"/>
        </w:rPr>
      </w:pPr>
    </w:p>
    <w:p>
      <w:pPr>
        <w:ind w:left="1200" w:right="400" w:hanging="595"/>
        <w:spacing w:after="0" w:line="250"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change the success criteria for a particular program or potential product candidate thereby delaying or ceasing development of such program or candidate;</w:t>
      </w:r>
    </w:p>
    <w:p>
      <w:pPr>
        <w:ind w:left="1200" w:right="180" w:hanging="595"/>
        <w:spacing w:after="0" w:line="250"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delay in initiation of certain development activities by an alliance partner will also delay payment to us of milestones tied to such activities, thereby impacting our ability to fund our own activities;</w:t>
      </w:r>
    </w:p>
    <w:p>
      <w:pPr>
        <w:ind w:left="1200" w:hanging="595"/>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could develop a product that competes, either directly or indirectly, with our product candidate;</w:t>
      </w:r>
    </w:p>
    <w:p>
      <w:pPr>
        <w:spacing w:after="0" w:line="8" w:lineRule="exact"/>
        <w:rPr>
          <w:rFonts w:ascii="Times New Roman" w:cs="Times New Roman" w:eastAsia="Times New Roman" w:hAnsi="Times New Roman"/>
          <w:sz w:val="18"/>
          <w:szCs w:val="18"/>
          <w:color w:val="auto"/>
        </w:rPr>
      </w:pPr>
    </w:p>
    <w:p>
      <w:pPr>
        <w:ind w:left="1200" w:right="760" w:hanging="595"/>
        <w:spacing w:after="0" w:line="250"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with commercialization obligations may not commit sufficient financial or human resources to the marketing, distribution or sale of a product;</w:t>
      </w:r>
    </w:p>
    <w:p>
      <w:pPr>
        <w:ind w:left="1200" w:right="80" w:hanging="595"/>
        <w:spacing w:after="0" w:line="250"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with manufacturing responsibilities may encounter regulatory, resource or quality issues and be unable to meet demand requirements;</w:t>
      </w:r>
    </w:p>
    <w:p>
      <w:pPr>
        <w:ind w:left="1200" w:hanging="595"/>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exercise its rights under the agreement to terminate a strategic alliance;</w:t>
      </w:r>
    </w:p>
    <w:p>
      <w:pPr>
        <w:spacing w:after="0" w:line="8" w:lineRule="exact"/>
        <w:rPr>
          <w:rFonts w:ascii="Times New Roman" w:cs="Times New Roman" w:eastAsia="Times New Roman" w:hAnsi="Times New Roman"/>
          <w:sz w:val="18"/>
          <w:szCs w:val="18"/>
          <w:color w:val="auto"/>
        </w:rPr>
      </w:pPr>
    </w:p>
    <w:p>
      <w:pPr>
        <w:ind w:left="1200" w:hanging="595"/>
        <w:spacing w:after="0" w:line="250"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dispute may arise between us and an alliance partner concerning the research, development or commercialization of a program or product candidate resulting in a delay in payments of milestones or royalties, or the termination of a program, and possibly resulting in costly litigation or arbitration which may divert management attention and resources; and</w:t>
      </w:r>
    </w:p>
    <w:p>
      <w:pPr>
        <w:ind w:left="1200" w:hanging="595"/>
        <w:spacing w:after="0" w:line="260"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18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If any of our alliance partners do not elect to pursue the development and commercialization of our development candidates or if they terminate the strategic alliance, then, depending on the event:</w:t>
      </w:r>
    </w:p>
    <w:p>
      <w:pPr>
        <w:spacing w:after="0" w:line="163" w:lineRule="exact"/>
        <w:rPr>
          <w:sz w:val="20"/>
          <w:szCs w:val="20"/>
          <w:color w:val="auto"/>
        </w:rPr>
      </w:pPr>
    </w:p>
    <w:p>
      <w:pPr>
        <w:ind w:left="1200" w:hanging="595"/>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product candidates subject to our alliances may be terminated or significantly delayed;</w:t>
      </w:r>
    </w:p>
    <w:p>
      <w:pPr>
        <w:spacing w:after="0" w:line="27" w:lineRule="exact"/>
        <w:rPr>
          <w:rFonts w:ascii="Times New Roman" w:cs="Times New Roman" w:eastAsia="Times New Roman" w:hAnsi="Times New Roman"/>
          <w:sz w:val="18"/>
          <w:szCs w:val="18"/>
          <w:color w:val="auto"/>
        </w:rPr>
      </w:pPr>
    </w:p>
    <w:p>
      <w:pPr>
        <w:jc w:val="both"/>
        <w:ind w:left="1200" w:right="40" w:hanging="595"/>
        <w:spacing w:after="0" w:line="264" w:lineRule="auto"/>
        <w:tabs>
          <w:tab w:leader="none" w:pos="12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expenditures could increase significantly if it is necessary for us to hire additional employees and allocate limited resources to the development and commercialization of product candidates that were previously funded, or expected to be funded, by our alliance partners;</w:t>
      </w:r>
    </w:p>
    <w:p>
      <w:pPr>
        <w:spacing w:after="0" w:line="1" w:lineRule="exact"/>
        <w:rPr>
          <w:rFonts w:ascii="Times New Roman" w:cs="Times New Roman" w:eastAsia="Times New Roman" w:hAnsi="Times New Roman"/>
          <w:sz w:val="17"/>
          <w:szCs w:val="17"/>
          <w:color w:val="auto"/>
        </w:rPr>
      </w:pPr>
    </w:p>
    <w:p>
      <w:pPr>
        <w:ind w:left="1200" w:right="120" w:hanging="595"/>
        <w:spacing w:after="0" w:line="250" w:lineRule="auto"/>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bear the risks and costs related to the further development and commercialization of product candidates that were previously the subject of our strategic alliance, including the reimbursement of third parties; and</w:t>
      </w:r>
    </w:p>
    <w:p>
      <w:pPr>
        <w:ind w:left="1200" w:right="200" w:hanging="595"/>
        <w:spacing w:after="0" w:line="253" w:lineRule="auto"/>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fund further development and commercialization, we may need to seek out and establish alternative strategic alliances with other parties;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would have a material adverse effect on our results of operations and financial condition.</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outside contractors we rely on to conduct some aspects of our compound formulation, research and studies do not perform satisfactorily and meet deadlines, development of our product candidates could be delayed or precluded.</w:t>
      </w:r>
    </w:p>
    <w:p>
      <w:pPr>
        <w:spacing w:after="0" w:line="50"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do not independently conduct all aspects of our drug discovery activities, compound formulation research or preclinical and clinical studies of product candidates. We currently rely and expect to continue to rely on outside contractors to conduct some aspects of our preclinical and clinical studies and formulation development, but we remain responsible for ensuring that each of our IND-enabling studies and clinical trials are conducted in accordance with the study plan and protocols for the trial.</w:t>
      </w:r>
    </w:p>
    <w:p>
      <w:pPr>
        <w:spacing w:after="0" w:line="74"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If these outside parties terminate their engagements with us or do not successfully carry out their contractual duties, meet expected deadlines or conduct our studies in accordance with regulatory requirements or our stated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8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6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spacing w:after="0" w:line="66"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We rely on outside contractors to produce the supply of our preclinical and clinical product candidates, and we intend to rely on outside contractors to produce future clinical supplies of product candidates and commercial supplies of any approved product candidates. Reliance on outside suppliers and manufacturers entails risks, some of which we would not be subject to if we manufactured the product candidates ourselves, including:</w:t>
      </w:r>
    </w:p>
    <w:p>
      <w:pPr>
        <w:spacing w:after="0" w:line="177" w:lineRule="exact"/>
        <w:rPr>
          <w:sz w:val="20"/>
          <w:szCs w:val="20"/>
          <w:color w:val="auto"/>
        </w:rPr>
      </w:pP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any product specifications and quality requirements consistently;</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or inability to procure or expand sufficient manufacturing capacity;</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cGMP and similar foreign standards;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or supply agreements with outside parties on commercially reasonable terms;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outside parties in a manner or at a time that is costly or damaging to us;</w:t>
      </w:r>
    </w:p>
    <w:p>
      <w:pPr>
        <w:spacing w:after="0" w:line="8" w:lineRule="exact"/>
        <w:rPr>
          <w:rFonts w:ascii="Times New Roman" w:cs="Times New Roman" w:eastAsia="Times New Roman" w:hAnsi="Times New Roman"/>
          <w:sz w:val="18"/>
          <w:szCs w:val="18"/>
          <w:color w:val="auto"/>
        </w:rPr>
      </w:pPr>
    </w:p>
    <w:p>
      <w:pPr>
        <w:ind w:left="1200" w:right="100" w:hanging="595"/>
        <w:spacing w:after="0" w:line="250"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qualified backup suppliers for any raw materials that are currently purchased from a single source supplier;</w:t>
      </w:r>
    </w:p>
    <w:p>
      <w:pPr>
        <w:spacing w:after="0" w:line="8" w:lineRule="exact"/>
        <w:rPr>
          <w:rFonts w:ascii="Times New Roman" w:cs="Times New Roman" w:eastAsia="Times New Roman" w:hAnsi="Times New Roman"/>
          <w:sz w:val="18"/>
          <w:szCs w:val="18"/>
          <w:color w:val="auto"/>
        </w:rPr>
      </w:pPr>
    </w:p>
    <w:p>
      <w:pPr>
        <w:ind w:left="1200" w:right="200" w:hanging="595"/>
        <w:spacing w:after="0" w:line="250"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contract manufacturers or suppliers could be disrupted by conditions unrelated to our business or operations, including the bankruptcy of the manufacturer or supplier;</w:t>
      </w: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deliver products under specified storage conditions and in a timely manner.</w:t>
      </w:r>
    </w:p>
    <w:p>
      <w:pPr>
        <w:spacing w:after="0" w:line="20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Any of these events could lead to clinical study delays or failure to obtain regulatory approval, or impact our ability to successfully commercialize future products, if approved. Some of these events could be the basis for detrimental FDA action, including injunction, product recall or seizure, or total or partial suspension of production.</w:t>
      </w:r>
    </w:p>
    <w:p>
      <w:pPr>
        <w:spacing w:after="0" w:line="6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disruption in the supply chain of raw materials for, or in the manufacturing capacity and timing for the manufacture of drug substance or drug product for, our product candidates may cause a delay in developing and commercializing these product candidates and limit the revenues that we could generate.</w:t>
      </w:r>
    </w:p>
    <w:p>
      <w:pPr>
        <w:spacing w:after="0" w:line="6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supply raw materials used to create our product candidates and with a limited number of contract manufacturers to manufacture drug substance and drug product. The availability of continued supply and manufacturing capacity from our current vendors, and the availability of additional suppliers and manufacturers, is limited. We have and may continue to experience some supplier shortages and delivery delays. If our vendors fail to supply materials or to manufacture substances or products in the required quantities on a timely basis and at commercially reasonable prices, and we are unable to secure one or more replacement vendors in a timely manner at a substantially equivalent cost, our clinical trials may be delayed, and our commercialization prospects could be materially diminished.</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Prior to marketing approval for any of our product candidates, a manufacturer and its processes are required to be qualified by the FDA. If supply from the approved manufacturer is interrupted, there could be a significant disruption in our sales of any product.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7" w:name="page68"/>
    <w:bookmarkEnd w:id="67"/>
    <w:p>
      <w:pPr>
        <w:spacing w:after="0" w:line="8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In addition, if our alliance partners elect to control manufacturing for certain programs, we may lose control over the manufacturing activities for the product candidate, which would reduce our level of manufacturing process development and would make the success of such programs dependent on our partners’ ability to manufacture timely and properly.</w:t>
      </w:r>
    </w:p>
    <w:p>
      <w:pPr>
        <w:spacing w:after="0" w:line="65"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contract research organizations and clinical trial sites we rely on to conduct, supervise and monitor our clinical trials perform in an unsatisfactory manner, it may harm our business.</w:t>
      </w:r>
    </w:p>
    <w:p>
      <w:pPr>
        <w:spacing w:after="0" w:line="50"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We and our strategic alliance partners rely on CROs and clinical trial sites to ensure the proper and timely conduct of our clinical trials. We and our strategic alliance partners have limited control or influence over their actual performance, but remain responsible for ensuring that clinical trials are conducted in accordance with the applicable protocol, legal, regulatory and scientific standards.</w:t>
      </w:r>
    </w:p>
    <w:p>
      <w:pPr>
        <w:spacing w:after="0" w:line="6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we or our CROs fail to comply with applicable good clinical practices, the clinical data generated in our clinical trials may be deemed unreliable and the FDA or applicable non-U.S. regulatory agency may require us to perform additional clinical trials before approving any marketing applications. In addition, our future clinical trials will require a sufficiently large number of test subjects to adequately evaluate the safety and effectiveness of a potential drug product. Accordingly, if our CROs fail to comply with these regulations or fail to recruit a sufficient number of patients, we may be required to repeat such clinical trials, which would delay the regulatory approval process and increase our costs.</w:t>
      </w:r>
    </w:p>
    <w:p>
      <w:pPr>
        <w:spacing w:after="0" w:line="7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we are not able to control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possibly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the commercial prospects for such products and any product candidates that we develop would be harmed, our costs could increase, and our ability to generate revenues could be delayed.</w:t>
      </w:r>
    </w:p>
    <w:p>
      <w:pPr>
        <w:spacing w:after="0" w:line="81"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We rely on other outside parties to store and distribute drug products for clinical trials. Any performance failure or delays by our distributors could delay clinical development, marketing approval or commercialization of our product candidates, resulting in additional losses and depriving us of potential product revenue.</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our products and product candidates, we may not be able to compete effectively in our markets.</w:t>
      </w:r>
    </w:p>
    <w:p>
      <w:pPr>
        <w:spacing w:after="0" w:line="5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February 26, 2024, we own over 438 patents and pending patent applications, including 46 granted U.S. patents. The strength of patents in the biotechnology and pharmaceutical field involves complex legal and scientific questions and can be highly uncertain. The patent applications that we own or in-license may fail to result in patents with claims that cover our products or methods in the United States or in other countries.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patents could be prevented from issuing or be invalidated after issuance for many reasons, including:</w:t>
      </w:r>
    </w:p>
    <w:p>
      <w:pPr>
        <w:spacing w:after="0" w:line="117"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prior art relating to our patents and patent applications; or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challenges to their validity, enforceability or scope, which may result in patents being narrowed or invalidated.</w:t>
      </w:r>
    </w:p>
    <w:p>
      <w:pPr>
        <w:spacing w:after="0" w:line="117"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If the patent applications we hold or have in-licensed with respect to our programs or product candidates fail to issue or are invalidated or if their breadth or strength of protection is threatened, it could dissuade companies from collaborating with us to develop product candidates, and threaten our ability to commercialize, future products.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we do not prevail in any challenge to our intellectual property rights, we could be required to cease using the related technology or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 Even if our patents are issued and are not challenged or invalidated, our patents and patent applications may not adequately protect our intellectual property or products, or prevent others from designing around our claims. 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during which we could market a product candidate under patent protection could be reduced.</w:t>
      </w:r>
    </w:p>
    <w:p>
      <w:pPr>
        <w:spacing w:after="0" w:line="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certain proprietary know-how, including processes for which patents are difficult to enforce, elements of our drug discovery and development processes and elements of our proprietary manufacturing processes.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such agreements may not be effective in preventing our trade secrets and other confidential proprietary information from being disclosed or accessed by competitors. In addition, competitors and others may independently discover our trade secrets and proprietary information or independently develop substantially equivalent information and techniques, and regulatory agencies may require additional disclosures of proprietary know-how.</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w:t>
      </w:r>
    </w:p>
    <w:p>
      <w:pPr>
        <w:spacing w:after="0" w:line="7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we infringe the intellectual property rights of others, especially in the crowded and competitive field of mRNA and delivery technology patents, may prevent or delay our development and commercialization efforts.</w:t>
      </w:r>
    </w:p>
    <w:p>
      <w:pPr>
        <w:spacing w:after="0" w:line="50"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As the biotechnology and pharmaceutical industries expand and more patents are issued and as our activities expand and mature, the risk increases that our product candidates and activities may be subject to claims of infringement of the patent rights of others. This risk is significantly heightened because of the many patents and other intellectual property rights related to messenger RNA and its delivery.</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Prior to and since the outbreak of the COVID-19 pandemic, many companies have devoted substantial effort to developing vaccines and therapeutics that use mRNA technology and have developed their own intellectual property rights, applied for patents, and licensed rights to patents held by other companies or research institutions. Some of these patents may have broad claims that cover our current or expected activities.</w:t>
      </w:r>
    </w:p>
    <w:p>
      <w:pPr>
        <w:spacing w:after="0" w:line="69" w:lineRule="exact"/>
        <w:rPr>
          <w:sz w:val="20"/>
          <w:szCs w:val="20"/>
          <w:color w:val="auto"/>
        </w:rPr>
      </w:pPr>
    </w:p>
    <w:p>
      <w:pPr>
        <w:ind w:right="440" w:firstLine="509"/>
        <w:spacing w:after="0" w:line="312" w:lineRule="auto"/>
        <w:rPr>
          <w:sz w:val="20"/>
          <w:szCs w:val="20"/>
          <w:color w:val="auto"/>
        </w:rPr>
      </w:pPr>
      <w:r>
        <w:rPr>
          <w:rFonts w:ascii="Times New Roman" w:cs="Times New Roman" w:eastAsia="Times New Roman" w:hAnsi="Times New Roman"/>
          <w:sz w:val="17"/>
          <w:szCs w:val="17"/>
          <w:color w:val="auto"/>
        </w:rPr>
        <w:t>We are aware of patent challenging and enforcement activities in connection with technologies used in mRNA-based COVID-19 vaccines. The outcomes of such activities and the advancement of our programs could give rise to third party claims of infringement against us and our partners.</w:t>
      </w:r>
    </w:p>
    <w:p>
      <w:pPr>
        <w:spacing w:after="0" w:line="3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and our partners’ ability to further develop and commercialize products based on our platform. Defense of these claims, regardless of their merit, would involve substantial litigation expense and would be a substantial diversion of employee and financial resources from our business. In the event of a successful claim of infringement against us, we may have to pay substantial damages, including treble damages and attorneys’ fees for willful infringement, pay significant royalties, or try to redesign our infringing products, which may be impossible or require substantial time and monetary expenditure, further delaying and commercialization and substantially reducing potential market revenue. In order to continue development, manufacture or sale of a product, we may need to obtain a license from the owner of intellectual property, which may not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licenses to necessary intellectual property or do not comply with our obligations in license agreements, we could lose important rights.</w:t>
      </w:r>
    </w:p>
    <w:p>
      <w:pPr>
        <w:spacing w:after="0" w:line="50"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We may need to obtain licenses from owners of intellectual property to advance our research or allow commercialization of our product candidates, and we have done so from time to time. If we fail to obtain any of these licenses at a reasonable cost and on reasonable terms, we would be unable to further develop and commercialize one or more of our product candidates, which could harm our business significantly.</w:t>
      </w:r>
    </w:p>
    <w:p>
      <w:pPr>
        <w:spacing w:after="0" w:line="6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5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74"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6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the course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7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subject to claims that our employees, consultants or independent contractors have wrongfully used or disclosed confidential information of third parties, we could incur substantial expenses.</w:t>
      </w:r>
    </w:p>
    <w:p>
      <w:pPr>
        <w:spacing w:after="0" w:line="50"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parties have an ownership interest in our patents.</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Litigation may be necessary to defend against these claims. We may not be successful in defending these claims, and if we are successful, litigation could result in substantial cost and be a distraction to our management and other employees.</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patents are, and our future owned and in-licensed patents may be, discovered through government funded programs and thus may subject to federal regulations such as “march-in” rights, certain reporting requirements and a preference for U.S.-based companies, and the exercise of such “march-in” rights by the U.S. government could harm our business, financial conditions, results of operations and prospects.</w:t>
      </w:r>
    </w:p>
    <w:p>
      <w:pPr>
        <w:spacing w:after="0" w:line="66"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Certain of our patents have been, and our future owned and in-licensed patents may be, discovered through government funded programs. As a result, the U.S. government may have certain rights to intellectual property embodied in our current or future products pursuant to the Bayh-Dole Act of 1980 (the “Bayh-Dole Act”), and implementing regulations, which are amended from time to time. On December 7, 2023, the Biden administration announced an initiative to control the price of prescription drugs through the use of march-in rights under the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which are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If the U.S. government decides 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exercise these rights, it is not required to engage us as its contractor in connection with doing so. To the extent any of our current or future intellectual property is generated through the use of U.S. government funding, the provisions of the Bayh-Dole Act may similarly apply. Any exercise by the government of any of the foregoing rights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71" w:name="page72"/>
    <w:bookmarkEnd w:id="71"/>
    <w:p>
      <w:pPr>
        <w:ind w:left="276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expand our organization and may experience difficulties in managing this growth, which could disrupt our operations.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approximately 180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recently experienced high turnover and if we cannot continue to attract, retain and motivate key executives and qualified scientists and other personnel, we will not be able to effectively operate our business.</w:t>
      </w:r>
    </w:p>
    <w:p>
      <w:pPr>
        <w:spacing w:after="0" w:line="5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We have experienced a high number of resignations over the past few years, which could continue. There was already a shortage of skilled executives as well as scientific and technical personnel in our industry prior to COVID-19, which was exacerbated by the pandemic and is likely to continue. As a result, competition for skilled personnel is intense and the turnover rate can be high, as we have recently seen.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5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Employee misconduct could have significant negative impacts on our business. Misconduct by employees could include intentional or nonintentional failures to comply with the regulations of the FDA and other regulators, to provide accurate information to the FDA and other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and cause serious harm to our reputation. Although we have adopted a code of conduct and procedures, we may not always be effective in identifying and deterring employee misconduct,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72" w:name="page73"/>
    <w:bookmarkEnd w:id="72"/>
    <w:p>
      <w:pPr>
        <w:spacing w:after="0" w:line="8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resolve allegations of non-compliance, disgorgement, imprisonment, and contractual damages. Even if we are ultimately successful in defending any such action, we could be required to divert financial and managerial resources in doing so and adverse publicity could result, all of which could harm our business.</w:t>
      </w:r>
    </w:p>
    <w:p>
      <w:pPr>
        <w:spacing w:after="0" w:line="6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fully comply with applicable healthcare fraud and abuse laws, false claims laws and health information privacy and security laws, we could face criminal sanctions, civil penalties, contractual damages, reputational harm and diminished profits and future earnings.</w:t>
      </w:r>
    </w:p>
    <w:p>
      <w:pPr>
        <w:spacing w:after="0" w:line="5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 “FCA”).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182" w:lineRule="exact"/>
        <w:rPr>
          <w:sz w:val="20"/>
          <w:szCs w:val="20"/>
          <w:color w:val="auto"/>
        </w:rPr>
      </w:pPr>
    </w:p>
    <w:p>
      <w:pPr>
        <w:ind w:left="1200" w:hanging="595"/>
        <w:spacing w:after="0" w:line="251" w:lineRule="auto"/>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Remuneration has been interpreted broadly to include anything of value. Although there are a number of statutory exemptions and regulatory safe harbors protecting certain common activities from prosecution, the exemptions and safe harbors are drawn narrowly, and those activities may be subject to scrutiny or penalty if they do not qualify for an exemption or safe harbor. A conviction for violation of the Anti-Kickback Statute requires mandatory exclusion from participation in federal healthcare programs. This statute has been applied to arrangements between pharmaceutical manufacturers and those in a position to purchase products or refer others, including prescribers, patients, purchasers and formulary managers. In addition, the Patient Protection and Affordable Care Act, as amended by the Health Care and Education Reconciliation Act of 2010 (the “ACA”), amended the Social Security Act to provide that the United States government may assert that a claim including items or services resulting from a violation of the federal Anti-Kickback Statute constitutes a false or fraudulent claim for purposes of the civil FCA penalties for which are described below.</w:t>
      </w:r>
    </w:p>
    <w:p>
      <w:pPr>
        <w:spacing w:after="0" w:line="9" w:lineRule="exact"/>
        <w:rPr>
          <w:rFonts w:ascii="Times New Roman" w:cs="Times New Roman" w:eastAsia="Times New Roman" w:hAnsi="Times New Roman"/>
          <w:sz w:val="18"/>
          <w:szCs w:val="18"/>
          <w:color w:val="auto"/>
        </w:rPr>
      </w:pPr>
    </w:p>
    <w:p>
      <w:pPr>
        <w:ind w:left="1200" w:right="60" w:hanging="595"/>
        <w:spacing w:after="0" w:line="250" w:lineRule="auto"/>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FCA, which imposes criminal or civil penalties, including through civil whistleblower or qui tam actions, against individuals or entities for, among other things, knowingly presenting, or causing to be presented, claims for payment to the federal government, including Medicare or Medicaid, that are false or fraudulent or making a false statement to avoid, decrease or conceal an obligation to pay money to the federal government. FCA liability is potentially significant in the healthcare industry because the statute provides for treble damages and mandatory penalties.</w:t>
      </w:r>
    </w:p>
    <w:p>
      <w:pPr>
        <w:jc w:val="both"/>
        <w:ind w:left="1200" w:right="100" w:hanging="595"/>
        <w:spacing w:after="0" w:line="250" w:lineRule="auto"/>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p>
    <w:p>
      <w:pPr>
        <w:ind w:left="1200" w:right="80" w:hanging="595"/>
        <w:spacing w:after="0" w:line="251" w:lineRule="auto"/>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civil and criminal penalties for, among other things, knowingly and willfully executing, or attempting to execute, a scheme to defraud any healthcare benefit program or obtain, by means of false or fraudulent pretenses, representations or promises, any money or property owned by, or under the custody or control of, any healthcare benefit program, regardless of the payor (e.g., public or private), knowingly and willfully embezzling or stealing from a health care benefit program, willfully obstructing a criminal investigation of a healthcare offense and knowingly and willfully falsifying, concealing or covering up a material fact or making any materially false statements in connection with the delivery of, or payment for, healthcare benefits, items or services relating to healthcare.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ind w:left="1200" w:right="60" w:hanging="595"/>
        <w:spacing w:after="0" w:line="254"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1" w:lineRule="exact"/>
        <w:rPr>
          <w:rFonts w:ascii="Times New Roman" w:cs="Times New Roman" w:eastAsia="Times New Roman" w:hAnsi="Times New Roman"/>
          <w:sz w:val="18"/>
          <w:szCs w:val="18"/>
          <w:color w:val="auto"/>
        </w:rPr>
      </w:pPr>
    </w:p>
    <w:p>
      <w:pPr>
        <w:ind w:left="1200" w:right="40" w:hanging="595"/>
        <w:spacing w:after="0" w:line="250"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The support for Patients and Communities Act expanded the scope of reporting, such that beginning January 1, 2021 companies must also report payments and transfers of value provided to other types of healthcare professionals. Failure to submit timely, accurately and completely the required information for all covered payments, transfers of value and ownership or investment interests may result in civil monetary penalties.</w:t>
      </w:r>
    </w:p>
    <w:p>
      <w:pPr>
        <w:spacing w:after="0" w:line="1" w:lineRule="exact"/>
        <w:rPr>
          <w:rFonts w:ascii="Times New Roman" w:cs="Times New Roman" w:eastAsia="Times New Roman" w:hAnsi="Times New Roman"/>
          <w:sz w:val="18"/>
          <w:szCs w:val="18"/>
          <w:color w:val="auto"/>
        </w:rPr>
      </w:pPr>
    </w:p>
    <w:p>
      <w:pPr>
        <w:ind w:left="1200" w:hanging="595"/>
        <w:spacing w:after="0" w:line="251"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EU has established its own data security and privacy legal framework, including but not limited to Directive 95/46/EC (the “Data Protection Directive”). The European General Data Protection Regulation (“GDPR”) took effect on May 25, 2018, which contains new provisions specifically directed at the processing of health information, higher sanctions and extra-territoriality measures intended to bring non-E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or laws that apply to us, we may be subject to substantial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healthcare legislation may further impact our business operations.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ACA was enacted, which made a number of substantial changes in the way healthcare is financed by both governmental and private insurers. The ACA included a number of provisions that may reduce the profitability of drug products, including revising the rebate methodology for covered outpatient drugs under the Medicaid Drug Rebate Program, extending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9" w:right="359" w:bottom="1440" w:gutter="0" w:footer="0" w:header="0"/>
        </w:sectPr>
      </w:pPr>
    </w:p>
    <w:bookmarkStart w:id="74" w:name="page75"/>
    <w:bookmarkEnd w:id="74"/>
    <w:p>
      <w:pPr>
        <w:spacing w:after="0" w:line="8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Medicaid rebates to individuals enrolled in Medicaid managed care plans, and requiring drug manufacturers to pay an annual fee based on their market share of prior year total sales of branded programs to certain federal health care programs.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and, if successful claims are brought against us, we may incur substantial liability and costs.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 candidates or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182" w:lineRule="exact"/>
        <w:rPr>
          <w:sz w:val="20"/>
          <w:szCs w:val="20"/>
          <w:color w:val="auto"/>
        </w:rPr>
      </w:pPr>
    </w:p>
    <w:p>
      <w:pPr>
        <w:ind w:left="1200" w:hanging="595"/>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approved for commercial sale.</w:t>
      </w:r>
    </w:p>
    <w:p>
      <w:pPr>
        <w:spacing w:after="0" w:line="20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limited amount of product liability insurance relating to the use of our therapeutics in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5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business requires manipulating, analyzing and storing large amounts of data. In addition, we rely on a global enterprise software system to operate and manage our business. We also maintain personally identifiable information about our employees and participants in our clinical trials.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our employees and participants in our clinical trials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cyber criminals are sophisticated, change frequently, may originate from less regulated and more remote areas of the world, may not be recognized until launched and can originate from a wide variety of sources, including insider threats and outside groups such as external service providers, organized crime affiliates, terrorist organizations or hostile foreign governments or agencies, or generated using artificial intelligence. As a result, we may not be able to address these techniques proactively or implement adequate preventative measures. If our computer systems are compromised, we could be subject to fines, damages, litigation and enforcement actions,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and we could lose trade secrets, the occurrence of which could harm our business. In addition, any sustained disruption in internet access provided by other companies could harm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delay us in the process of developing our future products.</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headquarters is located in San Diego, California. We are vulnerable to natural disasters such as earthquakes, mudslides, floods and wildfires,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agencies have special contracting authority that gives them the ability to terminate and/or modify their contracts with us.</w:t>
      </w:r>
    </w:p>
    <w:p>
      <w:pPr>
        <w:spacing w:after="0" w:line="12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On August 31, 2022, we entered into a cost reimbursement contract with BARDA to support the development of a low-dose pandemic influenza candidate based on Arcturus’ proprietary self-amplifying messenger RNA-based vaccine platform.</w:t>
      </w:r>
    </w:p>
    <w:p>
      <w:pPr>
        <w:spacing w:after="0" w:line="55"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contract with BARDA, as with most U.S. Government contracts, is subject to audit, and contains termination provisions allowing the government to terminate all or part of the contract at its sole discretion, which will subject us to additional risks. These risks include the ability of the U.S. Government unilaterally to:</w:t>
      </w:r>
    </w:p>
    <w:p>
      <w:pPr>
        <w:spacing w:after="0" w:line="69" w:lineRule="exact"/>
        <w:rPr>
          <w:sz w:val="20"/>
          <w:szCs w:val="20"/>
          <w:color w:val="auto"/>
        </w:rPr>
      </w:pPr>
    </w:p>
    <w:p>
      <w:pPr>
        <w:ind w:left="1020" w:right="20" w:hanging="504"/>
        <w:spacing w:after="0" w:line="28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preclude us, either temporarily or for a set period of time, from receiving new contracts or extending our existing or future contracts based on violations or suspected violations of laws or regulations;</w:t>
      </w:r>
    </w:p>
    <w:p>
      <w:pPr>
        <w:spacing w:after="0" w:line="270"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contract, either for the convenience of the government (at the government’s sole discretion, for example, if funds become unavailable or the government no longer wants the work) or for default (for failing to perform in accordance with the contract schedule and terms);</w:t>
      </w:r>
    </w:p>
    <w:p>
      <w:pPr>
        <w:spacing w:after="0" w:line="28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scope and value of our contract and/or revise the timing for work to be performed;</w:t>
      </w:r>
    </w:p>
    <w:p>
      <w:pPr>
        <w:spacing w:after="0" w:line="33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and object to our contract-related costs and fees, including allocated indirect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 potentially prohibit the export of our products, if and when developed;</w:t>
      </w:r>
    </w:p>
    <w:p>
      <w:pPr>
        <w:spacing w:after="0" w:line="33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to intellectual property, including products, that may be developed under the contract; and</w:t>
      </w:r>
    </w:p>
    <w:p>
      <w:pPr>
        <w:spacing w:after="0" w:line="33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remove the terms and conditions in our contract.</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Termination-for-convenience provisions generally enable us to recover only our costs incurred or committed, settlement expenses, and profit on the work completed prior to termination. A contractor’s rights under a termination for convenience are limited to an adjustment of profit and, with the contracting officer’s concurrence, a reduction in the estimated cost. Under the general termination for convenience procedures, a partial termination is treated as a full termination when (i) the terminated portion is clearly severable from the balance of the contract or (ii) when contract performance is virtually complete or performance of the continued portion of the contract is only on subsidiary items or is otherwise not substantial. Termination-for-default provisions do not permit these recoveries and could make us liable for excess costs incurred by the U.S. Government in procuring undelivered items from another source.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audit by the U.S. Government, and a negative audit could adversely affect our business.</w:t>
      </w:r>
    </w:p>
    <w:p>
      <w:pPr>
        <w:spacing w:after="0" w:line="121"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Several U.S. Government agencies, such as the Defense Contract Audit Agency (the “DCAA”), routinely audit and investigate government contractors. These agencies review, among other things, a contractor’s performance under its contracts, incurred costs, cost structure and compliance with applicable laws, regulations and standards.</w:t>
      </w:r>
    </w:p>
    <w:p>
      <w:pPr>
        <w:spacing w:after="0" w:line="69"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DCAA also reviews the adequacy of, and a contractor’s compliance with, its internal control systems and policies, including the contractor’s purchasing, property, estimating, compensation and management information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8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pacing w:after="0" w:line="55" w:lineRule="exact"/>
        <w:rPr>
          <w:sz w:val="20"/>
          <w:szCs w:val="20"/>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of profits;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payments;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prohibition from conducting business with the U.S. Government.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could suffer serious reputational harm if allegations of impropriety were made against 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determined that our disclosure controls were not effective. If our remediations of these material weaknesses are not effective, or if we experience additional material weaknesses or otherwise fail to maintain an effective system of internal control over financial reporting or adequate disclosure controls and procedures, we may not be able to accurately and timely report our financial results, in which case our business may be harmed, investors may lose confidence in the accuracy and completeness of our financial reports, and the price of our common stock may decline.</w:t>
      </w:r>
    </w:p>
    <w:p>
      <w:pPr>
        <w:spacing w:after="0" w:line="7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(“GAAP”). We are required to furnish annually a report by management of its assessment of the effectiveness of our internal control over financial reporting as of the end of our most recent fiscal year. In addition, our independent registered public accounting firm is required to provide a related attestation report on our internal control over financial reporting.</w:t>
      </w:r>
    </w:p>
    <w:p>
      <w:pPr>
        <w:spacing w:after="0" w:line="78"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7"/>
          <w:szCs w:val="17"/>
          <w:color w:val="auto"/>
        </w:rPr>
        <w:t>As part of our assessment of the effectiveness of our internal control over financial reporting as of December 31, 2023, management identified a material weakness related to information technology general controls (“ITGCs”) for information systems and applications that are relevant to the preparation of the consolidated financial statements. Specifically, it was determined we did not design and maintain: (i) sufficient user access controls to ensure appropriate segregation of duties and adequately restrict user and privileged access to financial applications, programs and data to the appropriate personnel; (ii) program change management controls to ensure that information technology (“IT”) program and data changes affecting financial IT applications and underlying accounting records are identified, tested, authorized and implemented appropriately; and (iii) computer operations controls to ensure that critical batch and interfaced jobs are monitored, privileges are appropriately granted, and data backups are authorized and monitored. Business process controls (automated and manual) that are dependent on the ineffective ITGCs, or that rely on data produced from systems impacted by the ineffective ITGCs, are also deemed ineffective. Management also identified a material weakness related to revenue recognition. Certain control activities within the area of revenue did not operate effectively, specifically controls over the review of costs incurred in satisfaction of our performance obligations under collaboration arrangements. As such, we concluded that our disclosure controls and procedures were not effective as of December 31, 2023.</w:t>
      </w:r>
    </w:p>
    <w:p>
      <w:pPr>
        <w:spacing w:after="0" w:line="7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successfully remediate our existing material weaknesses or any future material weakness or other deficiencies in our internal control over financial reporting: the accuracy and timing of our financial reporting may be adversely affected; our liquidity, our access to capital markets and the perceptions of our creditworthiness; we may be unable to maintain compliance with applicable securities laws, Nasdaq listing requirements, and the covenants under our debt instruments regarding the timely filing of periodic reports; we may be subject to regulatory investigations and penalties; and investors may lose confidence in our financial reporting. If any such event or circumstance were to occur, our stock price could decline and our business, financial condition and results of operations could be materially adversely affected.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 The effectiveness of our internal control over financial reporting as of December 31, 2023 has been audited by Ernst &amp; Young LLP, an independent registered public accounting firm, as stated in their report which is included elsewhere herein. For further discussion of the material weaknesses identified and our remedial efforts, see Item 9A. Controls and Procedures.</w:t>
      </w:r>
    </w:p>
    <w:p>
      <w:pPr>
        <w:spacing w:after="0" w:line="39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to investors will be limited to the value of our shares.</w:t>
      </w:r>
    </w:p>
    <w:p>
      <w:pPr>
        <w:spacing w:after="0" w:line="121"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5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expected to continue to be, highly volatile and investors may not be able to resell shares at or above the price at which they purchased the shares.</w:t>
      </w:r>
    </w:p>
    <w:p>
      <w:pPr>
        <w:spacing w:after="0" w:line="50"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volatile. Our share price could be subject to wide fluctuations in response to a variety of factors, including but not limited to the following factors:</w:t>
      </w:r>
    </w:p>
    <w:p>
      <w:pPr>
        <w:spacing w:after="0" w:line="163" w:lineRule="exact"/>
        <w:rPr>
          <w:sz w:val="20"/>
          <w:szCs w:val="20"/>
          <w:color w:val="auto"/>
        </w:rPr>
      </w:pPr>
    </w:p>
    <w:p>
      <w:pPr>
        <w:ind w:left="1200" w:hanging="595"/>
        <w:spacing w:after="0"/>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or clinical trials;</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w:t>
      </w:r>
    </w:p>
    <w:p>
      <w:pPr>
        <w:spacing w:after="0" w:line="8" w:lineRule="exact"/>
        <w:rPr>
          <w:rFonts w:ascii="Times New Roman" w:cs="Times New Roman" w:eastAsia="Times New Roman" w:hAnsi="Times New Roman"/>
          <w:sz w:val="18"/>
          <w:szCs w:val="18"/>
          <w:color w:val="auto"/>
        </w:rPr>
      </w:pPr>
    </w:p>
    <w:p>
      <w:pPr>
        <w:ind w:left="1200" w:hanging="595"/>
        <w:spacing w:after="0" w:line="264" w:lineRule="auto"/>
        <w:tabs>
          <w:tab w:leader="none" w:pos="12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in filing an application for authorization to commence a clinical trial of, or for authorization or approval to market, any of our product candidates and any adverse development or perceived adverse development with respect to the FDA’s review of that IND or BLA;</w:t>
      </w:r>
    </w:p>
    <w:p>
      <w:pPr>
        <w:spacing w:after="0" w:line="1" w:lineRule="exact"/>
        <w:rPr>
          <w:rFonts w:ascii="Times New Roman" w:cs="Times New Roman" w:eastAsia="Times New Roman" w:hAnsi="Times New Roman"/>
          <w:sz w:val="17"/>
          <w:szCs w:val="17"/>
          <w:color w:val="auto"/>
        </w:rPr>
      </w:pPr>
    </w:p>
    <w:p>
      <w:pPr>
        <w:ind w:left="1200" w:hanging="595"/>
        <w:spacing w:after="0"/>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strategic alliances or enter into new alliances;</w:t>
      </w:r>
    </w:p>
    <w:p>
      <w:pPr>
        <w:spacing w:after="0" w:line="8" w:lineRule="exact"/>
        <w:rPr>
          <w:rFonts w:ascii="Times New Roman" w:cs="Times New Roman" w:eastAsia="Times New Roman" w:hAnsi="Times New Roman"/>
          <w:sz w:val="18"/>
          <w:szCs w:val="18"/>
          <w:color w:val="auto"/>
        </w:rPr>
      </w:pPr>
    </w:p>
    <w:p>
      <w:pPr>
        <w:ind w:left="1200" w:right="300" w:hanging="595"/>
        <w:spacing w:after="0" w:line="250" w:lineRule="auto"/>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strategic alliance partners to elect to develop and commercialize product candidates under our alliance agreements or the termination of any programs under our alliance agreements;</w:t>
      </w:r>
    </w:p>
    <w:p>
      <w:pPr>
        <w:ind w:left="1200" w:hanging="595"/>
        <w:spacing w:after="0"/>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and strategic alliance partners to prosecute, maintain or enforce our intellectual property rights;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and timely develop and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8" w:name="page79"/>
    <w:bookmarkEnd w:id="78"/>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and timely develop and validate manufacturing processes and product presentations;</w:t>
      </w:r>
    </w:p>
    <w:p>
      <w:pPr>
        <w:spacing w:after="0" w:line="27"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preclinical and clinical development activities, product candidates or future products;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product supply for our product candidates or the inability to do so at acceptable prices;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may provide to the public;</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8" w:lineRule="exact"/>
        <w:rPr>
          <w:rFonts w:ascii="Times New Roman" w:cs="Times New Roman" w:eastAsia="Times New Roman" w:hAnsi="Times New Roman"/>
          <w:sz w:val="18"/>
          <w:szCs w:val="18"/>
          <w:color w:val="auto"/>
        </w:rPr>
      </w:pPr>
    </w:p>
    <w:p>
      <w:pPr>
        <w:ind w:left="1200" w:right="560" w:hanging="595"/>
        <w:spacing w:after="0" w:line="250" w:lineRule="auto"/>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alliance partners or our competitors;</w:t>
      </w:r>
    </w:p>
    <w:p>
      <w:pPr>
        <w:ind w:left="1200" w:right="60" w:hanging="595"/>
        <w:spacing w:after="0" w:line="250" w:lineRule="auto"/>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licensing matters;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shareholders in the future; and</w:t>
      </w:r>
    </w:p>
    <w:p>
      <w:pPr>
        <w:spacing w:after="0" w:line="8" w:lineRule="exact"/>
        <w:rPr>
          <w:rFonts w:ascii="Times New Roman" w:cs="Times New Roman" w:eastAsia="Times New Roman" w:hAnsi="Times New Roman"/>
          <w:sz w:val="18"/>
          <w:szCs w:val="18"/>
          <w:color w:val="auto"/>
        </w:rPr>
      </w:pPr>
    </w:p>
    <w:p>
      <w:pPr>
        <w:ind w:left="1200" w:hanging="595"/>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0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publicly traded company may strain our resources and divert management’s attention.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that we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8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unqualified attestation, it could result in a loss of investor confidence in the accuracy, reliability, and completeness of our financial reports.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securities class action litigation, we would incur substantial costs and diversion of management’s attention.</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We may be at risk of securities class action litigation. This risk is especially relevant for us due to our dependence on positive clinical trial outcomes and regulatory approvals of each of our product candidates. In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79" w:name="page80"/>
    <w:bookmarkEnd w:id="79"/>
    <w:p>
      <w:pPr>
        <w:spacing w:after="0" w:line="8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past, medicines, biotechnology and pharmaceutical companies have experienced significant stock price volatility, particularly when associated with binary events such as clinical trials results and product approvals. If we face such litigation, it could result in substantial costs, divert management’s attention and resources, and have a very material adverse effect on our business, operating results and prospects.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shareholders could cause our share price to fall.</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our existing shareholders sell, or indicate an intention to sell, substantial amounts of our common stock in the public market, the trading price of our common stock could decline significantly. In particular, the former shareholders, warrant holders and noteholders of Arcturus Therapeutics, Inc. received an aggregate of 6,631,712 of our common stock pursuant to the merger with Alcobra Ltd. in an unregistered transaction, which shares may be sold pursuant to Rule 144 under the Securities Act of 1933, as amended (the “Securities Act”). Those shareholders are eligible to sell those shares in the public market without restriction, except for shareholders who are deemed our “affiliates” under Rule 144 under the Securities Act. In addition, common stock that is either subject to outstanding options or reserved for future issuance under our employee benefit plans, may become eligible for sale in the public market to the extent permitted by vesting schedules and Rule 144 under the Securities Act. If common stock is sold, or if it is perceived that it will be sold, in the public market, that could cause the trading price to decline.</w:t>
      </w:r>
    </w:p>
    <w:p>
      <w:pPr>
        <w:spacing w:after="0" w:line="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shareholders and could cause our share price to fall.</w:t>
      </w:r>
    </w:p>
    <w:p>
      <w:pPr>
        <w:spacing w:after="0" w:line="50"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the extent we raise additional capital by issuing equity securities (including but not limited to securities issued in connection with the Sales Agreement, as defined below), our shareholders may experience substantial dilution.</w:t>
      </w:r>
    </w:p>
    <w:p>
      <w:pPr>
        <w:spacing w:after="0" w:line="6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Pursuant to our 2019 Omnibus Equity Incentive Plan, as amended, our management is authorized to grant options and other equity-based awards to our employees, directors and consultants. We may issue and sell additional shares of common stock, convertible securities or other equity securities in one or more capital-raising or other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33" w:lineRule="exact"/>
        <w:rPr>
          <w:sz w:val="20"/>
          <w:szCs w:val="20"/>
          <w:color w:val="auto"/>
        </w:rPr>
      </w:pPr>
    </w:p>
    <w:p>
      <w:pPr>
        <w:ind w:right="40" w:firstLine="509"/>
        <w:spacing w:after="0" w:line="231" w:lineRule="exact"/>
        <w:rPr>
          <w:sz w:val="20"/>
          <w:szCs w:val="20"/>
          <w:color w:val="auto"/>
        </w:rPr>
      </w:pPr>
      <w:r>
        <w:rPr>
          <w:rFonts w:ascii="Times New Roman" w:cs="Times New Roman" w:eastAsia="Times New Roman" w:hAnsi="Times New Roman"/>
          <w:sz w:val="17"/>
          <w:szCs w:val="17"/>
          <w:color w:val="auto"/>
        </w:rPr>
        <w:t>On December 23, 2022, we entered into a Controlled Equity Offering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Sales Agreement (the “Sales Agreement”) with Cantor Fitzgerald &amp; Co. (“Cantor”) and Wells Fargo Securities, LLC (“Wells Fargo”), relating to shares of our common stock. In accordance with the terms of the Sales Agreement, we may offer and sell shares of our common stock having an aggregate offering price of up to $200,000,000 from time to time through Cantor or Wells Fargo, each acting as our sales agent. As of the date hereof, we have not offered or sold any shares of common stock pursuant to the Sales Agreement.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comply with the applicable continued listing requirements of Nasdaq.</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Nasdaq. In order to maintain this listing, we must satisfy minimum financial and other continued listing requirements and standards, including a minimum closing bid price requirement for our common stock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may not be able to regain compliance within the period provided by Nasdaq. In order to regain compliance with such requirement, the closing bid price of our common stock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common stock would be subject to delisting. In the event that our common stock is delisted from Nasdaq, liquidity will be reduced, and the trading price of our common stock can be expected to decline immediately. If our common stock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reduction in our coverage by securities analysts and the news media, which could cause the price of our common stock to decline further.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robust cybersecurity measures to safeguard our information systems and protect the confidentiality, integrity, and availability of our data.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11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have implemented tools, processes and strategies to promote a company-wide culture of cybersecurity risk management. This ensures that cybersecurity considerations are an integral part of our decision-making processes at every level. Our IT Department works closely with our leadership and key operating personnel to evaluate and address cybersecurity risks in alignment with our business objectives and operational needs.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 Third-parties on Risk Management</w:t>
      </w:r>
    </w:p>
    <w:p>
      <w:pPr>
        <w:spacing w:after="0" w:line="11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Due to the complexity and evolving nature of cybersecurity threats, we engage with a range of external experts, including but not limited to cybersecurity assessors, consultants, and auditors to evaluate and test our risk management systems. These partnerships enable us to leverage specialized knowledge and insights, to help ensure our cybersecurity strategies and processes remain at the forefront of industry best practices. Our collaborations with these third-parties includes regular audits, threat assessments, 24-hour monitoring, and consultation on security enhancements.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pacing w:after="0" w:line="119"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service providers, we conduct thorough security assessments of all third-party providers before engagement to ensure compliance with industry cybersecurity standards and frameworks. This includes assessments performed by our Executive Director of IT, who oversees the Company's cybersecurity function.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encountered cybersecurity challenges that have materially impaired our operations or financial 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right="320" w:firstLine="509"/>
        <w:spacing w:after="0" w:line="265" w:lineRule="auto"/>
        <w:rPr>
          <w:sz w:val="20"/>
          <w:szCs w:val="20"/>
          <w:color w:val="auto"/>
        </w:rPr>
      </w:pPr>
      <w:r>
        <w:rPr>
          <w:rFonts w:ascii="Times New Roman" w:cs="Times New Roman" w:eastAsia="Times New Roman" w:hAnsi="Times New Roman"/>
          <w:sz w:val="18"/>
          <w:szCs w:val="18"/>
          <w:color w:val="auto"/>
        </w:rPr>
        <w:t>We have implemented standard operating procedures to define the channels by which cybersecurity threats are communicated to the Company's Board of Directors (the “Board”). This ensures that The Board has oversight and effective governance in managing risks associated with cybersecurity threats.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11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Audit Committee of the Board (the “Audit Committee”) is central to the Board’s oversight of cybersecurity risks and bears the primary responsibility for this domain. The Audit Committee is composed of board members with diverse expertise including, risk management, and finance, equipping them to oversee cybersecurity risks effectively. The Audit Committee receives briefings on cybersecurity risks from the Executive Director of IT or the Chief Legal Officer as described below in “Management’s Role Managing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1" w:name="page82"/>
    <w:bookmarkEnd w:id="81"/>
    <w:p>
      <w:pPr>
        <w:spacing w:after="0" w:line="8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Executive Director of IT and the Chief Legal Officer (“CLO”) play a pivotal role in informing the Audit Committee on cybersecurity risks. They provide briefings to the Audit Committee on a regular basis, with a minimum frequency of once per year. These briefings encompass a broad range of topics, including:</w:t>
      </w:r>
    </w:p>
    <w:p>
      <w:pPr>
        <w:spacing w:after="0" w:line="191" w:lineRule="exact"/>
        <w:rPr>
          <w:sz w:val="20"/>
          <w:szCs w:val="20"/>
          <w:color w:val="auto"/>
        </w:rPr>
      </w:pPr>
    </w:p>
    <w:p>
      <w:pPr>
        <w:ind w:left="580" w:hanging="275"/>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35" w:lineRule="exact"/>
        <w:rPr>
          <w:rFonts w:ascii="Times New Roman" w:cs="Times New Roman" w:eastAsia="Times New Roman" w:hAnsi="Times New Roman"/>
          <w:sz w:val="18"/>
          <w:szCs w:val="18"/>
          <w:color w:val="auto"/>
        </w:rPr>
      </w:pPr>
    </w:p>
    <w:p>
      <w:pPr>
        <w:ind w:left="580" w:hanging="275"/>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35" w:lineRule="exact"/>
        <w:rPr>
          <w:rFonts w:ascii="Times New Roman" w:cs="Times New Roman" w:eastAsia="Times New Roman" w:hAnsi="Times New Roman"/>
          <w:sz w:val="18"/>
          <w:szCs w:val="18"/>
          <w:color w:val="auto"/>
        </w:rPr>
      </w:pPr>
    </w:p>
    <w:p>
      <w:pPr>
        <w:ind w:left="580" w:hanging="275"/>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pacing w:after="0" w:line="35" w:lineRule="exact"/>
        <w:rPr>
          <w:rFonts w:ascii="Times New Roman" w:cs="Times New Roman" w:eastAsia="Times New Roman" w:hAnsi="Times New Roman"/>
          <w:sz w:val="18"/>
          <w:szCs w:val="18"/>
          <w:color w:val="auto"/>
        </w:rPr>
      </w:pPr>
    </w:p>
    <w:p>
      <w:pPr>
        <w:ind w:left="580" w:hanging="275"/>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119" w:lineRule="exact"/>
        <w:rPr>
          <w:sz w:val="20"/>
          <w:szCs w:val="20"/>
          <w:color w:val="auto"/>
        </w:rPr>
      </w:pPr>
    </w:p>
    <w:p>
      <w:pPr>
        <w:jc w:val="both"/>
        <w:ind w:right="340" w:firstLine="509"/>
        <w:spacing w:after="0" w:line="265"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the Executive Director of IT and the Associate Director of IT Infrastructure and Security. Our IT Leadership team oversees our governance programs, tests our compliance with standards, remediates known risks, stays informed of significant developments in the cybersecurity domain, and leads our employee training program.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Executive Director of IT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In cooperation with the Executive Director of IT, the Associate Director of IT Infrastructure and Security implements and oversees processes for the regular monitoring of our information systems. This includes the deployment of advanced security measures and regular system audits to identify potential vulnerabilities. In the event of a cybersecurity incident, the Executive Director of IT is equipped with a well-defined incident response plan. This plan includes immediate actions to mitigate the impact and long-term strategies for remediation and prevention of future incidents.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Board of Directors</w:t>
      </w:r>
    </w:p>
    <w:p>
      <w:pPr>
        <w:spacing w:after="0" w:line="11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Executive Director of IT, in his capacity, regularly informs the Chief Financial Officer (CFO) and Chief Legal Officer (CLO) of all aspects related to cybersecurity risks and incidents. This ensures that the highest levels of management are kept abreast of the cybersecurity posture and potential risks facing us. Furthermore, significant cybersecurity matters, and strategic risk management decisions are escalated to the Board, ensuring that they have comprehensive oversight and can provide guidance on critical cybersecurity issues.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1A “Risk Factors” – “Risks Related to Business Operations and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We have two properties located in San Diego, California. Our principal place of business is located at 10628 Science Center Drive, Suite 250, and consists of approximately 24,700 square feet of office space and laboratory space leased through March 2025. We have the right to extend this lease for an additional five-year term.</w:t>
      </w:r>
    </w:p>
    <w:p>
      <w:pPr>
        <w:spacing w:after="0" w:line="69"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On September 29, 2021, we entered into a lease agreement for office, research and development, engineering and laboratory space located at 10285 Science Center Drive, San Diego, California. The additional space of approximately 43,234 square feet is leased for a term of 10 years and 8 months. The leased premises will serve as an addition to Arcturus’ existing properties.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properties are suitable for the conduct of our business.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and subject to claims that arise in the ordinary course of business, and the results of litigation and claims are inherently unpredictable and uncertain. We are not currently a party to any material legal proceedings.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“ARCT”.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As of March 4, 2024, there were 10 registered holders of record of our common stock. As of such date, there were 26,915,243 shares of our common stock issued and outstanding. Our common stock is listed on the Nasdaq under the symbol “ARCT”. We believe that there are a substantially greater number of beneficial owners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to support our operations and finance the growth and development of our business. Any future determination related to our dividend policy will be made at the discretion of the Board and will depend upon, among other factors, our results of operations, financial condition, capital requirements, contractual restrictions, business prospects and other factors the Board may deem relevant.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following graph compares the Company’s cumulative stockholder return since December 31, 2018 with the Nasdaq Composite Index, and the Nasdaq Biotechnology Index. The graph is based on the assumption that $100 had been invested in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252095</wp:posOffset>
            </wp:positionV>
            <wp:extent cx="3724910" cy="2337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24910" cy="2337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3" w:name="page84"/>
    <w:bookmarkEnd w:id="83"/>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related notes included elsewhere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herein.</w:t>
      </w:r>
    </w:p>
    <w:p>
      <w:pPr>
        <w:spacing w:after="0" w:line="96"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are a global messenger RNA medicines company focused on the development of infectious disease vaccines and therapeutics for liver and</w:t>
      </w:r>
    </w:p>
    <w:p>
      <w:pPr>
        <w:spacing w:after="0" w:line="27"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7"/>
          <w:szCs w:val="17"/>
          <w:color w:val="auto"/>
        </w:rPr>
        <w:t>respiratory rare diseases. In addition to our messenger RNA (“mRNA”) platform, our proprietary lipid nanoparticle (“LNP”) delivery system, LUNAR</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has the potential to enable multiple nucleic acid medicines, and our proprietary self-amplifying mRNA technology (Self-Transcribing and Replicating</w:t>
      </w:r>
    </w:p>
    <w:p>
      <w:pPr>
        <w:spacing w:after="0" w:line="2" w:lineRule="exact"/>
        <w:rPr>
          <w:sz w:val="20"/>
          <w:szCs w:val="20"/>
          <w:color w:val="auto"/>
        </w:rPr>
      </w:pPr>
    </w:p>
    <w:p>
      <w:pPr>
        <w:ind w:right="500"/>
        <w:spacing w:after="0" w:line="217" w:lineRule="auto"/>
        <w:rPr>
          <w:sz w:val="20"/>
          <w:szCs w:val="20"/>
          <w:color w:val="auto"/>
        </w:rPr>
      </w:pPr>
      <w:r>
        <w:rPr>
          <w:rFonts w:ascii="Times New Roman" w:cs="Times New Roman" w:eastAsia="Times New Roman" w:hAnsi="Times New Roman"/>
          <w:sz w:val="18"/>
          <w:szCs w:val="18"/>
          <w:color w:val="auto"/>
        </w:rPr>
        <w:t>RNA, or STARR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technology) has the potential to provide longer-lasting RNA and sustained protein expression at lower dose levels as compared to conventional mRNA</w:t>
      </w:r>
      <w:r>
        <w:rPr>
          <w:rFonts w:ascii="Times New Roman" w:cs="Times New Roman" w:eastAsia="Times New Roman" w:hAnsi="Times New Roman"/>
          <w:sz w:val="21"/>
          <w:szCs w:val="21"/>
          <w:color w:val="auto"/>
        </w:rPr>
        <w:t>.</w:t>
      </w:r>
    </w:p>
    <w:p>
      <w:pPr>
        <w:spacing w:after="0" w:line="79" w:lineRule="exact"/>
        <w:rPr>
          <w:sz w:val="20"/>
          <w:szCs w:val="20"/>
          <w:color w:val="auto"/>
        </w:rPr>
      </w:pPr>
    </w:p>
    <w:p>
      <w:pPr>
        <w:ind w:right="200" w:firstLine="666"/>
        <w:spacing w:after="0" w:line="256" w:lineRule="auto"/>
        <w:rPr>
          <w:sz w:val="20"/>
          <w:szCs w:val="20"/>
          <w:color w:val="auto"/>
        </w:rPr>
      </w:pPr>
      <w:r>
        <w:rPr>
          <w:rFonts w:ascii="Times New Roman" w:cs="Times New Roman" w:eastAsia="Times New Roman" w:hAnsi="Times New Roman"/>
          <w:sz w:val="18"/>
          <w:szCs w:val="18"/>
          <w:color w:val="auto"/>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spacing w:after="0" w:line="78" w:lineRule="exact"/>
        <w:rPr>
          <w:sz w:val="20"/>
          <w:szCs w:val="20"/>
          <w:color w:val="auto"/>
        </w:rPr>
      </w:pPr>
    </w:p>
    <w:p>
      <w:pPr>
        <w:ind w:right="60" w:firstLine="666"/>
        <w:spacing w:after="0" w:line="259" w:lineRule="auto"/>
        <w:rPr>
          <w:sz w:val="20"/>
          <w:szCs w:val="20"/>
          <w:color w:val="auto"/>
        </w:rPr>
      </w:pPr>
      <w:r>
        <w:rPr>
          <w:rFonts w:ascii="Times New Roman" w:cs="Times New Roman" w:eastAsia="Times New Roman" w:hAnsi="Times New Roman"/>
          <w:sz w:val="18"/>
          <w:szCs w:val="18"/>
          <w:color w:val="auto"/>
        </w:rPr>
        <w:t>In June 2020, we initiated our first clinical study, a Phase 1 study for our mRNA-based therapeutic candidate for ornithine transcarbamylase (“OTC”) deficiency. We launched our COVID-19 vaccine program in March 2020, and in November 2023, our self-amplifying mRNA vaccine against COVID-19, ARCT-154, received marketing approval in Japan. In November 2022, we entered into a Collaboration and License Agreement (the “CSL Collaboration Agreement”) with Seqirus, Inc. (“CSL Seqirus”), a part of CSL Limited, and one of the world’s leading influenza vaccine providers, for the global exclusive rights to research, develop, manufacture and commercialize self-amplifying mRNA vaccines against COVID-19, influenza and three other respiratory infectious diseases and global non-exclusive rights to pandemic pathogens. The CSL Collaboration Agreement became effective on December 8, 2022. The collaboration (“CSL Collaboration”) combines CSL Seqirus’ established global vaccine commercial and manufacturing infrastructure with Arcturus’ manufacturing expertise and innovative STARR self-amplifying mRNA and LUNAR delivery platform technologies.</w:t>
      </w:r>
    </w:p>
    <w:p>
      <w:pPr>
        <w:spacing w:after="0" w:line="74" w:lineRule="exact"/>
        <w:rPr>
          <w:sz w:val="20"/>
          <w:szCs w:val="20"/>
          <w:color w:val="auto"/>
        </w:rPr>
      </w:pPr>
    </w:p>
    <w:p>
      <w:pPr>
        <w:ind w:right="60" w:firstLine="666"/>
        <w:spacing w:after="0" w:line="256" w:lineRule="auto"/>
        <w:rPr>
          <w:sz w:val="20"/>
          <w:szCs w:val="20"/>
          <w:color w:val="auto"/>
        </w:rPr>
      </w:pPr>
      <w:r>
        <w:rPr>
          <w:rFonts w:ascii="Times New Roman" w:cs="Times New Roman" w:eastAsia="Times New Roman" w:hAnsi="Times New Roman"/>
          <w:sz w:val="18"/>
          <w:szCs w:val="18"/>
          <w:color w:val="auto"/>
        </w:rPr>
        <w:t>Our vaccines franchise, led by our self-amplifying mRNA-based COVID-19 program, made significant strides in 2023, highlighted by the marketing authorization approval in Japan of ARCT-154. The approval is the world’s first for a self-amplifying RNA (sa-mRNA) COVID-19 Vaccine. In August 2023, we successfully completed the 12-month safety follow-up of the pivotal Phase 1/2/3 study in Vietnam of ARCT-154 that completed dosing in April 2022 of over 19,000 participants. In February 2023, Meiji Seika Pharma Co., Ltd. (“Meiji”), a Japanese leader in the area of infectious disease, completed dosing of a Phase 3 clinical trial of ARCT-154 in Japan to evaluate the safety and immunogenicity of a booster dose of ARCT-154, and to assess the non-inferiority of ARCT-154 to a licensed mRNA vaccine, administered as a booster. Meiji conducted the study under its exclusive partnership with CSL Seqirus for distribution of ARCT-154 in Japan. The study enrolled 828 adult participants, with half in the ARCT-154 group and half in a comparator group (Comirnaty®, Pfizer-BioNTech). The results of this study demonstrated that a booster dose of ARCT-154 elicited a numerically higher immune response (meeting the non-inferiority criteria) against the original Wuhan-Hu-1 virus strain and a superior immune response against Omicron BA.4/5 subvariant of SARS-CoV-2 virus compared to a booster dose of the conventional mRNA vaccine Comirnaty®. These Phase 3 study results were used to support the approval of ARCT-154 in Japan for primary immunization and as a booster dose.</w:t>
      </w:r>
    </w:p>
    <w:p>
      <w:pPr>
        <w:spacing w:after="0" w:line="79" w:lineRule="exact"/>
        <w:rPr>
          <w:sz w:val="20"/>
          <w:szCs w:val="20"/>
          <w:color w:val="auto"/>
        </w:rPr>
      </w:pPr>
    </w:p>
    <w:p>
      <w:pPr>
        <w:ind w:firstLine="666"/>
        <w:spacing w:after="0" w:line="265" w:lineRule="auto"/>
        <w:rPr>
          <w:sz w:val="20"/>
          <w:szCs w:val="20"/>
          <w:color w:val="auto"/>
        </w:rPr>
      </w:pPr>
      <w:r>
        <w:rPr>
          <w:rFonts w:ascii="Times New Roman" w:cs="Times New Roman" w:eastAsia="Times New Roman" w:hAnsi="Times New Roman"/>
          <w:sz w:val="18"/>
          <w:szCs w:val="18"/>
          <w:color w:val="auto"/>
        </w:rPr>
        <w:t>Our activities since inception have consisted principally of performing research and development activities, clinical research activities, general and administrative activities and raising capital to fund those efforts. Our activities are subject to significant risks and uncertainties, including failing to secure additional funding before we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5" w:name="page86"/>
    <w:bookmarkEnd w:id="85"/>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 sustainable revenues and profit from operations. As of December 31, 2023, we had an accumulated deficit of $367.9 million.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666"/>
        <w:spacing w:after="0" w:line="258" w:lineRule="auto"/>
        <w:rPr>
          <w:sz w:val="20"/>
          <w:szCs w:val="20"/>
          <w:color w:val="auto"/>
        </w:rPr>
      </w:pPr>
      <w:r>
        <w:rPr>
          <w:rFonts w:ascii="Times New Roman" w:cs="Times New Roman" w:eastAsia="Times New Roman" w:hAnsi="Times New Roman"/>
          <w:sz w:val="18"/>
          <w:szCs w:val="18"/>
          <w:color w:val="auto"/>
        </w:rPr>
        <w:t>From the Company’s inception through the year ended December 31, 2023, the Company has funded its operations principally with the proceeds from revenues earned through collaboration agreements and government contracts, the sale of capital stock and long-term debt. During fiscal year 2023, we received milestone payments totaling $147.9 million from CSL Seqirus. Additionally, we received milestone payments of $23.8 million from CSL Seqirus subsequent to December 31, 2023. We expect to receive future payments from CSL Seqirus primarily by meeting future milestones related to the CSL Collaboration Agreement. At December 31, 2023, the Company’s balance of cash and cash equivalents, including restricted cash, was $348.9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CSL Seqirus, Inc. Collaboration and License Agreement</w:t>
      </w:r>
    </w:p>
    <w:p>
      <w:pPr>
        <w:spacing w:after="0" w:line="119" w:lineRule="exact"/>
        <w:rPr>
          <w:sz w:val="20"/>
          <w:szCs w:val="20"/>
          <w:color w:val="auto"/>
        </w:rPr>
      </w:pPr>
    </w:p>
    <w:p>
      <w:pPr>
        <w:ind w:right="600" w:firstLine="666"/>
        <w:spacing w:after="0" w:line="281" w:lineRule="auto"/>
        <w:rPr>
          <w:sz w:val="20"/>
          <w:szCs w:val="20"/>
          <w:color w:val="auto"/>
        </w:rPr>
      </w:pPr>
      <w:r>
        <w:rPr>
          <w:rFonts w:ascii="Times New Roman" w:cs="Times New Roman" w:eastAsia="Times New Roman" w:hAnsi="Times New Roman"/>
          <w:sz w:val="18"/>
          <w:szCs w:val="18"/>
          <w:color w:val="auto"/>
        </w:rPr>
        <w:t>We entered into the CSL Collaboration Agreement with CSL Seqirus, a part of CSL Limited, one of the world’s leading influenza vaccine providers, for the global exclusive rights to research, develop, manufacture and commercialize mRNA vaccines.</w:t>
      </w:r>
    </w:p>
    <w:p>
      <w:pPr>
        <w:spacing w:after="0" w:line="55" w:lineRule="exact"/>
        <w:rPr>
          <w:sz w:val="20"/>
          <w:szCs w:val="20"/>
          <w:color w:val="auto"/>
        </w:rPr>
      </w:pPr>
    </w:p>
    <w:p>
      <w:pPr>
        <w:ind w:right="240" w:firstLine="666"/>
        <w:spacing w:after="0" w:line="260" w:lineRule="auto"/>
        <w:rPr>
          <w:sz w:val="20"/>
          <w:szCs w:val="20"/>
          <w:color w:val="auto"/>
        </w:rPr>
      </w:pPr>
      <w:r>
        <w:rPr>
          <w:rFonts w:ascii="Times New Roman" w:cs="Times New Roman" w:eastAsia="Times New Roman" w:hAnsi="Times New Roman"/>
          <w:sz w:val="18"/>
          <w:szCs w:val="18"/>
          <w:color w:val="auto"/>
        </w:rPr>
        <w:t>CSL Seqirus received exclusive global rights to our technology for vaccines against SARS-CoV-2 (COVID-19), influenza and three other respiratory infectious diseases with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w:t>
      </w:r>
    </w:p>
    <w:p>
      <w:pPr>
        <w:spacing w:after="0" w:line="74" w:lineRule="exact"/>
        <w:rPr>
          <w:sz w:val="20"/>
          <w:szCs w:val="20"/>
          <w:color w:val="auto"/>
        </w:rPr>
      </w:pPr>
    </w:p>
    <w:p>
      <w:pPr>
        <w:jc w:val="both"/>
        <w:ind w:right="120" w:firstLine="666"/>
        <w:spacing w:after="0" w:line="265" w:lineRule="auto"/>
        <w:rPr>
          <w:sz w:val="20"/>
          <w:szCs w:val="20"/>
          <w:color w:val="auto"/>
        </w:rPr>
      </w:pPr>
      <w:r>
        <w:rPr>
          <w:rFonts w:ascii="Times New Roman" w:cs="Times New Roman" w:eastAsia="Times New Roman" w:hAnsi="Times New Roman"/>
          <w:sz w:val="18"/>
          <w:szCs w:val="18"/>
          <w:color w:val="auto"/>
        </w:rPr>
        <w:t>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w:t>
      </w:r>
    </w:p>
    <w:p>
      <w:pPr>
        <w:spacing w:after="0" w:line="6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On April 21, 2023, the Company’s wholly-owned subsidiary, Arcturus Therapeutics, Inc. entered into a credit agreement with Wells Fargo Bank, National Association (“Wells Fargo”) whereby Wells Fargo agreed to make a $50.0 million revolving credit line available to the Company (the “Wells Fargo Loan”) with each Wells Fargo Loan evidenced by a revolving line of credit note (each, a “Note”).</w:t>
      </w:r>
    </w:p>
    <w:p>
      <w:pPr>
        <w:spacing w:after="0" w:line="6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Wells Fargo Note),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w:t>
      </w:r>
    </w:p>
    <w:p>
      <w:pPr>
        <w:spacing w:after="0" w:line="7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term of the agreement is two years, with an option for one-year renewals subject to Wells Fargo approval and the Company furnishing to Wells Fargo a non-refundable commitment fee equal to 0.25% of the Wells Fargo Loan amount for each such renewal. There is no penalty for terminating the agreement. There is no penalty for terminating the facility prior to the maturity date of the Wells Fargo Note. As collateral, the Company has agreed to pledge $55.0 million in cash to be held at the Company’s securities accounts with Wells Fargo Securities, LLC, an affiliate of Wells Fargo, pursuant to a security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from the Biomedical Advanced Research and Development Authority</w:t>
      </w:r>
    </w:p>
    <w:p>
      <w:pPr>
        <w:spacing w:after="0" w:line="119" w:lineRule="exact"/>
        <w:rPr>
          <w:sz w:val="20"/>
          <w:szCs w:val="20"/>
          <w:color w:val="auto"/>
        </w:rPr>
      </w:pPr>
    </w:p>
    <w:p>
      <w:pPr>
        <w:jc w:val="both"/>
        <w:ind w:right="660" w:firstLine="509"/>
        <w:spacing w:after="0" w:line="265" w:lineRule="auto"/>
        <w:rPr>
          <w:sz w:val="20"/>
          <w:szCs w:val="20"/>
          <w:color w:val="auto"/>
        </w:rPr>
      </w:pPr>
      <w:r>
        <w:rPr>
          <w:rFonts w:ascii="Times New Roman" w:cs="Times New Roman" w:eastAsia="Times New Roman" w:hAnsi="Times New Roman"/>
          <w:sz w:val="18"/>
          <w:szCs w:val="18"/>
          <w:color w:val="auto"/>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line="8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Vinbiocare Agreement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spacing w:after="0" w:line="79" w:lineRule="exact"/>
        <w:rPr>
          <w:sz w:val="20"/>
          <w:szCs w:val="20"/>
          <w:color w:val="auto"/>
        </w:rPr>
      </w:pPr>
    </w:p>
    <w:p>
      <w:pPr>
        <w:jc w:val="both"/>
        <w:ind w:right="340" w:firstLine="509"/>
        <w:spacing w:after="0" w:line="265" w:lineRule="auto"/>
        <w:rPr>
          <w:sz w:val="20"/>
          <w:szCs w:val="20"/>
          <w:color w:val="auto"/>
        </w:rPr>
      </w:pPr>
      <w:r>
        <w:rPr>
          <w:rFonts w:ascii="Times New Roman" w:cs="Times New Roman" w:eastAsia="Times New Roman" w:hAnsi="Times New Roman"/>
          <w:sz w:val="18"/>
          <w:szCs w:val="18"/>
          <w:color w:val="auto"/>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Financial Resources</w:t>
      </w:r>
    </w:p>
    <w:p>
      <w:pPr>
        <w:spacing w:after="0" w:line="119" w:lineRule="exact"/>
        <w:rPr>
          <w:sz w:val="20"/>
          <w:szCs w:val="20"/>
          <w:color w:val="auto"/>
        </w:rPr>
      </w:pPr>
    </w:p>
    <w:p>
      <w:pPr>
        <w:ind w:right="420" w:firstLine="509"/>
        <w:spacing w:after="0" w:line="260" w:lineRule="auto"/>
        <w:rPr>
          <w:sz w:val="20"/>
          <w:szCs w:val="20"/>
          <w:color w:val="auto"/>
        </w:rPr>
      </w:pPr>
      <w:r>
        <w:rPr>
          <w:rFonts w:ascii="Times New Roman" w:cs="Times New Roman" w:eastAsia="Times New Roman" w:hAnsi="Times New Roman"/>
          <w:sz w:val="18"/>
          <w:szCs w:val="18"/>
          <w:color w:val="auto"/>
        </w:rPr>
        <w:t>A portion of our current cash balance is expected to be utilized during fiscal year 2024 to fund (i) the continued Phase 2 trial of ARCT-810, our LUNAR-OTC candidate, (ii) advances to our LUNAR-CF program in clinical trials, (iii) expenses incurred prior to customer payments under the CSL Collaboration Agreement and BARDA agreement and (iv) continued exploratory activities related to our platform and other general administrative activities.</w:t>
      </w:r>
    </w:p>
    <w:p>
      <w:pPr>
        <w:spacing w:after="0" w:line="74" w:lineRule="exact"/>
        <w:rPr>
          <w:sz w:val="20"/>
          <w:szCs w:val="20"/>
          <w:color w:val="auto"/>
        </w:rPr>
      </w:pPr>
    </w:p>
    <w:p>
      <w:pPr>
        <w:ind w:right="380" w:firstLine="509"/>
        <w:spacing w:after="0" w:line="260" w:lineRule="auto"/>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7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executing on milestones within the CSL Collaboration Agreement and identifying and developing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are difficult to forecast and will depend on many factors, including but not limited to the following:</w:t>
      </w:r>
    </w:p>
    <w:p>
      <w:pPr>
        <w:spacing w:after="0" w:line="332" w:lineRule="exact"/>
        <w:rPr>
          <w:sz w:val="20"/>
          <w:szCs w:val="20"/>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LUNAR-COV19 and LUNAR-FLU vaccine candidates;</w:t>
      </w:r>
    </w:p>
    <w:p>
      <w:pPr>
        <w:spacing w:after="0" w:line="27"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under our strategic alliance agreements;</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and/or expanding our manufacturing network and capabilities;</w:t>
      </w:r>
    </w:p>
    <w:p>
      <w:pPr>
        <w:spacing w:after="0" w:line="8" w:lineRule="exact"/>
        <w:rPr>
          <w:rFonts w:ascii="Times New Roman" w:cs="Times New Roman" w:eastAsia="Times New Roman" w:hAnsi="Times New Roman"/>
          <w:sz w:val="18"/>
          <w:szCs w:val="18"/>
          <w:color w:val="auto"/>
        </w:rPr>
      </w:pPr>
    </w:p>
    <w:p>
      <w:pPr>
        <w:ind w:left="760" w:right="140" w:hanging="3"/>
        <w:spacing w:after="0" w:line="250" w:lineRule="auto"/>
        <w:tabs>
          <w:tab w:leader="none" w:pos="8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strategic alliance, licensing and other arrangements that we may establish, including those with CSL Seqirus and CSL Seqirus’ arrangement with Meiji, and any related payments thereunder;</w:t>
      </w: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preclinical studies and clinical trials for our product candidates;</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procuring clinical and commercial supplies of our product candidates;</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legal proceedings;</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litigation related to collaboration agreements; and</w:t>
      </w:r>
    </w:p>
    <w:p>
      <w:pPr>
        <w:spacing w:after="0" w:line="8" w:lineRule="exact"/>
        <w:rPr>
          <w:rFonts w:ascii="Times New Roman" w:cs="Times New Roman" w:eastAsia="Times New Roman" w:hAnsi="Times New Roman"/>
          <w:sz w:val="18"/>
          <w:szCs w:val="18"/>
          <w:color w:val="auto"/>
        </w:rPr>
      </w:pPr>
    </w:p>
    <w:p>
      <w:pPr>
        <w:ind w:left="860" w:hanging="103"/>
        <w:spacing w:after="0"/>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2023 and 2022:</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6"/>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31,993</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(2,901 )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(7,726 )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(24,087 )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(2,859 )</w:t>
            </w: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(45,087 )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100" w:type="dxa"/>
            <w:vAlign w:val="bottom"/>
            <w:shd w:val="clear" w:color="auto" w:fill="CFF0FC"/>
          </w:tcPr>
          <w:p>
            <w:pPr>
              <w:spacing w:after="0"/>
              <w:rPr>
                <w:sz w:val="22"/>
                <w:szCs w:val="22"/>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 2023 was $18.1 million and consisted of net loss of $29.7 million offset by adjustments of $4.2 million and a net change in assets and liabilities of $7.4 million. Non-cash items primarily included stock-based compensation of $34.6 million and depreciation and amortization of $3.0 million offset by a gain on debt extinguishment of $34.0 million. The net change in assets and liabilities was primarily due to an increase in deferred revenue of $38.6 million, a decrease in right-of-use assets of $4.0 million and a decrease in prepaid and other current assets of $1.2 million. This was partially offset by an increase in accounts receivable of $29.3 million, a decrease in accounts payable and accrued liabilities of $2.9 million and a decrease lease liabilities of $4.3 million.</w:t>
      </w:r>
    </w:p>
    <w:p>
      <w:pPr>
        <w:spacing w:after="0" w:line="7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2022 was $32.0 million and consisted of net income of $9.3 million and non-cash adjustments of $35.2 million, plus a net change in assets and liabilities of $12.6 million. Non-cash items primarily included stock-based compensation of $30.6 million and depreciation and amortization of $1.5 million. The net change in assets and liabilities was primarily due to a decrease in deferred revenue of $14.7 million, a decrease in lease liabilities of $4.5 million, and increase in prepaid and other current assets of $3.6 million and a decrease in accounts payable of $3.1 million, partially offset by an increase in accrued liabilities of $9.4 million, a decrease in right-of-use assets of $3.3 million and a decrease in accounts receivable of $0.6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of $2.9 million in 2023 and $7.7 million in 2022 reflected the acquisition of property and equipment.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in 2023 was $24.1 million, primarily from principal payments on long-term debt of $27.4 million, partially offset by proceeds from the exercise of stock options of $2.7 million and proceeds from the issuance of common stock related to our employee stock purchase plan of $0.6 million.</w:t>
      </w:r>
    </w:p>
    <w:p>
      <w:pPr>
        <w:spacing w:after="0" w:line="69"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in 2022 was $2.9 million, primarily from principal payments on long-term debt of $5.0 million, partially offset by proceeds from the exercise of stock options of $1.7 million and proceeds from the issuance of common stock related to our employee stock purchase plan of $0.4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157,748</w:t>
            </w:r>
          </w:p>
        </w:tc>
        <w:tc>
          <w:tcPr>
            <w:tcW w:w="64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205,755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Revenue decreased by $39.2 million during the year ended December 31, 2023 as compared to the year ended December 31, 2022. The decrease during 2023 primarily relates to decreases in revenue of the following: (i) $25.2 million related to the termination of the agreement with Vinbiocare during 2022, (ii) $12.5 million related to the recognition of revenue for agreement with the Israeli Ministry of Health during 2022, (iii) $8.5 million related to the termination of the agreement with Janssen during 2022 and (iv) $1.9 million related to the completion of the amortization of the upfront payment from the UGX agreement during the second quarter of 2023. The decrease was primarily offset by increases in the revenue of $8.8 million related to the increase in reimbursable research and development expenses for the grant agreement with BARDA and $0.1 million related to other material transfer agreements during the year ended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192,133</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245,004</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8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39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9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-1232535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8"/>
          <w:szCs w:val="18"/>
          <w:color w:val="auto"/>
        </w:rPr>
        <w:t>The following table presents our total research and development expenses by category: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pipeline development expenses:</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LUNAR-COVID, net</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81,704</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65,136</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LUNAR-OTC, net</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BARDA</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Early stage programs</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Discovery technologies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platform development expenses:</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100" w:type="dxa"/>
            <w:vAlign w:val="bottom"/>
          </w:tcPr>
          <w:p>
            <w:pPr>
              <w:spacing w:after="0"/>
              <w:rPr>
                <w:sz w:val="20"/>
                <w:szCs w:val="20"/>
                <w:color w:val="auto"/>
              </w:rPr>
            </w:pPr>
          </w:p>
        </w:tc>
      </w:tr>
      <w:tr>
        <w:trPr>
          <w:trHeight w:val="247"/>
        </w:trPr>
        <w:tc>
          <w:tcPr>
            <w:tcW w:w="7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Facilities and equipment expenses</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 net</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192,133</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147,751</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-1715770</wp:posOffset>
            </wp:positionV>
            <wp:extent cx="102235" cy="1536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-1715770</wp:posOffset>
            </wp:positionV>
            <wp:extent cx="93980" cy="1536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$192.1 million for the year ended December 31, 2023, compared with $147.8 million in the comparable period last year, primarily reflecting increased manufacturing costs of $27.4 million, an increase of $6.7 million in personnel related costs, an increase in consulting expenses of $3.7 million, an increase of $3.2 million in facilities expense and an increase of contra research and development expenses recognized of $8.4 million. The increase was primarily offset by a decrease of clinical-related expenses of $5.0 million. We expect that our research and development efforts and associated costs will continue to be substantial over the next several years as our pipeline progresses.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Early-stage programs represent programs that are in the pre-clinical or Phase 1 clinical stage and may be partnered or unpartnered, including the LUNAR-CF and LUNAR-FLU programs. Discovery technologies represent our efforts to expand our product pipeline and are primarily related to pre-partnered studies and new capabilities assessment. For some of our programs, the activities are part of our collaborative and other relationships, and the expenses may be partially offset with funds that have been awarded to the Company. The expenses primarily consist of external manufacturing costs, lab supplies, equipment, and consulting and professional fees. Both early-stage programs and discovery technologies expenses are expected to steadily increase over the coming years.</w:t>
      </w:r>
    </w:p>
    <w:p>
      <w:pPr>
        <w:spacing w:after="0" w:line="78"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Personnel related expenses primarily consist of employee salaries and benefits, share-based compensation and consultants. Although such expenses increased during 2023 as compared to 2022, we expect that they will not increase over the next twelve months.</w:t>
      </w:r>
    </w:p>
    <w:p>
      <w:pPr>
        <w:spacing w:after="0" w:line="55"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Facilities and equipment expenses increased during the year ended December 31, 2023 as a result of increased rent and associated costs related to a new facility we took possession of in April 2022. Facilities and equipment expenses are not expected to increase significantly during the next twelve months.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55"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were $52.9 million and $46.1 million for the year ended December 31, 2023 and 2022, respectively. These increases in expenses resulted primarily from increased personnel expenses due to increased headcount and salaries, increased travel and consulting expenses as well as increased rent expense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0" w:name="page91"/>
    <w:bookmarkEnd w:id="90"/>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new facility. We expect that general and administrative expenses will remain consistent during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 net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6"/>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(3,001 )</w:t>
            </w:r>
          </w:p>
        </w:tc>
      </w:tr>
      <w:tr>
        <w:trPr>
          <w:trHeight w:val="276"/>
        </w:trPr>
        <w:tc>
          <w:tcPr>
            <w:tcW w:w="774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16,592</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Interest income is generated on cash and cash equivalents. The increase in interest income from 2022 to 2023 was the result of higher interest rates during the year ended 2023 and an increase in cash due to large amounts received under the CSL Seqirus agreement during the fourth quarter of 2022.</w:t>
      </w:r>
    </w:p>
    <w:p>
      <w:pPr>
        <w:spacing w:after="0" w:line="3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Interest expense decreased during the year ended 2023 as compared to the year ended 2022 as no interest expense was incurred subsequent to the first quarter of 2023. This was a result of the extinguishment of the Western Alliance loan and forgiveness of the Singapore Loan.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(“U.S. GAAP”). As such, we make certain estimates, judgments and assumptions that we believe are reasonable, based upon information available to us. These judgments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2023. In the following paragraphs, we describe the specific risks associated with these critical accounting policies and we caution that future events may not reflect exactly as one may expect, and that best estimates may require adjustment.</w:t>
      </w:r>
    </w:p>
    <w:p>
      <w:pPr>
        <w:spacing w:after="0" w:line="78"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8"/>
          <w:szCs w:val="18"/>
          <w:color w:val="auto"/>
        </w:rPr>
        <w:t>The following are our significant accounting policies which we believe are the most critical to aid in fully understanding and evaluating our reported financial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revenue under collaborative agreements</w:t>
      </w:r>
    </w:p>
    <w:p>
      <w:pPr>
        <w:spacing w:after="0" w:line="119"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We recognize research and development revenue from several collaboration agreements. Our collaboration agreements typically contain promised goods and services, including technology licenses or options to obtain technology licenses, research and development and regulatory services. Upon entering into a collaboration agreement, we are required to make the following judgments: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Identifying the performance obligations contained in the agreement</w:t>
      </w:r>
    </w:p>
    <w:p>
      <w:pPr>
        <w:spacing w:after="0" w:line="117"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Our assessment of what constitutes a separate performance obligation requires us to apply judgment. Specifically, we are required to identify which goods and services we are required to provide under the contract are distinct, if 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Determining the transaction price, including any variable consideration</w:t>
      </w:r>
    </w:p>
    <w:p>
      <w:pPr>
        <w:spacing w:after="0" w:line="117"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To determine the transaction price, we review the amount of consideration we are eligible to earn under the agreement. We do not typically include any payments we may receive in the future in our initial transaction price since the payments are typically not probable because they are contingent upon certain future events.</w:t>
      </w:r>
    </w:p>
    <w:p>
      <w:pPr>
        <w:spacing w:after="0" w:line="69"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are required to reassess the total transaction price at each reporting period to determine if we should include additional payments that have become probable in the transaction price.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Allocating the transaction price to each of our performance obligations</w:t>
      </w:r>
    </w:p>
    <w:p>
      <w:pPr>
        <w:spacing w:after="0" w:line="11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When we allocate the transaction price to more than one performance obligation, we make estimates of the relative stand-alone selling price of each performance obligation because we do not typically sell our goods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4"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7"/>
          <w:szCs w:val="17"/>
          <w:color w:val="auto"/>
        </w:rPr>
        <w:t>services on a stand-alone basis. The estimate of the relative stand-alone selling price requires us in some cases to make significant judgments. In cases where we deliver a license at the start of an agreement, we use valuation methodologies, such as costs to recreate plus margin, to value the license. Additionally, when we estimate the selling price for research and development and regulatory services, we make estimates, including: the number of internal hours we will spend on the services, the cost of work we and third parties will perform and the cost of clinical trial material we will use.</w:t>
      </w:r>
    </w:p>
    <w:p>
      <w:pPr>
        <w:spacing w:after="0" w:line="5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research and development revenue we recognize each period is comprised of several types of revenue, including license fees, amortization from upfront payments, milestone payments, option exclusivity fees and other services. Each of these types of revenue require us to make various judgments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from Upfront Payments</w:t>
      </w:r>
    </w:p>
    <w:p>
      <w:pPr>
        <w:spacing w:after="0" w:line="11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For certain agreements, we recognize revenue from the amortization of upfront payments as we perform research and development, technology transfer and consulting services. We use an input method to estimate the amount of revenue to recognize each period. This method requires us to make estimates of the total costs we expect to incur in order to complete our promised research and development services or the total length of time it will take us to complete our promised research and development services. If we change our estimates, we may have to adjust our revenue.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When recognizing revenue related to milestone payments, we typically judge and estimate whether the milestone payment is probable (discussed in detail above under “Determining the transaction price, including any variable consideration”).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Fees</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some cases, we deliver a license upon execution of an agreement. If we determine that our partner has full use of the license and we do not have any additional material performance obligations related to the license after delivery, then we consider the license to be a separate performance obligation. We generally recognize as license revenue the total amount of the transaction price we determine to be the allocated to the performance obligation based upon the relative stand-alone selling price of a license when we deliver the license to our partner. We discuss the estimates we make related to the relative stand-alone selling price of a license in detail above under “Allocating the transaction price to our performance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Including Clinical Trial Accruals/Expenses</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Research and development costs consist of salaries and benefits, including related stock-based compensation, laboratory supplies and facility costs, as well as fees paid to other entities that conduct certain research and development activities on our behalf, such as clinical research organizations, or CROs, and contract manufacturing organizations, or CDMOs. Research and development costs are expensed as incurred.</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we outsource a significant portion of these clinical trial activities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prepaid assets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We make estimates of our accrued balances as of each balance sheet date based on facts and circumstances known to our internal personnel at that time. We periodically confirm the accuracy of our estimates with the service providers and make adjustments if necessary. Judgments and estimates may be made in determining the accrued balances at the end of any reporting period. Actual results could differ from the estimates made. Our historical clinical trial accrual estimates have not been materially different from our actual costs.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Our primary exposure to market risk is interest income and expense sensitivity, which is affected by changes in the general level of United States interest rates. Due to the nature of our investments, we believe that we are not subject to any material market risk exposure. We do not have any foreign currency or other derivative financial instruments.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and related financial statement schedules required to be filed are listed in the Index to Consolidated Financial Statements and are incorporated herein and in Item 15 of Part IV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December 31, 2023, and, based on their evaluation, have concluded that the disclosure controls and procedures were not effective as of such date due to the material weaknesses in internal control over financial reporting, described below.</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and for the assessment of the effectiveness of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accurately and fairly reflect our transactions and the dispositions of our assets; (2) provide reasonable assurance that our transactions are recorded as necessary to permit preparation of financial statements in accordance with GAAP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81" w:lineRule="exact"/>
        <w:rPr>
          <w:sz w:val="20"/>
          <w:szCs w:val="20"/>
          <w:color w:val="auto"/>
        </w:rPr>
      </w:pPr>
    </w:p>
    <w:p>
      <w:pPr>
        <w:ind w:right="640" w:firstLine="509"/>
        <w:spacing w:after="0" w:line="260" w:lineRule="auto"/>
        <w:rPr>
          <w:sz w:val="20"/>
          <w:szCs w:val="20"/>
          <w:color w:val="auto"/>
        </w:rPr>
      </w:pPr>
      <w:r>
        <w:rPr>
          <w:rFonts w:ascii="Times New Roman" w:cs="Times New Roman" w:eastAsia="Times New Roman" w:hAnsi="Times New Roman"/>
          <w:sz w:val="18"/>
          <w:szCs w:val="18"/>
          <w:color w:val="auto"/>
        </w:rPr>
        <w:t>Our management, under the supervision of and with the participation of the Chief Executive Officer, Chief Financial Officer and Principal Accounting Officer, assessed the effectiveness of our internal control over financial reporting as of December 31, 2023. In making this assessment, management used the criteria established in Internal Control—Integrated Framework issued by the Committee of Sponsoring Organizations of the Treadway Commission (2013 framework) (“the COSO criteria”).</w:t>
      </w:r>
    </w:p>
    <w:p>
      <w:pPr>
        <w:spacing w:after="0" w:line="74" w:lineRule="exact"/>
        <w:rPr>
          <w:sz w:val="20"/>
          <w:szCs w:val="20"/>
          <w:color w:val="auto"/>
        </w:rPr>
      </w:pPr>
    </w:p>
    <w:p>
      <w:pPr>
        <w:ind w:right="140" w:firstLine="509"/>
        <w:spacing w:after="0" w:line="276" w:lineRule="auto"/>
        <w:rPr>
          <w:sz w:val="20"/>
          <w:szCs w:val="20"/>
          <w:color w:val="auto"/>
        </w:rPr>
      </w:pPr>
      <w:r>
        <w:rPr>
          <w:rFonts w:ascii="Times New Roman" w:cs="Times New Roman" w:eastAsia="Times New Roman" w:hAnsi="Times New Roman"/>
          <w:sz w:val="17"/>
          <w:szCs w:val="17"/>
          <w:color w:val="auto"/>
        </w:rPr>
        <w:t>Based on our assessment under the COSO criteria, management concluded that our system of internal control over financial reporting was not effective due to the material weaknesses described below. However, after giving full consideration to the material weaknesses, and the additional analyses and other procedures we performed to ensure that our consolidated financial statements included in this Annual Report on Form 10-K were prepared in accordance with U.S. generally accepted accounting principles (“GAAP”), our management has concluded that our consolidated financial statements present fairly, in all material respects, our financial position, results of operations and cash flows for the periods disclosed in conformity with GAAP.</w:t>
      </w:r>
    </w:p>
    <w:p>
      <w:pPr>
        <w:spacing w:after="0" w:line="63" w:lineRule="exact"/>
        <w:rPr>
          <w:sz w:val="20"/>
          <w:szCs w:val="20"/>
          <w:color w:val="auto"/>
        </w:rPr>
      </w:pPr>
    </w:p>
    <w:p>
      <w:pPr>
        <w:ind w:right="500" w:firstLine="509"/>
        <w:spacing w:after="0" w:line="312" w:lineRule="auto"/>
        <w:rPr>
          <w:sz w:val="20"/>
          <w:szCs w:val="20"/>
          <w:color w:val="auto"/>
        </w:rPr>
      </w:pPr>
      <w:r>
        <w:rPr>
          <w:rFonts w:ascii="Times New Roman" w:cs="Times New Roman" w:eastAsia="Times New Roman" w:hAnsi="Times New Roman"/>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 part of our assessment of the effectiveness of our internal control over financial reporting as of December 31, 2023, management identified the following material weaknesses: (1) a material weakness related to information technology general controls (“ITGCs”) that support our financial reporting processes; and (2) a material weakness related to revenue recognition. Management determined that we did not maintain effective controls over (i) user access to ensure appropriate segregation of duties and adequately restrict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 As a result, our related IT dependent manual and application controls that rely upon the affected ITGCs, or information coming from IT systems with affected ITGCs, were also deemed ineffective.</w:t>
      </w:r>
    </w:p>
    <w:p>
      <w:pPr>
        <w:spacing w:after="0" w:line="8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Further, management determined that certain control activities within the area of revenue did not operate effectively, specifically controls over the review of costs incurred in satisfaction of our performance obligations under collaboration arrangements.</w:t>
      </w:r>
    </w:p>
    <w:p>
      <w:pPr>
        <w:spacing w:after="0" w:line="55"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w:t>
      </w:r>
    </w:p>
    <w:p>
      <w:pPr>
        <w:spacing w:after="0" w:line="6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issued a report on the effectiveness of our internal control over financial reporting as of December 31, 2023, which is included in Item 8 of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 to Remediate the Material Weaknesses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8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 We are committed to making the necessary changes and improvements to our system of controls to address the material weaknesses in internal control over financial reporting described above.</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renewed emphasis of designing and implementing improved processes and controls will involve but is not limited to the following:</w:t>
      </w:r>
    </w:p>
    <w:p>
      <w:pPr>
        <w:spacing w:after="0" w:line="117" w:lineRule="exact"/>
        <w:rPr>
          <w:sz w:val="20"/>
          <w:szCs w:val="20"/>
          <w:color w:val="auto"/>
        </w:rPr>
      </w:pPr>
    </w:p>
    <w:p>
      <w:pPr>
        <w:ind w:left="1020" w:right="60" w:hanging="504"/>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available resources with experience designing and implementing control activities, including ITGCs and automated controls, both by hiring internally and the use of third-party consultations and specialists.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access profiles in IT systems and relevant software, and adjust access review controls accordingly.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 the control to identify access profiles in IT systems and software that result in risks of segregation of duties.</w:t>
      </w:r>
    </w:p>
    <w:p>
      <w:pPr>
        <w:spacing w:after="0" w:line="116"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ongoing training with control performers to improve documentation that supports effective control activities, including evidence over the completeness and accuracy of information produced by the Company.</w:t>
      </w:r>
    </w:p>
    <w:p>
      <w:pPr>
        <w:spacing w:after="0" w:line="54" w:lineRule="exact"/>
        <w:rPr>
          <w:rFonts w:ascii="Times New Roman" w:cs="Times New Roman" w:eastAsia="Times New Roman" w:hAnsi="Times New Roman"/>
          <w:sz w:val="18"/>
          <w:szCs w:val="18"/>
          <w:color w:val="auto"/>
        </w:rPr>
      </w:pPr>
    </w:p>
    <w:p>
      <w:pPr>
        <w:ind w:left="1020" w:right="940" w:hanging="504"/>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technical accounting resource to review our revenue accounting along with financial disclosures for collaboration arrangements on a quarterly basis.</w:t>
      </w:r>
    </w:p>
    <w:p>
      <w:pPr>
        <w:spacing w:after="0" w:line="5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in the process of implementing the remediation activities as of the date of this report and believe that upon completion, we will have strengthened our ITGCs, and controls related to accounting for collaboration arrangements to address and successfully remediate the identified material weaknesses. However, control weaknesses are not considered remediated until new internal controls have been operational for a period of time, are tested, and management concludes that these controls are operating effectively. We expect to complete the remediation activities as early as practicable in the fiscal year 2024. We will continue to monitor the effectiveness of these remediation measures, and we will make any changes to the design of this plan and take such other actions that we deem appropriate given the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Financing Reporting</w:t>
      </w:r>
    </w:p>
    <w:p>
      <w:pPr>
        <w:spacing w:after="0" w:line="121"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Other than the changes associated with the material weaknesses and remediation actions noted above, there have been no changes to our internal control over financial reporting that occurred during the year ended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Disclosure Controls and Procedures, and Internal Controls Over Financial Reporting</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9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Arcturus Therapeutics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audited Arcturus Therapeutics Holdings Inc. and its subsidiaries’ internal control over financial reporting as of December 31, 2023,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Arcturus Therapeutics Holdings Inc. and its subsidiaries (the Company) has not maintained effective internal control over financial reporting as of December 31, 2023, based on the COSO criteria.</w:t>
      </w:r>
    </w:p>
    <w:p>
      <w:pPr>
        <w:spacing w:after="0" w:line="74"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6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did not design and maintain effective controls over information technology general controls (ITGCs) for information systems and applications that are relevant to the preparation of the consolidated financial statements. Specifically, the ITGCs in the areas of access and program change over information technology (IT) systems that support the Company’s financial reporting processes were not designed and operating effectively, and as result, the related IT dependent manual and application controls that rely upon the affected ITGCs, or information coming from IT systems with affected ITGCs, are also ineffective. The Company has also identified that certain control activities within the area of revenue did not operate effectively, specifically controls over the review of costs incurred in satisfying its performance obligations on collaboration arrangements.</w:t>
      </w:r>
    </w:p>
    <w:p>
      <w:pPr>
        <w:spacing w:after="0" w:line="7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and comprehensive income (loss), changes in stockholders‘ equity and cash flows, for each of the three years in the period ended December 31, 2023. These material weaknesses were considered in determining the nature, timing and extent of audit tests applied in our audit of the 2023 consolidated financial statements, and this report does not affect our report dated March 14, 2024, which expressed an unqualified opinion thereon.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5"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An evaluation was also performed under the supervision and with the participation of our management, including our Chief Executive Officer, Chief Financial Officer and Principal Accounting Officer of any changes in our internal control over financial reporting that occurred during our last fiscal quarter and that has materially affected, or is reasonably likely to materially affect, our internal control over financial reporting. </w:t>
      </w:r>
      <w:r>
        <w:rPr>
          <w:rFonts w:ascii="Times New Roman" w:cs="Times New Roman" w:eastAsia="Times New Roman" w:hAnsi="Times New Roman"/>
          <w:sz w:val="18"/>
          <w:szCs w:val="18"/>
          <w:color w:val="212529"/>
        </w:rPr>
        <w:t>There were no changes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internal control over financial reporting identified in management’s evaluation pursuant to Rules 13a-15(d) or 15d-15(d) of the Exchange Act during the year ended December 31, 2023 that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none of our directors or officers adopted or terminated a "Rule 10b5-1 trading arrangement" (as defined in Item 408 of Regulation S-K of the Exchange Act) intended to satisfy the affirmative defense conditions of Rule 10b5-1(c) under the Exchange Act, other than as follows:</w:t>
      </w:r>
    </w:p>
    <w:p>
      <w:pPr>
        <w:spacing w:after="0" w:line="69" w:lineRule="exact"/>
        <w:rPr>
          <w:sz w:val="20"/>
          <w:szCs w:val="20"/>
          <w:color w:val="auto"/>
        </w:rPr>
      </w:pPr>
    </w:p>
    <w:p>
      <w:pPr>
        <w:ind w:left="1020" w:right="80" w:hanging="504"/>
        <w:spacing w:after="0" w:line="260"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Padmanabh Chivukula, Chief Scientific Officer and Chief Operating Officer, cancelled an existing Rule 10b5-1trading arrangement on November 18, 2023. Dr. Chivukula's trading arrangement provided for the sale of up to an aggregate of 100,000 shares of common stock. Subsequent to this, Dr. Chivukula entered into a new Rule 10b5-1 trading arrangement on December 14, 2023. The new trading arrangement provides for the sale of up to an aggregate of 152,000 shares, until September 15, 2025.</w:t>
      </w:r>
    </w:p>
    <w:p>
      <w:pPr>
        <w:spacing w:after="0" w:line="73"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Keith C. Kummerfeld, Senior Vice President, Corporate Controller and Principal Accounting Officer, modified an existing Rule 10b5-1trading arrangement on August 24, 2023. Mr. Kummerfeld's trading arrangement provides for the exercise of up to an aggregate of 36,064 options to purchase common stock and subsequent sale of such underlying shares of common stock, until August 23, 2024. On February 20, 2024, Mr. Kummerfeld, informed the Company that he will resign from his position, effective March 15, 2024, to pursue another opportunity.</w:t>
      </w:r>
    </w:p>
    <w:p>
      <w:pPr>
        <w:spacing w:after="0" w:line="5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or terminated during the year ended December 31, 2023 by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97" w:name="page98"/>
    <w:bookmarkEnd w:id="97"/>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ectPr>
          <w:pgSz w:w="11900" w:h="16838" w:orient="portrait"/>
          <w:cols w:equalWidth="0" w:num="1">
            <w:col w:w="10139"/>
          </w:cols>
          <w:pgMar w:left="320" w:top="1440" w:right="1440" w:bottom="1440" w:gutter="0" w:footer="0" w:header="0"/>
        </w:sectPr>
      </w:pP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98" w:name="page99"/>
    <w:bookmarkEnd w:id="9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 xml:space="preserve">Information required </w:t>
      </w:r>
      <w:r>
        <w:rPr>
          <w:rFonts w:ascii="Times New Roman" w:cs="Times New Roman" w:eastAsia="Times New Roman" w:hAnsi="Times New Roman"/>
          <w:sz w:val="18"/>
          <w:szCs w:val="18"/>
          <w:color w:val="212529"/>
        </w:rPr>
        <w:t>by this item will be contained in our Definitive Proxy Statement for our 2024 Annual Meeting of Stockholders, to be 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pursuant to Regulation 14A with the Securities and Exchange Commission within 120 days of December 31, 2023. Such information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212529"/>
        </w:rPr>
        <w:t>Information required by this item will be contained in our Definitive Proxy Statement for our 2024 Annual Meeting of Stockholders, to be filed pursuant to Regulation 14A with the Securities and Exchange Commission within 120 days of December 31, 2023. Such information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212529"/>
        </w:rPr>
        <w:t>Information required by this item will be contained in our Definitive Proxy Statement for our 2024 Annual Meeting of Stockholders, to be filed pursuant to Regulation 14A with the Securities and Exchange Commission within 120 days of December 31, 2023. Such information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212529"/>
        </w:rPr>
        <w:t>Information required by this item will be contained in our Definitive Proxy Statement for our 2024 Annual Meeting of Stockholders, to be filed pursuant to Regulation 14A with the Securities and Exchange Commission within 120 days of December 31, 2023. Such information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212529"/>
        </w:rPr>
        <w:t>Information required by this item will be contained in our Definitive Proxy Statement for our 2024 Annual Meeting of Stockholders, to be filed pursuant to Regulation 14A with the Securities and Exchange Commission within 120 days of December 31, 2023. Such information is incorporated herein by reference.</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99" w:name="page100"/>
    <w:bookmarkEnd w:id="99"/>
    <w:p>
      <w:pPr>
        <w:ind w:left="55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380" w:hanging="353"/>
        <w:spacing w:after="0"/>
        <w:tabs>
          <w:tab w:leader="none" w:pos="13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included in Item 8 of Part II of this Annual Report.;</w:t>
      </w:r>
    </w:p>
    <w:p>
      <w:pPr>
        <w:spacing w:after="0" w:line="116" w:lineRule="exact"/>
        <w:rPr>
          <w:rFonts w:ascii="Times New Roman" w:cs="Times New Roman" w:eastAsia="Times New Roman" w:hAnsi="Times New Roman"/>
          <w:sz w:val="18"/>
          <w:szCs w:val="18"/>
          <w:color w:val="auto"/>
        </w:rPr>
      </w:pPr>
    </w:p>
    <w:p>
      <w:pPr>
        <w:ind w:left="1540" w:hanging="513"/>
        <w:spacing w:after="0" w:line="312" w:lineRule="auto"/>
        <w:tabs>
          <w:tab w:leader="none" w:pos="139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not listed above have been omitted because information required to be set forth therein is not applicable, not required, or the information required by such schedules is shown in the consolidated financial statements or the notes thereto.</w:t>
      </w:r>
    </w:p>
    <w:p>
      <w:pPr>
        <w:spacing w:after="0" w:line="31" w:lineRule="exact"/>
        <w:rPr>
          <w:rFonts w:ascii="Times New Roman" w:cs="Times New Roman" w:eastAsia="Times New Roman" w:hAnsi="Times New Roman"/>
          <w:sz w:val="17"/>
          <w:szCs w:val="17"/>
          <w:color w:val="auto"/>
        </w:rPr>
      </w:pPr>
    </w:p>
    <w:p>
      <w:pPr>
        <w:ind w:left="1380" w:hanging="353"/>
        <w:spacing w:after="0"/>
        <w:tabs>
          <w:tab w:leader="none" w:pos="13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 preceding the signature pages to this Annual Report, which is incorporated by reference herein.</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 preceding the signature pages to this Annual Report, which is incorporated by reference herein.</w:t>
      </w:r>
    </w:p>
    <w:p>
      <w:pPr>
        <w:spacing w:after="0" w:line="116"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2" w:right="4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80" w:type="dxa"/>
            <w:vAlign w:val="bottom"/>
            <w:gridSpan w:val="19"/>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58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3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tcBorders>
              <w:bottom w:val="single" w:sz="8" w:color="auto"/>
            </w:tcBorders>
            <w:gridSpan w:val="17"/>
          </w:tcPr>
          <w:p>
            <w:pPr>
              <w:spacing w:after="0" w:line="189"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Sales Agreement, dated as of December 23, 2022 by and between Cantor Fitzgerald &amp; Co, Wells</w:t>
              </w:r>
            </w:hyperlink>
          </w:p>
        </w:tc>
        <w:tc>
          <w:tcPr>
            <w:tcW w:w="400" w:type="dxa"/>
            <w:vAlign w:val="bottom"/>
            <w:gridSpan w:val="7"/>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auto"/>
            </w:tcBorders>
            <w:gridSpan w:val="20"/>
          </w:tcPr>
          <w:p>
            <w:pPr>
              <w:spacing w:after="0" w:line="195"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Fargo Securities, LLC and Arcturus Therapeutics Holdings Inc. Incorporated by reference to Exhibit 1.2 to Registration Statement</w:t>
              </w:r>
            </w:hyperlink>
          </w:p>
        </w:tc>
        <w:tc>
          <w:tcPr>
            <w:tcW w:w="140" w:type="dxa"/>
            <w:vAlign w:val="bottom"/>
            <w:gridSpan w:val="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on Form S-3 filed on December 23, 2022 (File No. 333269003).</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right w:val="single" w:sz="8" w:color="0000EE"/>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tcBorders>
              <w:bottom w:val="single" w:sz="8" w:color="0000FF"/>
            </w:tcBorders>
            <w:gridSpan w:val="15"/>
          </w:tcPr>
          <w:p>
            <w:pPr>
              <w:spacing w:after="0" w:line="207"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No. 1 to Controlled Equity Offering</w:t>
              </w:r>
            </w:hyperlink>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w:t>
            </w:r>
            <w:hyperlink r:id="rId162">
              <w:r>
                <w:rPr>
                  <w:rFonts w:ascii="Times New Roman" w:cs="Times New Roman" w:eastAsia="Times New Roman" w:hAnsi="Times New Roman"/>
                  <w:sz w:val="18"/>
                  <w:szCs w:val="18"/>
                  <w:color w:val="0000FF"/>
                </w:rPr>
                <w:t>Sales Agreement by and between Cantor Fitzgerald &amp; Co, Wells Fargo</w:t>
              </w:r>
            </w:hyperlink>
          </w:p>
        </w:tc>
        <w:tc>
          <w:tcPr>
            <w:tcW w:w="700" w:type="dxa"/>
            <w:vAlign w:val="bottom"/>
            <w:gridSpan w:val="9"/>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Securities, LLC, William Blair &amp; Company, L.L.C., and Arcturus Therapeutics Holdings Inc. Incorporated by reference to Exhibit</w:t>
              </w:r>
            </w:hyperlink>
          </w:p>
        </w:tc>
        <w:tc>
          <w:tcPr>
            <w:tcW w:w="160" w:type="dxa"/>
            <w:vAlign w:val="bottom"/>
            <w:gridSpan w:val="5"/>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filed on August 7, 2023</w:t>
              </w:r>
              <w:r>
                <w:rPr>
                  <w:rFonts w:ascii="Times New Roman" w:cs="Times New Roman" w:eastAsia="Times New Roman" w:hAnsi="Times New Roman"/>
                  <w:sz w:val="18"/>
                  <w:szCs w:val="18"/>
                  <w:u w:val="single" w:color="auto"/>
                  <w:color w:val="000000"/>
                </w:rPr>
                <w:t>.</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auto"/>
            </w:tcBorders>
            <w:gridSpan w:val="16"/>
          </w:tcPr>
          <w:p>
            <w:pPr>
              <w:spacing w:after="0"/>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Certificate of Incorporation. Incorporated by reference to Annex B to the proxy statement/prospectus which forms part of the</w:t>
              </w:r>
            </w:hyperlink>
          </w:p>
        </w:tc>
        <w:tc>
          <w:tcPr>
            <w:tcW w:w="540" w:type="dxa"/>
            <w:vAlign w:val="bottom"/>
            <w:gridSpan w:val="8"/>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4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Registration Statement on Form S-4 filed on March 18, 2019 (File No. 333-230353).</w:t>
              </w:r>
            </w:hyperlink>
          </w:p>
        </w:tc>
        <w:tc>
          <w:tcPr>
            <w:tcW w:w="3440" w:type="dxa"/>
            <w:vAlign w:val="bottom"/>
            <w:gridSpan w:val="13"/>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auto"/>
            </w:tcBorders>
            <w:gridSpan w:val="21"/>
          </w:tcPr>
          <w:p>
            <w:pPr>
              <w:spacing w:after="0"/>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Certificate of Amendment, dated November 25, 2020. Incorporated by reference to Exhibit 3.1 to Form 8-K filed on November 25,</w:t>
              </w:r>
            </w:hyperlink>
          </w:p>
        </w:tc>
        <w:tc>
          <w:tcPr>
            <w:tcW w:w="10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auto"/>
            </w:tcBorders>
            <w:gridSpan w:val="3"/>
          </w:tcPr>
          <w:p>
            <w:pPr>
              <w:spacing w:after="0" w:line="195" w:lineRule="exact"/>
              <w:rPr>
                <w:rFonts w:ascii="Times New Roman" w:cs="Times New Roman" w:eastAsia="Times New Roman" w:hAnsi="Times New Roman"/>
                <w:sz w:val="18"/>
                <w:szCs w:val="18"/>
                <w:color w:val="auto"/>
                <w:w w:val="98"/>
              </w:rPr>
            </w:pPr>
            <w:hyperlink r:id="rId164">
              <w:r>
                <w:rPr>
                  <w:rFonts w:ascii="Times New Roman" w:cs="Times New Roman" w:eastAsia="Times New Roman" w:hAnsi="Times New Roman"/>
                  <w:sz w:val="18"/>
                  <w:szCs w:val="18"/>
                  <w:color w:val="auto"/>
                  <w:w w:val="98"/>
                </w:rPr>
                <w:t>2020 (File No. 001-38942).</w:t>
              </w:r>
            </w:hyperlink>
          </w:p>
        </w:tc>
        <w:tc>
          <w:tcPr>
            <w:tcW w:w="7600" w:type="dxa"/>
            <w:vAlign w:val="bottom"/>
            <w:gridSpan w:val="21"/>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4"/>
          </w:tcPr>
          <w:p>
            <w:pPr>
              <w:spacing w:after="0"/>
              <w:rPr>
                <w:rFonts w:ascii="Times New Roman" w:cs="Times New Roman" w:eastAsia="Times New Roman" w:hAnsi="Times New Roman"/>
                <w:sz w:val="18"/>
                <w:szCs w:val="18"/>
                <w:color w:val="auto"/>
                <w:w w:val="99"/>
              </w:rPr>
            </w:pPr>
            <w:hyperlink r:id="rId165">
              <w:r>
                <w:rPr>
                  <w:rFonts w:ascii="Times New Roman" w:cs="Times New Roman" w:eastAsia="Times New Roman" w:hAnsi="Times New Roman"/>
                  <w:sz w:val="18"/>
                  <w:szCs w:val="18"/>
                  <w:color w:val="auto"/>
                  <w:w w:val="99"/>
                </w:rPr>
                <w:t>Bylaws of Arcturus Therapeutics Holdings Inc. Incorporated by reference to Exhibit 3.2 to the Company’s Registration Statement on</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auto"/>
            </w:tcBorders>
            <w:gridSpan w:val="9"/>
          </w:tcPr>
          <w:p>
            <w:pPr>
              <w:spacing w:after="0" w:line="195" w:lineRule="exact"/>
              <w:rPr>
                <w:rFonts w:ascii="Times New Roman" w:cs="Times New Roman" w:eastAsia="Times New Roman" w:hAnsi="Times New Roman"/>
                <w:sz w:val="18"/>
                <w:szCs w:val="18"/>
                <w:color w:val="auto"/>
                <w:w w:val="99"/>
              </w:rPr>
            </w:pPr>
            <w:hyperlink r:id="rId165">
              <w:r>
                <w:rPr>
                  <w:rFonts w:ascii="Times New Roman" w:cs="Times New Roman" w:eastAsia="Times New Roman" w:hAnsi="Times New Roman"/>
                  <w:sz w:val="18"/>
                  <w:szCs w:val="18"/>
                  <w:color w:val="auto"/>
                  <w:w w:val="99"/>
                </w:rPr>
                <w:t>Form S-3, filed with the SEC on May 8, 2020 (File No. 333-238139).</w:t>
              </w:r>
            </w:hyperlink>
          </w:p>
        </w:tc>
        <w:tc>
          <w:tcPr>
            <w:tcW w:w="4580" w:type="dxa"/>
            <w:vAlign w:val="bottom"/>
            <w:gridSpan w:val="15"/>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Description of Registrant’s Securities.</w:t>
            </w: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auto"/>
            </w:tcBorders>
            <w:gridSpan w:val="21"/>
          </w:tcPr>
          <w:p>
            <w:pPr>
              <w:spacing w:after="0"/>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Form of Indemnification Agreement. Incorporated by reference to Exhibit 10.1 to the Company’s Annual Report on Form 10-K for</w:t>
              </w:r>
            </w:hyperlink>
          </w:p>
        </w:tc>
        <w:tc>
          <w:tcPr>
            <w:tcW w:w="10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the year ended December 31, 2019 filed on March 16, 2020 (File No. 001-38942).</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6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4"/>
          </w:tcPr>
          <w:p>
            <w:pPr>
              <w:spacing w:after="0"/>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Amended and Restated 2019 Omnibus Equity Incentive Plan. Incorporated by reference Exhibit 4.3 to the Registration Statement on</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auto"/>
            </w:tcBorders>
            <w:gridSpan w:val="7"/>
          </w:tcPr>
          <w:p>
            <w:pPr>
              <w:spacing w:after="0" w:line="195" w:lineRule="exact"/>
              <w:rPr>
                <w:rFonts w:ascii="Times New Roman" w:cs="Times New Roman" w:eastAsia="Times New Roman" w:hAnsi="Times New Roman"/>
                <w:sz w:val="18"/>
                <w:szCs w:val="18"/>
                <w:color w:val="auto"/>
                <w:w w:val="99"/>
              </w:rPr>
            </w:pPr>
            <w:hyperlink r:id="rId167">
              <w:r>
                <w:rPr>
                  <w:rFonts w:ascii="Times New Roman" w:cs="Times New Roman" w:eastAsia="Times New Roman" w:hAnsi="Times New Roman"/>
                  <w:sz w:val="18"/>
                  <w:szCs w:val="18"/>
                  <w:color w:val="auto"/>
                  <w:w w:val="99"/>
                </w:rPr>
                <w:t>Form S-8 filed on August 5, 2020 (File No. 001-38942).</w:t>
              </w:r>
            </w:hyperlink>
          </w:p>
        </w:tc>
        <w:tc>
          <w:tcPr>
            <w:tcW w:w="5520" w:type="dxa"/>
            <w:vAlign w:val="bottom"/>
            <w:gridSpan w:val="17"/>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auto"/>
            </w:tcBorders>
            <w:gridSpan w:val="22"/>
          </w:tcPr>
          <w:p>
            <w:pPr>
              <w:spacing w:after="0"/>
              <w:rPr>
                <w:rFonts w:ascii="Times New Roman" w:cs="Times New Roman" w:eastAsia="Times New Roman" w:hAnsi="Times New Roman"/>
                <w:sz w:val="18"/>
                <w:szCs w:val="18"/>
                <w:color w:val="auto"/>
                <w:w w:val="99"/>
              </w:rPr>
            </w:pPr>
            <w:hyperlink r:id="rId168">
              <w:r>
                <w:rPr>
                  <w:rFonts w:ascii="Times New Roman" w:cs="Times New Roman" w:eastAsia="Times New Roman" w:hAnsi="Times New Roman"/>
                  <w:sz w:val="18"/>
                  <w:szCs w:val="18"/>
                  <w:color w:val="auto"/>
                  <w:w w:val="99"/>
                </w:rPr>
                <w:t>Arcturus Therapeutics Ltd. Amended and Restated Compensation Policy for Company Office Holders. Incorporated by reference to</w:t>
              </w:r>
            </w:hyperlink>
          </w:p>
        </w:tc>
        <w:tc>
          <w:tcPr>
            <w:tcW w:w="60" w:type="dxa"/>
            <w:vAlign w:val="bottom"/>
            <w:gridSpan w:val="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tcBorders>
              <w:bottom w:val="single" w:sz="8" w:color="auto"/>
            </w:tcBorders>
            <w:gridSpan w:val="14"/>
          </w:tcPr>
          <w:p>
            <w:pPr>
              <w:spacing w:after="0" w:line="195" w:lineRule="exact"/>
              <w:rPr>
                <w:rFonts w:ascii="Times New Roman" w:cs="Times New Roman" w:eastAsia="Times New Roman" w:hAnsi="Times New Roman"/>
                <w:sz w:val="18"/>
                <w:szCs w:val="18"/>
                <w:color w:val="auto"/>
                <w:w w:val="99"/>
              </w:rPr>
            </w:pPr>
            <w:hyperlink r:id="rId168">
              <w:r>
                <w:rPr>
                  <w:rFonts w:ascii="Times New Roman" w:cs="Times New Roman" w:eastAsia="Times New Roman" w:hAnsi="Times New Roman"/>
                  <w:sz w:val="18"/>
                  <w:szCs w:val="18"/>
                  <w:color w:val="auto"/>
                  <w:w w:val="99"/>
                </w:rPr>
                <w:t>Exhibit 99.2 to the Company’s Report of Foreign Private Issuer on Form 6-K filed on July 27, 2018 (File No. 001-35932).</w:t>
              </w:r>
            </w:hyperlink>
          </w:p>
        </w:tc>
        <w:tc>
          <w:tcPr>
            <w:tcW w:w="800" w:type="dxa"/>
            <w:vAlign w:val="bottom"/>
            <w:gridSpan w:val="10"/>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auto"/>
            </w:tcBorders>
            <w:gridSpan w:val="18"/>
          </w:tcPr>
          <w:p>
            <w:pPr>
              <w:spacing w:after="0"/>
              <w:rPr>
                <w:rFonts w:ascii="Times New Roman" w:cs="Times New Roman" w:eastAsia="Times New Roman" w:hAnsi="Times New Roman"/>
                <w:sz w:val="18"/>
                <w:szCs w:val="18"/>
                <w:color w:val="auto"/>
                <w:w w:val="99"/>
              </w:rPr>
            </w:pPr>
            <w:hyperlink r:id="rId169">
              <w:r>
                <w:rPr>
                  <w:rFonts w:ascii="Times New Roman" w:cs="Times New Roman" w:eastAsia="Times New Roman" w:hAnsi="Times New Roman"/>
                  <w:sz w:val="18"/>
                  <w:szCs w:val="18"/>
                  <w:color w:val="auto"/>
                  <w:w w:val="99"/>
                </w:rPr>
                <w:t>Loan and Security Agreement, dated October 12, 2018, by and between Western Alliance Bank and Arcturus Therapeutics, Inc.</w:t>
              </w:r>
            </w:hyperlink>
          </w:p>
        </w:tc>
        <w:tc>
          <w:tcPr>
            <w:tcW w:w="360" w:type="dxa"/>
            <w:vAlign w:val="bottom"/>
            <w:gridSpan w:val="6"/>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auto"/>
            </w:tcBorders>
            <w:gridSpan w:val="24"/>
          </w:tcPr>
          <w:p>
            <w:pPr>
              <w:spacing w:after="0" w:line="195"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Incorporated by reference to Exhibit 10.1 to the Company’s Report of Foreign Private Issuer on Form 6-K filed on October 15, 2018</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auto"/>
            </w:tcBorders>
            <w:gridSpan w:val="2"/>
          </w:tcPr>
          <w:p>
            <w:pPr>
              <w:spacing w:after="0" w:line="195" w:lineRule="exact"/>
              <w:rPr>
                <w:rFonts w:ascii="Times New Roman" w:cs="Times New Roman" w:eastAsia="Times New Roman" w:hAnsi="Times New Roman"/>
                <w:sz w:val="18"/>
                <w:szCs w:val="18"/>
                <w:color w:val="auto"/>
                <w:w w:val="98"/>
              </w:rPr>
            </w:pPr>
            <w:hyperlink r:id="rId169">
              <w:r>
                <w:rPr>
                  <w:rFonts w:ascii="Times New Roman" w:cs="Times New Roman" w:eastAsia="Times New Roman" w:hAnsi="Times New Roman"/>
                  <w:sz w:val="18"/>
                  <w:szCs w:val="18"/>
                  <w:color w:val="auto"/>
                  <w:w w:val="98"/>
                </w:rPr>
                <w:t>(File No. 001-35932).</w:t>
              </w:r>
            </w:hyperlink>
          </w:p>
        </w:tc>
        <w:tc>
          <w:tcPr>
            <w:tcW w:w="8000" w:type="dxa"/>
            <w:vAlign w:val="bottom"/>
            <w:gridSpan w:val="22"/>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4"/>
          </w:tcPr>
          <w:p>
            <w:pPr>
              <w:spacing w:after="0"/>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Research and Exclusive License Agreement, by and between Arcturus Therapeutics, Inc. and Synthetic Genomics, Inc., effective</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auto"/>
            </w:tcBorders>
            <w:gridSpan w:val="13"/>
          </w:tcPr>
          <w:p>
            <w:pPr>
              <w:spacing w:after="0" w:line="195" w:lineRule="exact"/>
              <w:rPr>
                <w:rFonts w:ascii="Times New Roman" w:cs="Times New Roman" w:eastAsia="Times New Roman" w:hAnsi="Times New Roman"/>
                <w:sz w:val="18"/>
                <w:szCs w:val="18"/>
                <w:color w:val="auto"/>
                <w:w w:val="99"/>
              </w:rPr>
            </w:pPr>
            <w:hyperlink r:id="rId170">
              <w:r>
                <w:rPr>
                  <w:rFonts w:ascii="Times New Roman" w:cs="Times New Roman" w:eastAsia="Times New Roman" w:hAnsi="Times New Roman"/>
                  <w:sz w:val="18"/>
                  <w:szCs w:val="18"/>
                  <w:color w:val="auto"/>
                  <w:w w:val="99"/>
                </w:rPr>
                <w:t>October 24, 2017. Incorporated by reference to Exhibit 4.8 to Form 20-F filed on May 14, 2018 (File No. 001-35932).</w:t>
              </w:r>
            </w:hyperlink>
          </w:p>
        </w:tc>
        <w:tc>
          <w:tcPr>
            <w:tcW w:w="1080" w:type="dxa"/>
            <w:vAlign w:val="bottom"/>
            <w:gridSpan w:val="11"/>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auto"/>
            </w:tcBorders>
            <w:gridSpan w:val="23"/>
          </w:tcPr>
          <w:p>
            <w:pPr>
              <w:spacing w:after="0"/>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Research Collaboration and License Agreement, by and between Arcturus Therapeutics, Inc. and Ultragenyx Pharmaceutical Inc.,</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auto"/>
            </w:tcBorders>
            <w:gridSpan w:val="24"/>
          </w:tcPr>
          <w:p>
            <w:pPr>
              <w:spacing w:after="0" w:line="195" w:lineRule="exact"/>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entered into as of October 26, 2015, as amended October 17, 2017 and April 20, 2018. Incorporated by reference to Exhibit 4.10 to</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auto"/>
            </w:tcBorders>
            <w:gridSpan w:val="6"/>
          </w:tcPr>
          <w:p>
            <w:pPr>
              <w:spacing w:after="0" w:line="195" w:lineRule="exact"/>
              <w:rPr>
                <w:rFonts w:ascii="Times New Roman" w:cs="Times New Roman" w:eastAsia="Times New Roman" w:hAnsi="Times New Roman"/>
                <w:sz w:val="18"/>
                <w:szCs w:val="18"/>
                <w:color w:val="auto"/>
                <w:w w:val="99"/>
              </w:rPr>
            </w:pPr>
            <w:hyperlink r:id="rId171">
              <w:r>
                <w:rPr>
                  <w:rFonts w:ascii="Times New Roman" w:cs="Times New Roman" w:eastAsia="Times New Roman" w:hAnsi="Times New Roman"/>
                  <w:sz w:val="18"/>
                  <w:szCs w:val="18"/>
                  <w:color w:val="auto"/>
                  <w:w w:val="99"/>
                </w:rPr>
                <w:t>Form 20-F filed on May 14, 2018 (File No. 001-35932).</w:t>
              </w:r>
            </w:hyperlink>
          </w:p>
        </w:tc>
        <w:tc>
          <w:tcPr>
            <w:tcW w:w="5540" w:type="dxa"/>
            <w:vAlign w:val="bottom"/>
            <w:gridSpan w:val="18"/>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4"/>
          </w:tcPr>
          <w:p>
            <w:pPr>
              <w:spacing w:after="0"/>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Third Amendment to Research Collaboration and License Agreement, by and between Arcturus Therapeutics, Inc. and Ultragenyx</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auto"/>
            </w:tcBorders>
            <w:gridSpan w:val="24"/>
          </w:tcPr>
          <w:p>
            <w:pPr>
              <w:spacing w:after="0" w:line="195" w:lineRule="exact"/>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Pharmaceutical Inc., effective June 18, 2019. Incorporated by reference to Exhibit 10.2 to Form 8-K filed on June 20, 2019 (File No.</w:t>
              </w:r>
            </w:hyperlink>
          </w:p>
        </w:tc>
      </w:tr>
      <w:tr>
        <w:trPr>
          <w:trHeight w:val="196"/>
        </w:trPr>
        <w:tc>
          <w:tcPr>
            <w:tcW w:w="1300" w:type="dxa"/>
            <w:vAlign w:val="bottom"/>
          </w:tcPr>
          <w:p>
            <w:pPr>
              <w:spacing w:after="0"/>
              <w:rPr>
                <w:sz w:val="17"/>
                <w:szCs w:val="17"/>
                <w:color w:val="auto"/>
              </w:rPr>
            </w:pPr>
          </w:p>
        </w:tc>
        <w:tc>
          <w:tcPr>
            <w:tcW w:w="1280" w:type="dxa"/>
            <w:vAlign w:val="bottom"/>
            <w:gridSpan w:val="3"/>
          </w:tcPr>
          <w:p>
            <w:pPr>
              <w:ind w:left="360"/>
              <w:spacing w:after="0" w:line="195" w:lineRule="exact"/>
              <w:rPr>
                <w:rFonts w:ascii="Times New Roman" w:cs="Times New Roman" w:eastAsia="Times New Roman" w:hAnsi="Times New Roman"/>
                <w:sz w:val="18"/>
                <w:szCs w:val="18"/>
                <w:color w:val="auto"/>
                <w:w w:val="96"/>
              </w:rPr>
            </w:pPr>
            <w:hyperlink r:id="rId172">
              <w:r>
                <w:rPr>
                  <w:rFonts w:ascii="Times New Roman" w:cs="Times New Roman" w:eastAsia="Times New Roman" w:hAnsi="Times New Roman"/>
                  <w:sz w:val="18"/>
                  <w:szCs w:val="18"/>
                  <w:color w:val="auto"/>
                  <w:w w:val="96"/>
                </w:rPr>
                <w:t>001- 38942).</w:t>
              </w:r>
            </w:hyperlink>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320" w:type="dxa"/>
            <w:vAlign w:val="bottom"/>
            <w:gridSpan w:val="11"/>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auto"/>
            </w:tcBorders>
            <w:gridSpan w:val="23"/>
          </w:tcPr>
          <w:p>
            <w:pPr>
              <w:spacing w:after="0"/>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Letter Agreement, by and between Arcturus Therapeutics, Inc. and the Cystic Fibrosis Foundation, dated May 16, 2017.</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auto"/>
            </w:tcBorders>
            <w:gridSpan w:val="12"/>
          </w:tcPr>
          <w:p>
            <w:pPr>
              <w:spacing w:after="0" w:line="195" w:lineRule="exact"/>
              <w:rPr>
                <w:rFonts w:ascii="Times New Roman" w:cs="Times New Roman" w:eastAsia="Times New Roman" w:hAnsi="Times New Roman"/>
                <w:sz w:val="18"/>
                <w:szCs w:val="18"/>
                <w:color w:val="auto"/>
                <w:w w:val="99"/>
              </w:rPr>
            </w:pPr>
            <w:hyperlink r:id="rId173">
              <w:r>
                <w:rPr>
                  <w:rFonts w:ascii="Times New Roman" w:cs="Times New Roman" w:eastAsia="Times New Roman" w:hAnsi="Times New Roman"/>
                  <w:sz w:val="18"/>
                  <w:szCs w:val="18"/>
                  <w:color w:val="auto"/>
                  <w:w w:val="99"/>
                </w:rPr>
                <w:t>Incorporated by reference to Exhibit 4.11 to Form 20-F filed on May 14, 2018 (File No. 001-35932).</w:t>
              </w:r>
            </w:hyperlink>
          </w:p>
        </w:tc>
        <w:tc>
          <w:tcPr>
            <w:tcW w:w="2340" w:type="dxa"/>
            <w:vAlign w:val="bottom"/>
            <w:gridSpan w:val="12"/>
          </w:tcPr>
          <w:p>
            <w:pPr>
              <w:spacing w:after="0"/>
              <w:rPr>
                <w:sz w:val="17"/>
                <w:szCs w:val="17"/>
                <w:color w:val="auto"/>
              </w:rPr>
            </w:pPr>
          </w:p>
        </w:tc>
      </w:tr>
      <w:tr>
        <w:trPr>
          <w:trHeight w:val="830"/>
        </w:trPr>
        <w:tc>
          <w:tcPr>
            <w:tcW w:w="1300" w:type="dxa"/>
            <w:vAlign w:val="bottom"/>
          </w:tcPr>
          <w:p>
            <w:pPr>
              <w:spacing w:after="0"/>
              <w:rPr>
                <w:sz w:val="24"/>
                <w:szCs w:val="24"/>
                <w:color w:val="auto"/>
              </w:rPr>
            </w:pPr>
          </w:p>
        </w:tc>
        <w:tc>
          <w:tcPr>
            <w:tcW w:w="4980" w:type="dxa"/>
            <w:vAlign w:val="bottom"/>
            <w:gridSpan w:val="10"/>
          </w:tcPr>
          <w:p>
            <w:pPr>
              <w:jc w:val="right"/>
              <w:ind w:right="560"/>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58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3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60" w:type="dxa"/>
            <w:vAlign w:val="bottom"/>
            <w:tcBorders>
              <w:bottom w:val="single" w:sz="8" w:color="auto"/>
            </w:tcBorders>
            <w:gridSpan w:val="20"/>
          </w:tcPr>
          <w:p>
            <w:pPr>
              <w:spacing w:after="0" w:line="189"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Amendment No. 2 to Letter Agreement, by and between Arcturus Therapeutics, Inc. and the Cystic Fibrosis Foundation, dated</w:t>
              </w:r>
            </w:hyperlink>
          </w:p>
        </w:tc>
        <w:tc>
          <w:tcPr>
            <w:tcW w:w="2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auto"/>
            </w:tcBorders>
            <w:gridSpan w:val="10"/>
          </w:tcPr>
          <w:p>
            <w:pPr>
              <w:spacing w:after="0" w:line="195" w:lineRule="exact"/>
              <w:rPr>
                <w:rFonts w:ascii="Times New Roman" w:cs="Times New Roman" w:eastAsia="Times New Roman" w:hAnsi="Times New Roman"/>
                <w:sz w:val="18"/>
                <w:szCs w:val="18"/>
                <w:color w:val="auto"/>
                <w:w w:val="99"/>
              </w:rPr>
            </w:pPr>
            <w:hyperlink r:id="rId176">
              <w:r>
                <w:rPr>
                  <w:rFonts w:ascii="Times New Roman" w:cs="Times New Roman" w:eastAsia="Times New Roman" w:hAnsi="Times New Roman"/>
                  <w:sz w:val="18"/>
                  <w:szCs w:val="18"/>
                  <w:color w:val="auto"/>
                  <w:w w:val="99"/>
                </w:rPr>
                <w:t>August 1, 2019. Incorporated by reference to Exhibit 10.16 to Form 10-Q filed on August 14, 2019.</w:t>
              </w:r>
            </w:hyperlink>
          </w:p>
        </w:tc>
        <w:tc>
          <w:tcPr>
            <w:tcW w:w="2400" w:type="dxa"/>
            <w:vAlign w:val="bottom"/>
            <w:gridSpan w:val="11"/>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1"/>
          </w:tcPr>
          <w:p>
            <w:pPr>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License Agreement, by and between Arcturus Therapeutics, Inc., as successor-in-interest to Marina Biotech, Inc., and Protiva</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auto"/>
            </w:tcBorders>
            <w:gridSpan w:val="20"/>
          </w:tcPr>
          <w:p>
            <w:pPr>
              <w:spacing w:after="0" w:line="195"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Biotherapeutics Inc., dated as of November 28, 2012. Incorporated by reference to Exhibit 4.14 to Form 20-F/A filed on July 10,</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auto"/>
            </w:tcBorders>
            <w:gridSpan w:val="2"/>
          </w:tcPr>
          <w:p>
            <w:pPr>
              <w:spacing w:after="0" w:line="195" w:lineRule="exact"/>
              <w:rPr>
                <w:rFonts w:ascii="Times New Roman" w:cs="Times New Roman" w:eastAsia="Times New Roman" w:hAnsi="Times New Roman"/>
                <w:sz w:val="18"/>
                <w:szCs w:val="18"/>
                <w:color w:val="auto"/>
                <w:w w:val="98"/>
              </w:rPr>
            </w:pPr>
            <w:hyperlink r:id="rId177">
              <w:r>
                <w:rPr>
                  <w:rFonts w:ascii="Times New Roman" w:cs="Times New Roman" w:eastAsia="Times New Roman" w:hAnsi="Times New Roman"/>
                  <w:sz w:val="18"/>
                  <w:szCs w:val="18"/>
                  <w:color w:val="auto"/>
                  <w:w w:val="98"/>
                </w:rPr>
                <w:t>2018 (File No. 001-35932).</w:t>
              </w:r>
            </w:hyperlink>
          </w:p>
        </w:tc>
        <w:tc>
          <w:tcPr>
            <w:tcW w:w="7600" w:type="dxa"/>
            <w:vAlign w:val="bottom"/>
            <w:gridSpan w:val="19"/>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1"/>
          </w:tcPr>
          <w:p>
            <w:pPr>
              <w:spacing w:after="0"/>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Amended and Restated Joint Venture, Research Collaboration and License Agreement, dated as of July 14, 2018 by and between</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auto"/>
            </w:tcBorders>
            <w:gridSpan w:val="21"/>
          </w:tcPr>
          <w:p>
            <w:pPr>
              <w:spacing w:after="0" w:line="195"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Arcturus Therapeutics, Inc. and Providence Therapeutics, Inc. Incorporated by reference to Exhibit 10.14 to the Company’s</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auto"/>
            </w:tcBorders>
            <w:gridSpan w:val="21"/>
          </w:tcPr>
          <w:p>
            <w:pPr>
              <w:spacing w:after="0" w:line="195"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Amendment No. 1 to Annual Report on Form 10-K for the year ended December 31, 2018 filed on April 10, 2019 (File No. 001-</w:t>
              </w:r>
            </w:hyperlink>
          </w:p>
        </w:tc>
      </w:tr>
      <w:tr>
        <w:trPr>
          <w:trHeight w:val="196"/>
        </w:trPr>
        <w:tc>
          <w:tcPr>
            <w:tcW w:w="1300" w:type="dxa"/>
            <w:vAlign w:val="bottom"/>
          </w:tcPr>
          <w:p>
            <w:pPr>
              <w:spacing w:after="0"/>
              <w:rPr>
                <w:sz w:val="17"/>
                <w:szCs w:val="17"/>
                <w:color w:val="auto"/>
              </w:rPr>
            </w:pPr>
          </w:p>
        </w:tc>
        <w:tc>
          <w:tcPr>
            <w:tcW w:w="900" w:type="dxa"/>
            <w:vAlign w:val="bottom"/>
            <w:gridSpan w:val="3"/>
          </w:tcPr>
          <w:p>
            <w:pPr>
              <w:ind w:left="360"/>
              <w:spacing w:after="0" w:line="195" w:lineRule="exact"/>
              <w:rPr>
                <w:rFonts w:ascii="Times New Roman" w:cs="Times New Roman" w:eastAsia="Times New Roman" w:hAnsi="Times New Roman"/>
                <w:sz w:val="18"/>
                <w:szCs w:val="18"/>
                <w:color w:val="auto"/>
                <w:w w:val="90"/>
              </w:rPr>
            </w:pPr>
            <w:hyperlink r:id="rId178">
              <w:r>
                <w:rPr>
                  <w:rFonts w:ascii="Times New Roman" w:cs="Times New Roman" w:eastAsia="Times New Roman" w:hAnsi="Times New Roman"/>
                  <w:sz w:val="18"/>
                  <w:szCs w:val="18"/>
                  <w:color w:val="auto"/>
                  <w:w w:val="90"/>
                </w:rPr>
                <w:t>35932).</w:t>
              </w:r>
            </w:hyperlink>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20" w:type="dxa"/>
            <w:vAlign w:val="bottom"/>
            <w:tcBorders>
              <w:left w:val="single" w:sz="8" w:color="0000EE"/>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1"/>
          </w:tcPr>
          <w:p>
            <w:pPr>
              <w:spacing w:after="0"/>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Lease Agreement, by and between Arcturus Therapeutics, Inc. and ARE-SD Region No. 44, LLC, dated October 4, 2017.</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tcBorders>
              <w:bottom w:val="single" w:sz="8" w:color="auto"/>
            </w:tcBorders>
            <w:gridSpan w:val="9"/>
          </w:tcPr>
          <w:p>
            <w:pPr>
              <w:spacing w:after="0" w:line="195" w:lineRule="exact"/>
              <w:rPr>
                <w:rFonts w:ascii="Times New Roman" w:cs="Times New Roman" w:eastAsia="Times New Roman" w:hAnsi="Times New Roman"/>
                <w:sz w:val="18"/>
                <w:szCs w:val="18"/>
                <w:color w:val="auto"/>
                <w:w w:val="99"/>
              </w:rPr>
            </w:pPr>
            <w:hyperlink r:id="rId179">
              <w:r>
                <w:rPr>
                  <w:rFonts w:ascii="Times New Roman" w:cs="Times New Roman" w:eastAsia="Times New Roman" w:hAnsi="Times New Roman"/>
                  <w:sz w:val="18"/>
                  <w:szCs w:val="18"/>
                  <w:color w:val="auto"/>
                  <w:w w:val="99"/>
                </w:rPr>
                <w:t>Incorporated by reference to Exhibit 4.6 to Form 20-F filed on May 14, 2018 (File No. 001-35932).</w:t>
              </w:r>
            </w:hyperlink>
          </w:p>
        </w:tc>
        <w:tc>
          <w:tcPr>
            <w:tcW w:w="2420" w:type="dxa"/>
            <w:vAlign w:val="bottom"/>
            <w:gridSpan w:val="12"/>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1"/>
          </w:tcPr>
          <w:p>
            <w:pPr>
              <w:spacing w:after="0"/>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First Amendment to Lease Agreement, by and between Arcturus Therapeutics Holdings Inc. and ARE-SD Region No. 44, LLC</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auto"/>
            </w:tcBorders>
            <w:gridSpan w:val="21"/>
          </w:tcPr>
          <w:p>
            <w:pPr>
              <w:spacing w:after="0" w:line="195"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dated February 1, 2020. Incorporated by reference to Exhibit 10.23 to the Company’s Annual Report on Form 10-K for the year</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1"/>
          </w:tcPr>
          <w:p>
            <w:pPr>
              <w:spacing w:after="0" w:line="195"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ended December 31, 2019 filed on March 16, 2020 (File No. 001-38942).</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auto"/>
            </w:tcBorders>
            <w:gridSpan w:val="21"/>
          </w:tcPr>
          <w:p>
            <w:pPr>
              <w:spacing w:after="0"/>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Acceptance Letter, dated March 4, 2020, by and between Arcturus Therapeutics Holdings Inc. and the Economic Development</w:t>
              </w:r>
            </w:hyperlink>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auto"/>
            </w:tcBorders>
            <w:gridSpan w:val="20"/>
          </w:tcPr>
          <w:p>
            <w:pPr>
              <w:spacing w:after="0" w:line="195" w:lineRule="exact"/>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Board of Singapore. Incorporated by reference to Exhibit 10.24 to the Company’s Annual Report on Form 10-K for the year ended</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auto"/>
            </w:tcBorders>
            <w:gridSpan w:val="7"/>
          </w:tcPr>
          <w:p>
            <w:pPr>
              <w:spacing w:after="0" w:line="195" w:lineRule="exact"/>
              <w:rPr>
                <w:rFonts w:ascii="Times New Roman" w:cs="Times New Roman" w:eastAsia="Times New Roman" w:hAnsi="Times New Roman"/>
                <w:sz w:val="18"/>
                <w:szCs w:val="18"/>
                <w:color w:val="auto"/>
                <w:w w:val="99"/>
              </w:rPr>
            </w:pPr>
            <w:hyperlink r:id="rId181">
              <w:r>
                <w:rPr>
                  <w:rFonts w:ascii="Times New Roman" w:cs="Times New Roman" w:eastAsia="Times New Roman" w:hAnsi="Times New Roman"/>
                  <w:sz w:val="18"/>
                  <w:szCs w:val="18"/>
                  <w:color w:val="auto"/>
                  <w:w w:val="99"/>
                </w:rPr>
                <w:t>December 31, 2019 filed on March 16, 2020 (File No. 001-38942).</w:t>
              </w:r>
            </w:hyperlink>
          </w:p>
        </w:tc>
        <w:tc>
          <w:tcPr>
            <w:tcW w:w="4760" w:type="dxa"/>
            <w:vAlign w:val="bottom"/>
            <w:gridSpan w:val="14"/>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tcBorders>
              <w:bottom w:val="single" w:sz="8" w:color="auto"/>
            </w:tcBorders>
            <w:gridSpan w:val="11"/>
          </w:tcPr>
          <w:p>
            <w:pPr>
              <w:spacing w:after="0"/>
              <w:rPr>
                <w:rFonts w:ascii="Times New Roman" w:cs="Times New Roman" w:eastAsia="Times New Roman" w:hAnsi="Times New Roman"/>
                <w:sz w:val="18"/>
                <w:szCs w:val="18"/>
                <w:color w:val="auto"/>
                <w:w w:val="99"/>
              </w:rPr>
            </w:pPr>
            <w:hyperlink r:id="rId182">
              <w:r>
                <w:rPr>
                  <w:rFonts w:ascii="Times New Roman" w:cs="Times New Roman" w:eastAsia="Times New Roman" w:hAnsi="Times New Roman"/>
                  <w:sz w:val="18"/>
                  <w:szCs w:val="18"/>
                  <w:color w:val="auto"/>
                  <w:w w:val="99"/>
                </w:rPr>
                <w:t>Manufacturing Support Agreement, dated November 7, 2020, by and between Arcturus Therapeutics Holdings Inc. and the</w:t>
              </w:r>
            </w:hyperlink>
          </w:p>
        </w:tc>
        <w:tc>
          <w:tcPr>
            <w:tcW w:w="700" w:type="dxa"/>
            <w:vAlign w:val="bottom"/>
            <w:gridSpan w:val="10"/>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auto"/>
            </w:tcBorders>
            <w:gridSpan w:val="19"/>
          </w:tcPr>
          <w:p>
            <w:pPr>
              <w:spacing w:after="0" w:line="195" w:lineRule="exact"/>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Economic Development Board of Singapore. Incorporated by reference to Exhibit 10.33 to Quarterly Report on Form 10-Q filed on</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auto"/>
            </w:tcBorders>
            <w:gridSpan w:val="3"/>
          </w:tcPr>
          <w:p>
            <w:pPr>
              <w:spacing w:after="0" w:line="195" w:lineRule="exact"/>
              <w:rPr>
                <w:rFonts w:ascii="Times New Roman" w:cs="Times New Roman" w:eastAsia="Times New Roman" w:hAnsi="Times New Roman"/>
                <w:sz w:val="18"/>
                <w:szCs w:val="18"/>
                <w:color w:val="auto"/>
                <w:w w:val="98"/>
              </w:rPr>
            </w:pPr>
            <w:hyperlink r:id="rId182">
              <w:r>
                <w:rPr>
                  <w:rFonts w:ascii="Times New Roman" w:cs="Times New Roman" w:eastAsia="Times New Roman" w:hAnsi="Times New Roman"/>
                  <w:sz w:val="18"/>
                  <w:szCs w:val="18"/>
                  <w:color w:val="auto"/>
                  <w:w w:val="98"/>
                </w:rPr>
                <w:t>November 9, 2020 (File No. 001-38942).</w:t>
              </w:r>
            </w:hyperlink>
          </w:p>
        </w:tc>
        <w:tc>
          <w:tcPr>
            <w:tcW w:w="6620" w:type="dxa"/>
            <w:vAlign w:val="bottom"/>
            <w:gridSpan w:val="18"/>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tcBorders>
              <w:bottom w:val="single" w:sz="8" w:color="auto"/>
            </w:tcBorders>
            <w:gridSpan w:val="13"/>
          </w:tcPr>
          <w:p>
            <w:pPr>
              <w:spacing w:after="0"/>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Fourth Amendment to Loan and Security Agreement, dated December 1, 2020, by and between Arcturus Therapeutics, Inc. and</w:t>
              </w:r>
            </w:hyperlink>
          </w:p>
        </w:tc>
        <w:tc>
          <w:tcPr>
            <w:tcW w:w="340" w:type="dxa"/>
            <w:vAlign w:val="bottom"/>
            <w:gridSpan w:val="8"/>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bottom w:val="single" w:sz="8" w:color="auto"/>
            </w:tcBorders>
            <w:gridSpan w:val="14"/>
          </w:tcPr>
          <w:p>
            <w:pPr>
              <w:spacing w:after="0" w:line="195" w:lineRule="exact"/>
              <w:rPr>
                <w:rFonts w:ascii="Times New Roman" w:cs="Times New Roman" w:eastAsia="Times New Roman" w:hAnsi="Times New Roman"/>
                <w:sz w:val="18"/>
                <w:szCs w:val="18"/>
                <w:color w:val="auto"/>
                <w:w w:val="99"/>
              </w:rPr>
            </w:pPr>
            <w:hyperlink r:id="rId183">
              <w:r>
                <w:rPr>
                  <w:rFonts w:ascii="Times New Roman" w:cs="Times New Roman" w:eastAsia="Times New Roman" w:hAnsi="Times New Roman"/>
                  <w:sz w:val="18"/>
                  <w:szCs w:val="18"/>
                  <w:color w:val="auto"/>
                  <w:w w:val="99"/>
                </w:rPr>
                <w:t>Western Alliance Bank. Incorporated by reference to Exhibit 10.1 to Form 8-K filed on December 7, 2020 (File No. 001-38942).</w:t>
              </w:r>
            </w:hyperlink>
          </w:p>
        </w:tc>
        <w:tc>
          <w:tcPr>
            <w:tcW w:w="320" w:type="dxa"/>
            <w:vAlign w:val="bottom"/>
            <w:gridSpan w:val="7"/>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21"/>
          </w:tcPr>
          <w:p>
            <w:pPr>
              <w:spacing w:after="0"/>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2020 Employee Stock Purchase Plan. Incorporated by reference to Exhibit 4.3 to Form S-8 filed on August 5, 2020 (File No. 001-</w:t>
              </w:r>
            </w:hyperlink>
          </w:p>
        </w:tc>
      </w:tr>
      <w:tr>
        <w:trPr>
          <w:trHeight w:val="20"/>
        </w:trPr>
        <w:tc>
          <w:tcPr>
            <w:tcW w:w="1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4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00" w:type="dxa"/>
            <w:vAlign w:val="bottom"/>
            <w:gridSpan w:val="3"/>
          </w:tcPr>
          <w:p>
            <w:pPr>
              <w:ind w:left="360"/>
              <w:spacing w:after="0" w:line="195" w:lineRule="exact"/>
              <w:rPr>
                <w:rFonts w:ascii="Times New Roman" w:cs="Times New Roman" w:eastAsia="Times New Roman" w:hAnsi="Times New Roman"/>
                <w:sz w:val="18"/>
                <w:szCs w:val="18"/>
                <w:color w:val="auto"/>
                <w:w w:val="90"/>
              </w:rPr>
            </w:pPr>
            <w:hyperlink r:id="rId184">
              <w:r>
                <w:rPr>
                  <w:rFonts w:ascii="Times New Roman" w:cs="Times New Roman" w:eastAsia="Times New Roman" w:hAnsi="Times New Roman"/>
                  <w:sz w:val="18"/>
                  <w:szCs w:val="18"/>
                  <w:color w:val="auto"/>
                  <w:w w:val="90"/>
                </w:rPr>
                <w:t>38942).</w:t>
              </w:r>
            </w:hyperlink>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auto"/>
            </w:tcBorders>
            <w:gridSpan w:val="18"/>
          </w:tcPr>
          <w:p>
            <w:pPr>
              <w:spacing w:after="0"/>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Second Amendment to Lease, by and between Arcturus Therapeutics, Inc. and ARE-SD Region No. 44, LLC, dated November 13,</w:t>
              </w:r>
            </w:hyperlink>
          </w:p>
        </w:tc>
        <w:tc>
          <w:tcPr>
            <w:tcW w:w="12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auto"/>
            </w:tcBorders>
            <w:gridSpan w:val="17"/>
          </w:tcPr>
          <w:p>
            <w:pPr>
              <w:spacing w:after="0" w:line="195" w:lineRule="exact"/>
              <w:rPr>
                <w:rFonts w:ascii="Times New Roman" w:cs="Times New Roman" w:eastAsia="Times New Roman" w:hAnsi="Times New Roman"/>
                <w:sz w:val="18"/>
                <w:szCs w:val="18"/>
                <w:color w:val="auto"/>
                <w:w w:val="99"/>
              </w:rPr>
            </w:pPr>
            <w:hyperlink r:id="rId185">
              <w:r>
                <w:rPr>
                  <w:rFonts w:ascii="Times New Roman" w:cs="Times New Roman" w:eastAsia="Times New Roman" w:hAnsi="Times New Roman"/>
                  <w:sz w:val="18"/>
                  <w:szCs w:val="18"/>
                  <w:color w:val="auto"/>
                  <w:w w:val="99"/>
                </w:rPr>
                <w:t>2020. Incorporated by reference to Exhibit 10.29 to the Company’s Annual Report on Form 10-K for the year ended December 31,</w:t>
              </w:r>
            </w:hyperlink>
          </w:p>
        </w:tc>
        <w:tc>
          <w:tcPr>
            <w:tcW w:w="140" w:type="dxa"/>
            <w:vAlign w:val="bottom"/>
            <w:gridSpan w:val="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auto"/>
            </w:tcBorders>
            <w:gridSpan w:val="4"/>
          </w:tcPr>
          <w:p>
            <w:pPr>
              <w:spacing w:after="0" w:line="195" w:lineRule="exact"/>
              <w:rPr>
                <w:rFonts w:ascii="Times New Roman" w:cs="Times New Roman" w:eastAsia="Times New Roman" w:hAnsi="Times New Roman"/>
                <w:sz w:val="18"/>
                <w:szCs w:val="18"/>
                <w:color w:val="auto"/>
                <w:w w:val="99"/>
              </w:rPr>
            </w:pPr>
            <w:hyperlink r:id="rId185">
              <w:r>
                <w:rPr>
                  <w:rFonts w:ascii="Times New Roman" w:cs="Times New Roman" w:eastAsia="Times New Roman" w:hAnsi="Times New Roman"/>
                  <w:sz w:val="18"/>
                  <w:szCs w:val="18"/>
                  <w:color w:val="auto"/>
                  <w:w w:val="99"/>
                </w:rPr>
                <w:t>2020 filed on March 1, 2020 (File No. 001-38942).</w:t>
              </w:r>
            </w:hyperlink>
          </w:p>
        </w:tc>
        <w:tc>
          <w:tcPr>
            <w:tcW w:w="5900" w:type="dxa"/>
            <w:vAlign w:val="bottom"/>
            <w:gridSpan w:val="17"/>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auto"/>
            </w:tcBorders>
            <w:gridSpan w:val="12"/>
          </w:tcPr>
          <w:p>
            <w:pPr>
              <w:spacing w:after="0"/>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Third Amendment to Lease, by and between Arcturus Therapeutics, Inc. and ARE-SD Region No. 44, LLC, dated February 25,</w:t>
              </w:r>
            </w:hyperlink>
          </w:p>
        </w:tc>
        <w:tc>
          <w:tcPr>
            <w:tcW w:w="360" w:type="dxa"/>
            <w:vAlign w:val="bottom"/>
            <w:gridSpan w:val="9"/>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auto"/>
            </w:tcBorders>
            <w:gridSpan w:val="17"/>
          </w:tcPr>
          <w:p>
            <w:pPr>
              <w:spacing w:after="0" w:line="195" w:lineRule="exact"/>
              <w:rPr>
                <w:rFonts w:ascii="Times New Roman" w:cs="Times New Roman" w:eastAsia="Times New Roman" w:hAnsi="Times New Roman"/>
                <w:sz w:val="18"/>
                <w:szCs w:val="18"/>
                <w:color w:val="auto"/>
                <w:w w:val="99"/>
              </w:rPr>
            </w:pPr>
            <w:hyperlink r:id="rId186">
              <w:r>
                <w:rPr>
                  <w:rFonts w:ascii="Times New Roman" w:cs="Times New Roman" w:eastAsia="Times New Roman" w:hAnsi="Times New Roman"/>
                  <w:sz w:val="18"/>
                  <w:szCs w:val="18"/>
                  <w:color w:val="auto"/>
                  <w:w w:val="99"/>
                </w:rPr>
                <w:t>2021. Incorporated by reference to Exhibit 10.30 to the Company’s Annual Report on Form 10-K for the year ended December 31,</w:t>
              </w:r>
            </w:hyperlink>
          </w:p>
        </w:tc>
        <w:tc>
          <w:tcPr>
            <w:tcW w:w="140" w:type="dxa"/>
            <w:vAlign w:val="bottom"/>
            <w:gridSpan w:val="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auto"/>
            </w:tcBorders>
            <w:gridSpan w:val="4"/>
          </w:tcPr>
          <w:p>
            <w:pPr>
              <w:spacing w:after="0" w:line="195" w:lineRule="exact"/>
              <w:rPr>
                <w:rFonts w:ascii="Times New Roman" w:cs="Times New Roman" w:eastAsia="Times New Roman" w:hAnsi="Times New Roman"/>
                <w:sz w:val="18"/>
                <w:szCs w:val="18"/>
                <w:color w:val="auto"/>
                <w:w w:val="99"/>
              </w:rPr>
            </w:pPr>
            <w:hyperlink r:id="rId186">
              <w:r>
                <w:rPr>
                  <w:rFonts w:ascii="Times New Roman" w:cs="Times New Roman" w:eastAsia="Times New Roman" w:hAnsi="Times New Roman"/>
                  <w:sz w:val="18"/>
                  <w:szCs w:val="18"/>
                  <w:color w:val="auto"/>
                  <w:w w:val="99"/>
                </w:rPr>
                <w:t>2020 filed on March 1, 2021 (File No. 001-38942).</w:t>
              </w:r>
            </w:hyperlink>
          </w:p>
        </w:tc>
        <w:tc>
          <w:tcPr>
            <w:tcW w:w="5900" w:type="dxa"/>
            <w:vAlign w:val="bottom"/>
            <w:gridSpan w:val="17"/>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auto"/>
            </w:tcBorders>
            <w:gridSpan w:val="16"/>
          </w:tcPr>
          <w:p>
            <w:pPr>
              <w:spacing w:after="0"/>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Arcturus Therapeutics Holdings Inc. Severance Policy for Executives. Incorporated by reference to Exhibit 10.1 to Current Report</w:t>
              </w:r>
            </w:hyperlink>
          </w:p>
        </w:tc>
        <w:tc>
          <w:tcPr>
            <w:tcW w:w="160" w:type="dxa"/>
            <w:vAlign w:val="bottom"/>
            <w:gridSpan w:val="5"/>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auto"/>
            </w:tcBorders>
            <w:gridSpan w:val="5"/>
          </w:tcPr>
          <w:p>
            <w:pPr>
              <w:spacing w:after="0" w:line="195" w:lineRule="exact"/>
              <w:rPr>
                <w:rFonts w:ascii="Times New Roman" w:cs="Times New Roman" w:eastAsia="Times New Roman" w:hAnsi="Times New Roman"/>
                <w:sz w:val="18"/>
                <w:szCs w:val="18"/>
                <w:color w:val="auto"/>
                <w:w w:val="99"/>
              </w:rPr>
            </w:pPr>
            <w:hyperlink r:id="rId187">
              <w:r>
                <w:rPr>
                  <w:rFonts w:ascii="Times New Roman" w:cs="Times New Roman" w:eastAsia="Times New Roman" w:hAnsi="Times New Roman"/>
                  <w:sz w:val="18"/>
                  <w:szCs w:val="18"/>
                  <w:color w:val="auto"/>
                  <w:w w:val="99"/>
                </w:rPr>
                <w:t>on Form 8-K filed on April 26, 2021 (File No. 001-38942).</w:t>
              </w:r>
            </w:hyperlink>
          </w:p>
        </w:tc>
        <w:tc>
          <w:tcPr>
            <w:tcW w:w="5320" w:type="dxa"/>
            <w:vAlign w:val="bottom"/>
            <w:gridSpan w:val="16"/>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auto"/>
            </w:tcBorders>
            <w:gridSpan w:val="18"/>
          </w:tcPr>
          <w:p>
            <w:pPr>
              <w:spacing w:after="0"/>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Employment Agreement, dated as of June 13, 2019, between the Company and Joseph Payne. Incorporated by reference to Exhibit</w:t>
              </w:r>
            </w:hyperlink>
          </w:p>
        </w:tc>
        <w:tc>
          <w:tcPr>
            <w:tcW w:w="12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auto"/>
            </w:tcBorders>
            <w:gridSpan w:val="6"/>
          </w:tcPr>
          <w:p>
            <w:pPr>
              <w:spacing w:after="0" w:line="195" w:lineRule="exact"/>
              <w:rPr>
                <w:rFonts w:ascii="Times New Roman" w:cs="Times New Roman" w:eastAsia="Times New Roman" w:hAnsi="Times New Roman"/>
                <w:sz w:val="18"/>
                <w:szCs w:val="18"/>
                <w:color w:val="auto"/>
                <w:w w:val="99"/>
              </w:rPr>
            </w:pPr>
            <w:hyperlink r:id="rId188">
              <w:r>
                <w:rPr>
                  <w:rFonts w:ascii="Times New Roman" w:cs="Times New Roman" w:eastAsia="Times New Roman" w:hAnsi="Times New Roman"/>
                  <w:sz w:val="18"/>
                  <w:szCs w:val="18"/>
                  <w:color w:val="auto"/>
                  <w:w w:val="99"/>
                </w:rPr>
                <w:t>10.</w:t>
              </w:r>
              <w:r>
                <w:rPr>
                  <w:rFonts w:ascii="Times New Roman" w:cs="Times New Roman" w:eastAsia="Times New Roman" w:hAnsi="Times New Roman"/>
                  <w:sz w:val="18"/>
                  <w:szCs w:val="18"/>
                  <w:u w:val="single" w:color="auto"/>
                  <w:color w:val="auto"/>
                  <w:w w:val="99"/>
                </w:rPr>
                <w:t>1</w:t>
              </w:r>
              <w:r>
                <w:rPr>
                  <w:rFonts w:ascii="Times New Roman" w:cs="Times New Roman" w:eastAsia="Times New Roman" w:hAnsi="Times New Roman"/>
                  <w:sz w:val="18"/>
                  <w:szCs w:val="18"/>
                  <w:color w:val="auto"/>
                  <w:w w:val="99"/>
                </w:rPr>
                <w:t xml:space="preserve"> to Form 8-K12B filed on June 14, 2019 (File No. 001-38942)</w:t>
              </w:r>
            </w:hyperlink>
          </w:p>
        </w:tc>
        <w:tc>
          <w:tcPr>
            <w:tcW w:w="4800" w:type="dxa"/>
            <w:vAlign w:val="bottom"/>
            <w:gridSpan w:val="15"/>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auto"/>
            </w:tcBorders>
            <w:gridSpan w:val="18"/>
          </w:tcPr>
          <w:p>
            <w:pPr>
              <w:spacing w:after="0"/>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Employment Agreement, dated as of June 13, 2019, between the Company and Andy Sassine. Incorporated by reference to Exhibit</w:t>
              </w:r>
            </w:hyperlink>
          </w:p>
        </w:tc>
        <w:tc>
          <w:tcPr>
            <w:tcW w:w="12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auto"/>
            </w:tcBorders>
            <w:gridSpan w:val="6"/>
          </w:tcPr>
          <w:p>
            <w:pPr>
              <w:spacing w:after="0" w:line="195" w:lineRule="exact"/>
              <w:rPr>
                <w:rFonts w:ascii="Times New Roman" w:cs="Times New Roman" w:eastAsia="Times New Roman" w:hAnsi="Times New Roman"/>
                <w:sz w:val="18"/>
                <w:szCs w:val="18"/>
                <w:color w:val="auto"/>
                <w:w w:val="99"/>
              </w:rPr>
            </w:pPr>
            <w:hyperlink r:id="rId189">
              <w:r>
                <w:rPr>
                  <w:rFonts w:ascii="Times New Roman" w:cs="Times New Roman" w:eastAsia="Times New Roman" w:hAnsi="Times New Roman"/>
                  <w:sz w:val="18"/>
                  <w:szCs w:val="18"/>
                  <w:color w:val="auto"/>
                  <w:w w:val="99"/>
                </w:rPr>
                <w:t>10.</w:t>
              </w:r>
              <w:r>
                <w:rPr>
                  <w:rFonts w:ascii="Times New Roman" w:cs="Times New Roman" w:eastAsia="Times New Roman" w:hAnsi="Times New Roman"/>
                  <w:sz w:val="18"/>
                  <w:szCs w:val="18"/>
                  <w:u w:val="single" w:color="auto"/>
                  <w:color w:val="auto"/>
                  <w:w w:val="99"/>
                </w:rPr>
                <w:t>2</w:t>
              </w:r>
              <w:r>
                <w:rPr>
                  <w:rFonts w:ascii="Times New Roman" w:cs="Times New Roman" w:eastAsia="Times New Roman" w:hAnsi="Times New Roman"/>
                  <w:sz w:val="18"/>
                  <w:szCs w:val="18"/>
                  <w:color w:val="auto"/>
                  <w:w w:val="99"/>
                </w:rPr>
                <w:t xml:space="preserve"> to Form 8-K12B filed on June 14, 2019 (File No. 001-38942)</w:t>
              </w:r>
            </w:hyperlink>
          </w:p>
        </w:tc>
        <w:tc>
          <w:tcPr>
            <w:tcW w:w="4800" w:type="dxa"/>
            <w:vAlign w:val="bottom"/>
            <w:gridSpan w:val="15"/>
          </w:tcPr>
          <w:p>
            <w:pPr>
              <w:spacing w:after="0"/>
              <w:rPr>
                <w:sz w:val="17"/>
                <w:szCs w:val="17"/>
                <w:color w:val="auto"/>
              </w:rPr>
            </w:pPr>
          </w:p>
        </w:tc>
      </w:tr>
      <w:tr>
        <w:trPr>
          <w:trHeight w:val="681"/>
        </w:trPr>
        <w:tc>
          <w:tcPr>
            <w:tcW w:w="1300" w:type="dxa"/>
            <w:vAlign w:val="bottom"/>
          </w:tcPr>
          <w:p>
            <w:pPr>
              <w:spacing w:after="0"/>
              <w:rPr>
                <w:sz w:val="24"/>
                <w:szCs w:val="24"/>
                <w:color w:val="auto"/>
              </w:rPr>
            </w:pPr>
          </w:p>
        </w:tc>
        <w:tc>
          <w:tcPr>
            <w:tcW w:w="46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58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37"/>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bottom w:val="single" w:sz="8" w:color="auto"/>
            </w:tcBorders>
            <w:gridSpan w:val="11"/>
          </w:tcPr>
          <w:p>
            <w:pPr>
              <w:spacing w:after="0"/>
              <w:rPr>
                <w:rFonts w:ascii="Times New Roman" w:cs="Times New Roman" w:eastAsia="Times New Roman" w:hAnsi="Times New Roman"/>
                <w:sz w:val="18"/>
                <w:szCs w:val="18"/>
                <w:color w:val="auto"/>
                <w:w w:val="99"/>
              </w:rPr>
            </w:pPr>
            <w:hyperlink r:id="rId192">
              <w:r>
                <w:rPr>
                  <w:rFonts w:ascii="Times New Roman" w:cs="Times New Roman" w:eastAsia="Times New Roman" w:hAnsi="Times New Roman"/>
                  <w:sz w:val="18"/>
                  <w:szCs w:val="18"/>
                  <w:color w:val="auto"/>
                  <w:w w:val="99"/>
                </w:rPr>
                <w:t>Employment Agreement, dated as of June 13, 2019, between the Company and Dr. Padmanabh Chivukula. Incorporated by</w:t>
              </w:r>
            </w:hyperlink>
          </w:p>
        </w:tc>
        <w:tc>
          <w:tcPr>
            <w:tcW w:w="680" w:type="dxa"/>
            <w:vAlign w:val="bottom"/>
            <w:gridSpan w:val="17"/>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8"/>
          </w:tcPr>
          <w:p>
            <w:pPr>
              <w:spacing w:after="0" w:line="195" w:lineRule="exact"/>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reference to Exhibit 10.3 to Form 8-K12B filed on June 14, 2019 (File No. 001-38942)</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auto"/>
            </w:tcBorders>
            <w:gridSpan w:val="21"/>
          </w:tcPr>
          <w:p>
            <w:pPr>
              <w:spacing w:after="0"/>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2021 Inducement Equity Incentive Plan. Incorporated by reference to Exhibit 4.1 to Form S-8 filed on October 20, 2021 (File No.</w:t>
              </w:r>
            </w:hyperlink>
          </w:p>
        </w:tc>
        <w:tc>
          <w:tcPr>
            <w:tcW w:w="200" w:type="dxa"/>
            <w:vAlign w:val="bottom"/>
            <w:gridSpan w:val="7"/>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320" w:type="dxa"/>
            <w:vAlign w:val="bottom"/>
            <w:gridSpan w:val="4"/>
          </w:tcPr>
          <w:p>
            <w:pPr>
              <w:ind w:left="360"/>
              <w:spacing w:after="0" w:line="195" w:lineRule="exact"/>
              <w:rPr>
                <w:rFonts w:ascii="Times New Roman" w:cs="Times New Roman" w:eastAsia="Times New Roman" w:hAnsi="Times New Roman"/>
                <w:sz w:val="18"/>
                <w:szCs w:val="18"/>
                <w:color w:val="auto"/>
                <w:w w:val="96"/>
              </w:rPr>
            </w:pPr>
            <w:hyperlink r:id="rId193">
              <w:r>
                <w:rPr>
                  <w:rFonts w:ascii="Times New Roman" w:cs="Times New Roman" w:eastAsia="Times New Roman" w:hAnsi="Times New Roman"/>
                  <w:sz w:val="18"/>
                  <w:szCs w:val="18"/>
                  <w:color w:val="auto"/>
                  <w:w w:val="96"/>
                </w:rPr>
                <w:t>333-260391).</w:t>
              </w:r>
            </w:hyperlink>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auto"/>
            </w:tcBorders>
            <w:gridSpan w:val="27"/>
          </w:tcPr>
          <w:p>
            <w:pPr>
              <w:spacing w:after="0"/>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Fifth Amendment to Loan and Security Agreement, dated October 27, 2021, by and between Arcturus Therapeutics, Inc. and</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auto"/>
            </w:tcBorders>
            <w:gridSpan w:val="25"/>
          </w:tcPr>
          <w:p>
            <w:pPr>
              <w:spacing w:after="0" w:line="195" w:lineRule="exact"/>
              <w:rPr>
                <w:rFonts w:ascii="Times New Roman" w:cs="Times New Roman" w:eastAsia="Times New Roman" w:hAnsi="Times New Roman"/>
                <w:sz w:val="18"/>
                <w:szCs w:val="18"/>
                <w:color w:val="auto"/>
                <w:w w:val="99"/>
              </w:rPr>
            </w:pPr>
            <w:hyperlink r:id="rId194">
              <w:r>
                <w:rPr>
                  <w:rFonts w:ascii="Times New Roman" w:cs="Times New Roman" w:eastAsia="Times New Roman" w:hAnsi="Times New Roman"/>
                  <w:sz w:val="18"/>
                  <w:szCs w:val="18"/>
                  <w:color w:val="auto"/>
                  <w:w w:val="99"/>
                </w:rPr>
                <w:t>Western Alliance Bank. Incorporated by reference to Exhibit 10.34 to Form 10-Q filed on November 9, 2021 (File No. 001-38942).</w:t>
              </w:r>
            </w:hyperlink>
          </w:p>
        </w:tc>
        <w:tc>
          <w:tcPr>
            <w:tcW w:w="120" w:type="dxa"/>
            <w:vAlign w:val="bottom"/>
            <w:gridSpan w:val="3"/>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tcBorders>
              <w:bottom w:val="single" w:sz="8" w:color="auto"/>
            </w:tcBorders>
            <w:gridSpan w:val="16"/>
          </w:tcPr>
          <w:p>
            <w:pPr>
              <w:spacing w:after="0"/>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Lease, by and between Arcturus Therapeutics, Inc. and TPSC IX, LLC, dated September 29, 2021. Incorporated by reference to</w:t>
              </w:r>
            </w:hyperlink>
          </w:p>
        </w:tc>
        <w:tc>
          <w:tcPr>
            <w:tcW w:w="340" w:type="dxa"/>
            <w:vAlign w:val="bottom"/>
            <w:gridSpan w:val="1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bottom w:val="single" w:sz="8" w:color="auto"/>
            </w:tcBorders>
            <w:gridSpan w:val="6"/>
          </w:tcPr>
          <w:p>
            <w:pPr>
              <w:spacing w:after="0" w:line="195" w:lineRule="exact"/>
              <w:rPr>
                <w:rFonts w:ascii="Times New Roman" w:cs="Times New Roman" w:eastAsia="Times New Roman" w:hAnsi="Times New Roman"/>
                <w:sz w:val="18"/>
                <w:szCs w:val="18"/>
                <w:color w:val="auto"/>
                <w:w w:val="99"/>
              </w:rPr>
            </w:pPr>
            <w:hyperlink r:id="rId195">
              <w:r>
                <w:rPr>
                  <w:rFonts w:ascii="Times New Roman" w:cs="Times New Roman" w:eastAsia="Times New Roman" w:hAnsi="Times New Roman"/>
                  <w:sz w:val="18"/>
                  <w:szCs w:val="18"/>
                  <w:color w:val="auto"/>
                  <w:w w:val="99"/>
                </w:rPr>
                <w:t>Exhibit 10.35 to Form 10-Q filed on November 9, 2021 (File No. 001-38942).</w:t>
              </w:r>
            </w:hyperlink>
          </w:p>
        </w:tc>
        <w:tc>
          <w:tcPr>
            <w:tcW w:w="3960" w:type="dxa"/>
            <w:vAlign w:val="bottom"/>
            <w:gridSpan w:val="22"/>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auto"/>
            </w:tcBorders>
            <w:gridSpan w:val="25"/>
          </w:tcPr>
          <w:p>
            <w:pPr>
              <w:spacing w:after="0"/>
              <w:rPr>
                <w:rFonts w:ascii="Times New Roman" w:cs="Times New Roman" w:eastAsia="Times New Roman" w:hAnsi="Times New Roman"/>
                <w:sz w:val="18"/>
                <w:szCs w:val="18"/>
                <w:color w:val="auto"/>
                <w:w w:val="99"/>
              </w:rPr>
            </w:pPr>
            <w:hyperlink r:id="rId196">
              <w:r>
                <w:rPr>
                  <w:rFonts w:ascii="Times New Roman" w:cs="Times New Roman" w:eastAsia="Times New Roman" w:hAnsi="Times New Roman"/>
                  <w:sz w:val="18"/>
                  <w:szCs w:val="18"/>
                  <w:color w:val="auto"/>
                  <w:w w:val="99"/>
                </w:rPr>
                <w:t>Technology License and Technical Support Agreement, signed July 29, 2021 and effective July 30, 2021, by and between Arcturus</w:t>
              </w:r>
            </w:hyperlink>
          </w:p>
        </w:tc>
        <w:tc>
          <w:tcPr>
            <w:tcW w:w="12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bottom w:val="single" w:sz="8" w:color="auto"/>
            </w:tcBorders>
            <w:gridSpan w:val="20"/>
          </w:tcPr>
          <w:p>
            <w:pPr>
              <w:spacing w:after="0" w:line="195" w:lineRule="exact"/>
              <w:rPr>
                <w:rFonts w:ascii="Times New Roman" w:cs="Times New Roman" w:eastAsia="Times New Roman" w:hAnsi="Times New Roman"/>
                <w:sz w:val="18"/>
                <w:szCs w:val="18"/>
                <w:color w:val="auto"/>
                <w:w w:val="99"/>
              </w:rPr>
            </w:pPr>
            <w:hyperlink r:id="rId196">
              <w:r>
                <w:rPr>
                  <w:rFonts w:ascii="Times New Roman" w:cs="Times New Roman" w:eastAsia="Times New Roman" w:hAnsi="Times New Roman"/>
                  <w:sz w:val="18"/>
                  <w:szCs w:val="18"/>
                  <w:color w:val="auto"/>
                  <w:w w:val="99"/>
                </w:rPr>
                <w:t>Therapeutics, Inc. and Vinbiotech Research and Manufacture Joint Stock Company. Incorporated by reference to Exhibit 10.32 to</w:t>
              </w:r>
            </w:hyperlink>
          </w:p>
        </w:tc>
        <w:tc>
          <w:tcPr>
            <w:tcW w:w="220" w:type="dxa"/>
            <w:vAlign w:val="bottom"/>
            <w:gridSpan w:val="8"/>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8"/>
          </w:tcPr>
          <w:p>
            <w:pPr>
              <w:spacing w:after="0" w:line="195"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Quarterly Report on Form 10-Q filed on August 10, 2021 (File No. 001-38942).</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tcBorders>
              <w:bottom w:val="single" w:sz="8" w:color="auto"/>
            </w:tcBorders>
            <w:gridSpan w:val="12"/>
          </w:tcPr>
          <w:p>
            <w:pPr>
              <w:spacing w:after="0"/>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Framework Drug Substance Supply Agreement, signed July 29, 2021 and effective July 30, 2021, by and between Arcturus</w:t>
              </w:r>
            </w:hyperlink>
          </w:p>
        </w:tc>
        <w:tc>
          <w:tcPr>
            <w:tcW w:w="660" w:type="dxa"/>
            <w:vAlign w:val="bottom"/>
            <w:gridSpan w:val="16"/>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bottom w:val="single" w:sz="8" w:color="auto"/>
            </w:tcBorders>
            <w:gridSpan w:val="20"/>
          </w:tcPr>
          <w:p>
            <w:pPr>
              <w:spacing w:after="0" w:line="195" w:lineRule="exact"/>
              <w:rPr>
                <w:rFonts w:ascii="Times New Roman" w:cs="Times New Roman" w:eastAsia="Times New Roman" w:hAnsi="Times New Roman"/>
                <w:sz w:val="18"/>
                <w:szCs w:val="18"/>
                <w:color w:val="auto"/>
                <w:w w:val="99"/>
              </w:rPr>
            </w:pPr>
            <w:hyperlink r:id="rId197">
              <w:r>
                <w:rPr>
                  <w:rFonts w:ascii="Times New Roman" w:cs="Times New Roman" w:eastAsia="Times New Roman" w:hAnsi="Times New Roman"/>
                  <w:sz w:val="18"/>
                  <w:szCs w:val="18"/>
                  <w:color w:val="auto"/>
                  <w:w w:val="99"/>
                </w:rPr>
                <w:t>Therapeutics, Inc. and Vinbiotech Research and Manufacture Joint Stock Company. Incorporated by reference to Exhibit 10.33 to</w:t>
              </w:r>
            </w:hyperlink>
          </w:p>
        </w:tc>
        <w:tc>
          <w:tcPr>
            <w:tcW w:w="220" w:type="dxa"/>
            <w:vAlign w:val="bottom"/>
            <w:gridSpan w:val="8"/>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8"/>
          </w:tcPr>
          <w:p>
            <w:pPr>
              <w:spacing w:after="0" w:line="195"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Quarterly Report on Form 10-Q filed on August 10, 2021 (File No. 001-38942).</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auto"/>
            </w:tcBorders>
            <w:gridSpan w:val="26"/>
          </w:tcPr>
          <w:p>
            <w:pPr>
              <w:spacing w:after="0"/>
              <w:rPr>
                <w:rFonts w:ascii="Times New Roman" w:cs="Times New Roman" w:eastAsia="Times New Roman" w:hAnsi="Times New Roman"/>
                <w:sz w:val="18"/>
                <w:szCs w:val="18"/>
                <w:color w:val="auto"/>
                <w:w w:val="99"/>
              </w:rPr>
            </w:pPr>
            <w:hyperlink r:id="rId198">
              <w:r>
                <w:rPr>
                  <w:rFonts w:ascii="Times New Roman" w:cs="Times New Roman" w:eastAsia="Times New Roman" w:hAnsi="Times New Roman"/>
                  <w:sz w:val="18"/>
                  <w:szCs w:val="18"/>
                  <w:color w:val="auto"/>
                  <w:w w:val="99"/>
                </w:rPr>
                <w:t>Sixth Amendment to Loan and Security Agreement, dated April 19, 2022, by and between Arcturus Therapeutics, Inc. and Western</w:t>
              </w:r>
            </w:hyperlink>
          </w:p>
        </w:tc>
        <w:tc>
          <w:tcPr>
            <w:tcW w:w="100" w:type="dxa"/>
            <w:vAlign w:val="bottom"/>
            <w:gridSpan w:val="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bottom w:val="single" w:sz="8" w:color="auto"/>
            </w:tcBorders>
            <w:gridSpan w:val="19"/>
          </w:tcPr>
          <w:p>
            <w:pPr>
              <w:spacing w:after="0" w:line="195" w:lineRule="exact"/>
              <w:rPr>
                <w:rFonts w:ascii="Times New Roman" w:cs="Times New Roman" w:eastAsia="Times New Roman" w:hAnsi="Times New Roman"/>
                <w:sz w:val="18"/>
                <w:szCs w:val="18"/>
                <w:color w:val="auto"/>
                <w:w w:val="99"/>
              </w:rPr>
            </w:pPr>
            <w:hyperlink r:id="rId198">
              <w:r>
                <w:rPr>
                  <w:rFonts w:ascii="Times New Roman" w:cs="Times New Roman" w:eastAsia="Times New Roman" w:hAnsi="Times New Roman"/>
                  <w:sz w:val="18"/>
                  <w:szCs w:val="18"/>
                  <w:color w:val="auto"/>
                  <w:w w:val="99"/>
                </w:rPr>
                <w:t>Alliance Bank. Incorporated by reference to Exhibit 10.36 to Quarterly Report on Form 10-Q filed on May 9, 2022 (File No. 001-</w:t>
              </w:r>
            </w:hyperlink>
          </w:p>
        </w:tc>
        <w:tc>
          <w:tcPr>
            <w:tcW w:w="240" w:type="dxa"/>
            <w:vAlign w:val="bottom"/>
            <w:gridSpan w:val="9"/>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900" w:type="dxa"/>
            <w:vAlign w:val="bottom"/>
            <w:gridSpan w:val="3"/>
          </w:tcPr>
          <w:p>
            <w:pPr>
              <w:ind w:left="360"/>
              <w:spacing w:after="0" w:line="195" w:lineRule="exact"/>
              <w:rPr>
                <w:rFonts w:ascii="Times New Roman" w:cs="Times New Roman" w:eastAsia="Times New Roman" w:hAnsi="Times New Roman"/>
                <w:sz w:val="18"/>
                <w:szCs w:val="18"/>
                <w:color w:val="auto"/>
                <w:w w:val="93"/>
              </w:rPr>
            </w:pPr>
            <w:hyperlink r:id="rId198">
              <w:r>
                <w:rPr>
                  <w:rFonts w:ascii="Times New Roman" w:cs="Times New Roman" w:eastAsia="Times New Roman" w:hAnsi="Times New Roman"/>
                  <w:sz w:val="18"/>
                  <w:szCs w:val="18"/>
                  <w:color w:val="auto"/>
                  <w:w w:val="93"/>
                </w:rPr>
                <w:t>38942).</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auto"/>
            </w:tcBorders>
            <w:gridSpan w:val="14"/>
          </w:tcPr>
          <w:p>
            <w:pPr>
              <w:spacing w:after="0"/>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Amended and Restated 2019 Omnibus Equity Incentive Plan, as amended. Incorporated by reference to Exhibit 10.1 to Current</w:t>
              </w:r>
            </w:hyperlink>
          </w:p>
        </w:tc>
        <w:tc>
          <w:tcPr>
            <w:tcW w:w="380" w:type="dxa"/>
            <w:vAlign w:val="bottom"/>
            <w:gridSpan w:val="14"/>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Report on Form 8-K filed on June 24, 2022 (File No. 001-38942).</w:t>
              </w:r>
            </w:hyperlink>
          </w:p>
        </w:tc>
        <w:tc>
          <w:tcPr>
            <w:tcW w:w="4800" w:type="dxa"/>
            <w:vAlign w:val="bottom"/>
            <w:gridSpan w:val="23"/>
          </w:tcPr>
          <w:p>
            <w:pPr>
              <w:spacing w:after="0"/>
              <w:rPr>
                <w:sz w:val="17"/>
                <w:szCs w:val="17"/>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18"/>
          </w:tcPr>
          <w:p>
            <w:pPr>
              <w:spacing w:after="0"/>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Study Support Agreement effective October 31, 2022 by and between Arcturus Therapeutics, Inc. and Vinbiocare Biotechnology</w:t>
              </w:r>
            </w:hyperlink>
          </w:p>
        </w:tc>
        <w:tc>
          <w:tcPr>
            <w:tcW w:w="260" w:type="dxa"/>
            <w:vAlign w:val="bottom"/>
            <w:gridSpan w:val="10"/>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auto"/>
            </w:tcBorders>
            <w:gridSpan w:val="17"/>
          </w:tcPr>
          <w:p>
            <w:pPr>
              <w:spacing w:after="0" w:line="195" w:lineRule="exact"/>
              <w:rPr>
                <w:rFonts w:ascii="Times New Roman" w:cs="Times New Roman" w:eastAsia="Times New Roman" w:hAnsi="Times New Roman"/>
                <w:sz w:val="18"/>
                <w:szCs w:val="18"/>
                <w:color w:val="auto"/>
                <w:w w:val="99"/>
              </w:rPr>
            </w:pPr>
            <w:hyperlink r:id="rId200">
              <w:r>
                <w:rPr>
                  <w:rFonts w:ascii="Times New Roman" w:cs="Times New Roman" w:eastAsia="Times New Roman" w:hAnsi="Times New Roman"/>
                  <w:sz w:val="18"/>
                  <w:szCs w:val="18"/>
                  <w:color w:val="auto"/>
                  <w:w w:val="99"/>
                </w:rPr>
                <w:t>Joint Stock Company. Incorporated by reference to Exhibit 10.1 to Current Report on Form 8-K filed on November 4, 2022 (File</w:t>
              </w:r>
            </w:hyperlink>
          </w:p>
        </w:tc>
        <w:tc>
          <w:tcPr>
            <w:tcW w:w="280" w:type="dxa"/>
            <w:vAlign w:val="bottom"/>
            <w:gridSpan w:val="11"/>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No. 001-38942).</w:t>
              </w:r>
            </w:hyperlink>
          </w:p>
        </w:tc>
        <w:tc>
          <w:tcPr>
            <w:tcW w:w="8340" w:type="dxa"/>
            <w:vAlign w:val="bottom"/>
            <w:gridSpan w:val="25"/>
          </w:tcPr>
          <w:p>
            <w:pPr>
              <w:spacing w:after="0"/>
              <w:rPr>
                <w:sz w:val="17"/>
                <w:szCs w:val="17"/>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auto"/>
            </w:tcBorders>
            <w:gridSpan w:val="13"/>
          </w:tcPr>
          <w:p>
            <w:pPr>
              <w:spacing w:after="0"/>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Cost Reimbursement Contract dated August 31, 2022, by and between Arcturus Therapeutics Holdings Inc. and Biomedical</w:t>
              </w:r>
            </w:hyperlink>
          </w:p>
        </w:tc>
        <w:tc>
          <w:tcPr>
            <w:tcW w:w="620" w:type="dxa"/>
            <w:vAlign w:val="bottom"/>
            <w:gridSpan w:val="15"/>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auto"/>
            </w:tcBorders>
            <w:gridSpan w:val="24"/>
          </w:tcPr>
          <w:p>
            <w:pPr>
              <w:spacing w:after="0" w:line="195" w:lineRule="exact"/>
              <w:rPr>
                <w:rFonts w:ascii="Times New Roman" w:cs="Times New Roman" w:eastAsia="Times New Roman" w:hAnsi="Times New Roman"/>
                <w:sz w:val="18"/>
                <w:szCs w:val="18"/>
                <w:color w:val="auto"/>
                <w:w w:val="99"/>
              </w:rPr>
            </w:pPr>
            <w:hyperlink r:id="rId201">
              <w:r>
                <w:rPr>
                  <w:rFonts w:ascii="Times New Roman" w:cs="Times New Roman" w:eastAsia="Times New Roman" w:hAnsi="Times New Roman"/>
                  <w:sz w:val="18"/>
                  <w:szCs w:val="18"/>
                  <w:color w:val="auto"/>
                  <w:w w:val="99"/>
                </w:rPr>
                <w:t>Advanced Research and Development Authority of the U.S. Department of Health and Human Services. Incorporated by reference</w:t>
              </w:r>
            </w:hyperlink>
          </w:p>
        </w:tc>
        <w:tc>
          <w:tcPr>
            <w:tcW w:w="140" w:type="dxa"/>
            <w:vAlign w:val="bottom"/>
            <w:gridSpan w:val="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to Exhibit 10.36 to Quarterly Report on Form 10-Q filed on November 9, 2022 (File No. 001-38942).</w:t>
              </w:r>
            </w:hyperlink>
          </w:p>
        </w:tc>
        <w:tc>
          <w:tcPr>
            <w:tcW w:w="2240" w:type="dxa"/>
            <w:vAlign w:val="bottom"/>
            <w:gridSpan w:val="19"/>
          </w:tcPr>
          <w:p>
            <w:pPr>
              <w:spacing w:after="0"/>
              <w:rPr>
                <w:sz w:val="17"/>
                <w:szCs w:val="17"/>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auto"/>
            </w:tcBorders>
            <w:gridSpan w:val="15"/>
          </w:tcPr>
          <w:p>
            <w:pPr>
              <w:spacing w:after="0"/>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Collaboration and License Agreement, dated November 1, 2022, by and between Arcturus Therapeutics Holdings Inc. and CSL</w:t>
              </w:r>
            </w:hyperlink>
          </w:p>
        </w:tc>
        <w:tc>
          <w:tcPr>
            <w:tcW w:w="360" w:type="dxa"/>
            <w:vAlign w:val="bottom"/>
            <w:gridSpan w:val="1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auto"/>
            </w:tcBorders>
            <w:gridSpan w:val="17"/>
          </w:tcPr>
          <w:p>
            <w:pPr>
              <w:spacing w:after="0" w:line="195" w:lineRule="exact"/>
              <w:rPr>
                <w:rFonts w:ascii="Times New Roman" w:cs="Times New Roman" w:eastAsia="Times New Roman" w:hAnsi="Times New Roman"/>
                <w:sz w:val="18"/>
                <w:szCs w:val="18"/>
                <w:color w:val="auto"/>
                <w:w w:val="99"/>
              </w:rPr>
            </w:pPr>
            <w:hyperlink r:id="rId202">
              <w:r>
                <w:rPr>
                  <w:rFonts w:ascii="Times New Roman" w:cs="Times New Roman" w:eastAsia="Times New Roman" w:hAnsi="Times New Roman"/>
                  <w:sz w:val="18"/>
                  <w:szCs w:val="18"/>
                  <w:color w:val="auto"/>
                  <w:w w:val="99"/>
                </w:rPr>
                <w:t>Limited. Incorporated by reference to Exhibit 10.38 to Quarterly Report on Form 10-Q filed on November 9, 2022 (File No. 001-</w:t>
              </w:r>
            </w:hyperlink>
          </w:p>
        </w:tc>
        <w:tc>
          <w:tcPr>
            <w:tcW w:w="280" w:type="dxa"/>
            <w:vAlign w:val="bottom"/>
            <w:gridSpan w:val="11"/>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900" w:type="dxa"/>
            <w:vAlign w:val="bottom"/>
            <w:gridSpan w:val="3"/>
          </w:tcPr>
          <w:p>
            <w:pPr>
              <w:ind w:left="360"/>
              <w:spacing w:after="0" w:line="195" w:lineRule="exact"/>
              <w:rPr>
                <w:rFonts w:ascii="Times New Roman" w:cs="Times New Roman" w:eastAsia="Times New Roman" w:hAnsi="Times New Roman"/>
                <w:sz w:val="18"/>
                <w:szCs w:val="18"/>
                <w:color w:val="auto"/>
                <w:w w:val="93"/>
              </w:rPr>
            </w:pPr>
            <w:hyperlink r:id="rId202">
              <w:r>
                <w:rPr>
                  <w:rFonts w:ascii="Times New Roman" w:cs="Times New Roman" w:eastAsia="Times New Roman" w:hAnsi="Times New Roman"/>
                  <w:sz w:val="18"/>
                  <w:szCs w:val="18"/>
                  <w:color w:val="auto"/>
                  <w:w w:val="93"/>
                </w:rPr>
                <w:t>38942).</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460" w:type="dxa"/>
            <w:vAlign w:val="bottom"/>
            <w:gridSpan w:val="6"/>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Manufacturing Support Agreement Termination Letter, dated March 23, 2023, by and between Arcturus Therapeutics, Inc. and the</w:t>
              </w:r>
            </w:hyperlink>
          </w:p>
        </w:tc>
        <w:tc>
          <w:tcPr>
            <w:tcW w:w="160" w:type="dxa"/>
            <w:vAlign w:val="bottom"/>
            <w:gridSpan w:val="5"/>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Economic Development of Singapore. Incorporated by reference to Exhibit 10.41 to Annual Report on Form 10-K filed on March</w:t>
              </w:r>
            </w:hyperlink>
          </w:p>
        </w:tc>
        <w:tc>
          <w:tcPr>
            <w:tcW w:w="180" w:type="dxa"/>
            <w:vAlign w:val="bottom"/>
            <w:gridSpan w:val="6"/>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8"/>
          </w:tcPr>
          <w:p>
            <w:pPr>
              <w:spacing w:after="0" w:line="195"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29, 2023 (File No. 001-38942).</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Borders>
              <w:right w:val="single" w:sz="8" w:color="0000EE"/>
            </w:tcBorders>
            <w:gridSpan w:val="4"/>
            <w:shd w:val="clear" w:color="auto" w:fill="0000FF"/>
          </w:tcPr>
          <w:p>
            <w:pPr>
              <w:spacing w:after="0" w:line="20" w:lineRule="exact"/>
              <w:rPr>
                <w:sz w:val="1"/>
                <w:szCs w:val="1"/>
                <w:color w:val="auto"/>
              </w:rPr>
            </w:pPr>
          </w:p>
        </w:tc>
        <w:tc>
          <w:tcPr>
            <w:tcW w:w="6460" w:type="dxa"/>
            <w:vAlign w:val="bottom"/>
            <w:gridSpan w:val="6"/>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Credit Agreement dated April 21, 2023, by and between Arcturus Therapeutics, Inc. and Wells Fargo Bank, National Association.</w:t>
              </w:r>
            </w:hyperlink>
          </w:p>
        </w:tc>
        <w:tc>
          <w:tcPr>
            <w:tcW w:w="200" w:type="dxa"/>
            <w:vAlign w:val="bottom"/>
            <w:gridSpan w:val="7"/>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8"/>
          </w:tcPr>
          <w:p>
            <w:pPr>
              <w:spacing w:after="0" w:line="195"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by reference to Exhibit 10.28 to Quarterly Report on Form 10-Q filed on May 9, 2023 (File No. 001-38942)</w:t>
              </w:r>
              <w:r>
                <w:rPr>
                  <w:rFonts w:ascii="Times New Roman" w:cs="Times New Roman" w:eastAsia="Times New Roman" w:hAnsi="Times New Roman"/>
                  <w:sz w:val="18"/>
                  <w:szCs w:val="18"/>
                  <w:u w:val="single" w:color="auto"/>
                  <w:color w:val="000000"/>
                </w:rPr>
                <w:t>.</w:t>
              </w:r>
            </w:hyperlink>
          </w:p>
        </w:tc>
      </w:tr>
      <w:tr>
        <w:trPr>
          <w:trHeight w:val="924"/>
        </w:trPr>
        <w:tc>
          <w:tcPr>
            <w:tcW w:w="13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780" w:type="dxa"/>
            <w:vAlign w:val="bottom"/>
            <w:tcBorders>
              <w:top w:val="single" w:sz="8" w:color="0000FF"/>
            </w:tcBorders>
            <w:gridSpan w:val="5"/>
          </w:tcPr>
          <w:p>
            <w:pPr>
              <w:ind w:left="382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58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3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tcBorders>
              <w:bottom w:val="single" w:sz="8" w:color="0000FF"/>
            </w:tcBorders>
            <w:gridSpan w:val="21"/>
          </w:tcPr>
          <w:p>
            <w:pPr>
              <w:spacing w:after="0" w:line="189"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Security Agreement dated April 21, 2023, by and between Arcturus Therapeutics, Inc. and Wells Fargo Bank, National Association.</w:t>
              </w:r>
            </w:hyperlink>
          </w:p>
        </w:tc>
        <w:tc>
          <w:tcPr>
            <w:tcW w:w="60" w:type="dxa"/>
            <w:vAlign w:val="bottom"/>
            <w:gridSpan w:val="3"/>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Incorporated by reference to Exhibit 10.29 to Quarterly Report on Form 10-Q filed on May 9, 2023 (File No. 001-38942)</w:t>
              </w:r>
              <w:r>
                <w:rPr>
                  <w:rFonts w:ascii="Times New Roman" w:cs="Times New Roman" w:eastAsia="Times New Roman" w:hAnsi="Times New Roman"/>
                  <w:sz w:val="18"/>
                  <w:szCs w:val="18"/>
                  <w:u w:val="single" w:color="auto"/>
                  <w:color w:val="000000"/>
                </w:rPr>
                <w:t>.</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Revolving Line of Credit Note dated April 21, 2023, by and between Arcturus Therapeutics, Inc. and Wells Fargo Bank, National</w:t>
              </w:r>
            </w:hyperlink>
          </w:p>
        </w:tc>
        <w:tc>
          <w:tcPr>
            <w:tcW w:w="220" w:type="dxa"/>
            <w:vAlign w:val="bottom"/>
            <w:gridSpan w:val="7"/>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Association. Incorporated by reference to Exhibit 10.30 to Quarterly Report on Form 10-Q filed on May 9, 2023 (File No. 001-</w:t>
              </w:r>
            </w:hyperlink>
          </w:p>
        </w:tc>
        <w:tc>
          <w:tcPr>
            <w:tcW w:w="420" w:type="dxa"/>
            <w:vAlign w:val="bottom"/>
            <w:gridSpan w:val="9"/>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060" w:type="dxa"/>
            <w:vAlign w:val="bottom"/>
            <w:gridSpan w:val="4"/>
          </w:tcPr>
          <w:p>
            <w:pPr>
              <w:ind w:left="360"/>
              <w:spacing w:after="0" w:line="195"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38942)</w:t>
              </w:r>
              <w:r>
                <w:rPr>
                  <w:rFonts w:ascii="Times New Roman" w:cs="Times New Roman" w:eastAsia="Times New Roman" w:hAnsi="Times New Roman"/>
                  <w:sz w:val="18"/>
                  <w:szCs w:val="18"/>
                  <w:u w:val="single" w:color="auto"/>
                  <w:color w:val="000000"/>
                </w:rPr>
                <w:t>.</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Amendment Number One to Collaboration and License Agreement, dated August 3, 2023, by and between Arcturus Therapeutics,</w:t>
              </w:r>
            </w:hyperlink>
          </w:p>
        </w:tc>
        <w:tc>
          <w:tcPr>
            <w:tcW w:w="160" w:type="dxa"/>
            <w:vAlign w:val="bottom"/>
            <w:gridSpan w:val="6"/>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 and Seqirus Inc. Incorporated by reference to Exhibit 10.31 to Quarterly Report on Form 10-Q filed on November 14, 2023</w:t>
              </w:r>
            </w:hyperlink>
          </w:p>
        </w:tc>
        <w:tc>
          <w:tcPr>
            <w:tcW w:w="340" w:type="dxa"/>
            <w:vAlign w:val="bottom"/>
            <w:gridSpan w:val="8"/>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(File No. 001-38942)</w:t>
              </w:r>
              <w:r>
                <w:rPr>
                  <w:rFonts w:ascii="Times New Roman" w:cs="Times New Roman" w:eastAsia="Times New Roman" w:hAnsi="Times New Roman"/>
                  <w:sz w:val="18"/>
                  <w:szCs w:val="18"/>
                  <w:u w:val="single" w:color="auto"/>
                  <w:color w:val="000000"/>
                </w:rPr>
                <w:t>.</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Amendment No. 4 to Letter Agreement, dated September 25, 2023, by and between Arcturus Therapeutics, Inc. and the Cystic</w:t>
              </w:r>
            </w:hyperlink>
          </w:p>
        </w:tc>
        <w:tc>
          <w:tcPr>
            <w:tcW w:w="440" w:type="dxa"/>
            <w:vAlign w:val="bottom"/>
            <w:gridSpan w:val="10"/>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Fibrosis Foundation. Incorporated by reference to Exhibit 10.32 to Quarterly Report on Form 10-Q filed on November 14, 2023</w:t>
              </w:r>
            </w:hyperlink>
          </w:p>
        </w:tc>
        <w:tc>
          <w:tcPr>
            <w:tcW w:w="340" w:type="dxa"/>
            <w:vAlign w:val="bottom"/>
            <w:gridSpan w:val="8"/>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(File No. 001-38942)</w:t>
              </w:r>
            </w:hyperlink>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Arcturus Therapeutics Holdings, Inc. Insider Trading Policy</w:t>
            </w:r>
          </w:p>
        </w:tc>
        <w:tc>
          <w:tcPr>
            <w:tcW w:w="5240" w:type="dxa"/>
            <w:vAlign w:val="bottom"/>
            <w:gridSpan w:val="15"/>
          </w:tcPr>
          <w:p>
            <w:pPr>
              <w:spacing w:after="0"/>
              <w:rPr>
                <w:sz w:val="24"/>
                <w:szCs w:val="24"/>
                <w:color w:val="auto"/>
              </w:rPr>
            </w:pPr>
          </w:p>
        </w:tc>
      </w:tr>
      <w:tr>
        <w:trPr>
          <w:trHeight w:val="46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 of this Annual Report).</w:t>
            </w: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Officer pursuant to Rule 13a-14(a) or 15d-14(a) under the Securities Exchange Act of 1934, as</w:t>
            </w:r>
          </w:p>
        </w:tc>
        <w:tc>
          <w:tcPr>
            <w:tcW w:w="100" w:type="dxa"/>
            <w:vAlign w:val="bottom"/>
            <w:gridSpan w:val="4"/>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Rule 13a-14(a) or 15d-14(a) under the Securities Exchange Act of 1934, as</w:t>
            </w:r>
          </w:p>
        </w:tc>
        <w:tc>
          <w:tcPr>
            <w:tcW w:w="140" w:type="dxa"/>
            <w:vAlign w:val="bottom"/>
            <w:gridSpan w:val="5"/>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Certification by Principal Accounting Officer pursuant to Rule 13a-14(a) or 15d-14(a) under the Securities Exchange Act of 1934, as</w:t>
            </w:r>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700" w:type="dxa"/>
            <w:vAlign w:val="bottom"/>
            <w:gridSpan w:val="1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440" w:type="dxa"/>
            <w:vAlign w:val="bottom"/>
            <w:gridSpan w:val="18"/>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40" w:type="dxa"/>
            <w:vAlign w:val="bottom"/>
            <w:gridSpan w:val="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8160" w:type="dxa"/>
            <w:vAlign w:val="bottom"/>
            <w:gridSpan w:val="21"/>
          </w:tcPr>
          <w:p>
            <w:pPr>
              <w:spacing w:after="0"/>
              <w:rPr>
                <w:sz w:val="17"/>
                <w:szCs w:val="17"/>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Accounting Officer Pursuant to 18 U.S.C. Section 1350, as Adopted Pursuant to Section 906 of the</w:t>
            </w:r>
          </w:p>
        </w:tc>
        <w:tc>
          <w:tcPr>
            <w:tcW w:w="580" w:type="dxa"/>
            <w:vAlign w:val="bottom"/>
            <w:gridSpan w:val="11"/>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640" w:type="dxa"/>
            <w:vAlign w:val="bottom"/>
            <w:gridSpan w:val="17"/>
          </w:tcPr>
          <w:p>
            <w:pPr>
              <w:spacing w:after="0" w:line="20" w:lineRule="exact"/>
              <w:rPr>
                <w:sz w:val="1"/>
                <w:szCs w:val="1"/>
                <w:color w:val="auto"/>
              </w:rPr>
            </w:pPr>
          </w:p>
        </w:tc>
      </w:tr>
      <w:tr>
        <w:trPr>
          <w:trHeight w:val="37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Arcturus Therapeutics Holdings, Inc. Clawback Policy</w:t>
            </w:r>
          </w:p>
        </w:tc>
        <w:tc>
          <w:tcPr>
            <w:tcW w:w="5640" w:type="dxa"/>
            <w:vAlign w:val="bottom"/>
            <w:gridSpan w:val="17"/>
          </w:tcPr>
          <w:p>
            <w:pPr>
              <w:spacing w:after="0"/>
              <w:rPr>
                <w:sz w:val="24"/>
                <w:szCs w:val="24"/>
                <w:color w:val="auto"/>
              </w:rPr>
            </w:pPr>
          </w:p>
        </w:tc>
      </w:tr>
      <w:tr>
        <w:trPr>
          <w:trHeight w:val="39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following financial statements and footnotes from the Registrant’s Annual Report on Form 10-K for the fiscal year ended</w:t>
            </w:r>
          </w:p>
        </w:tc>
      </w:tr>
      <w:tr>
        <w:trPr>
          <w:trHeight w:val="234"/>
        </w:trPr>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December 31, 2023 formatted in Inline Extensible Business Reporting Language (Inline XBRL):</w:t>
            </w:r>
          </w:p>
        </w:tc>
      </w:tr>
    </w:tbl>
    <w:p>
      <w:pPr>
        <w:spacing w:after="0" w:line="9" w:lineRule="exact"/>
        <w:rPr>
          <w:sz w:val="20"/>
          <w:szCs w:val="20"/>
          <w:color w:val="auto"/>
        </w:rPr>
      </w:pPr>
    </w:p>
    <w:p>
      <w:pPr>
        <w:ind w:left="1660" w:right="300"/>
        <w:spacing w:after="0" w:line="265" w:lineRule="auto"/>
        <w:rPr>
          <w:sz w:val="20"/>
          <w:szCs w:val="20"/>
          <w:color w:val="auto"/>
        </w:rPr>
      </w:pPr>
      <w:r>
        <w:rPr>
          <w:rFonts w:ascii="Times New Roman" w:cs="Times New Roman" w:eastAsia="Times New Roman" w:hAnsi="Times New Roman"/>
          <w:sz w:val="18"/>
          <w:szCs w:val="18"/>
          <w:color w:val="auto"/>
        </w:rPr>
        <w:t>101.INS Inline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101.SCH Inline XBRL Taxonomy Extension Schema</w:t>
      </w:r>
    </w:p>
    <w:p>
      <w:pPr>
        <w:spacing w:after="0" w:line="184" w:lineRule="exact"/>
        <w:rPr>
          <w:sz w:val="20"/>
          <w:szCs w:val="20"/>
          <w:color w:val="auto"/>
        </w:rPr>
      </w:pPr>
    </w:p>
    <w:p>
      <w:pPr>
        <w:ind w:left="1320" w:right="3820" w:hanging="1299"/>
        <w:spacing w:after="0" w:line="422" w:lineRule="auto"/>
        <w:tabs>
          <w:tab w:leader="none" w:pos="16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1660" w:right="260" w:hanging="344"/>
        <w:spacing w:after="0" w:line="265" w:lineRule="auto"/>
        <w:tabs>
          <w:tab w:leader="none" w:pos="1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line="1" w:lineRule="exact"/>
        <w:rPr>
          <w:sz w:val="20"/>
          <w:szCs w:val="20"/>
          <w:color w:val="auto"/>
        </w:rPr>
      </w:pPr>
    </w:p>
    <w:p>
      <w:pPr>
        <w:ind w:left="5480" w:right="5400" w:hanging="4164"/>
        <w:spacing w:after="0" w:line="858" w:lineRule="auto"/>
        <w:tabs>
          <w:tab w:leader="none" w:pos="164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compensatory plan, contract or arrangement.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04" w:name="page105"/>
    <w:bookmarkEnd w:id="104"/>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ARCTURUS THERAPEUTICS HOLDINGS INC.</w:t>
            </w:r>
          </w:p>
        </w:tc>
      </w:tr>
      <w:tr>
        <w:trPr>
          <w:trHeight w:val="47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2024</w:t>
            </w:r>
          </w:p>
        </w:tc>
        <w:tc>
          <w:tcPr>
            <w:tcW w:w="29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204"/>
        </w:trPr>
        <w:tc>
          <w:tcPr>
            <w:tcW w:w="38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440" w:type="dxa"/>
            <w:vAlign w:val="bottom"/>
          </w:tcPr>
          <w:p>
            <w:pPr>
              <w:ind w:left="60"/>
              <w:spacing w:after="0" w:line="204" w:lineRule="exact"/>
              <w:rPr>
                <w:sz w:val="20"/>
                <w:szCs w:val="20"/>
                <w:color w:val="auto"/>
              </w:rPr>
            </w:pPr>
            <w:r>
              <w:rPr>
                <w:rFonts w:ascii="Times New Roman" w:cs="Times New Roman" w:eastAsia="Times New Roman" w:hAnsi="Times New Roman"/>
                <w:sz w:val="18"/>
                <w:szCs w:val="18"/>
                <w:color w:val="auto"/>
              </w:rPr>
              <w:t>Name: Joseph E. Payne</w:t>
            </w:r>
          </w:p>
        </w:tc>
      </w:tr>
      <w:tr>
        <w:trPr>
          <w:trHeight w:val="234"/>
        </w:trPr>
        <w:tc>
          <w:tcPr>
            <w:tcW w:w="38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President, Chief Executive Officer and Director</w:t>
            </w:r>
          </w:p>
        </w:tc>
      </w:tr>
    </w:tbl>
    <w:p>
      <w:pPr>
        <w:spacing w:after="0" w:line="2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undersigned officers and directors of Arcturus Therapeutics Holdings Inc., hereby severally constitute and appoint Joseph E. Payne and Dr. Padmanabh Chivukula, and each of them individually, with full power of substitution and resubstitution, as their true and lawful attorneys and agents, to do any and all acts and things in their name and behalf in their capacities as directors and officers and to execute any and all instruments for them and in their names in the capacities indicated below, which said attorneys and agents, may deem necessary or advisable to enable said corporation to comply with the Securities Exchange Act of 1934, as amended, and any rules, regulations and requirements of the Securities and Exchange Commission, in connection with this Annual Report on Form 10-K, including specifically but without limitation, power and authority to sign for them or any of them in their names in the capacities indicated below, any and all amendments hereto, and they do hereby ratify and confirm all that said attorneys and agents, or either of them, may lawfully do or cause to be done by virtue hereof.</w:t>
      </w:r>
    </w:p>
    <w:p>
      <w:pPr>
        <w:spacing w:after="0" w:line="81"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has been signed below by the following persons on behalf of the Registrant and in the capacities and on the dates indicated.</w:t>
      </w:r>
    </w:p>
    <w:p>
      <w:pPr>
        <w:spacing w:after="0" w:line="156"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E. Payne</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Joseph E. Payne</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3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Peter Farrell</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 Peter Farrell</w:t>
            </w:r>
          </w:p>
        </w:tc>
        <w:tc>
          <w:tcPr>
            <w:tcW w:w="51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Sassine</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Andrew Sassine</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c>
          <w:tcPr>
            <w:tcW w:w="23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Magda Marquet</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 Magda Marquet</w:t>
            </w:r>
          </w:p>
        </w:tc>
        <w:tc>
          <w:tcPr>
            <w:tcW w:w="51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Barlow</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Barlow</w:t>
            </w:r>
          </w:p>
        </w:tc>
        <w:tc>
          <w:tcPr>
            <w:tcW w:w="51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Holmes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Edward Holmes</w:t>
            </w:r>
          </w:p>
        </w:tc>
        <w:tc>
          <w:tcPr>
            <w:tcW w:w="51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Jing Marantz</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Jing Marantz</w:t>
            </w:r>
          </w:p>
        </w:tc>
        <w:tc>
          <w:tcPr>
            <w:tcW w:w="51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John Markels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 John Markels</w:t>
            </w:r>
          </w:p>
        </w:tc>
        <w:tc>
          <w:tcPr>
            <w:tcW w:w="51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Keith C. Kummerfeld</w:t>
            </w:r>
          </w:p>
        </w:tc>
        <w:tc>
          <w:tcPr>
            <w:tcW w:w="518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Senior Vice President of Finance and Corporate Controller</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Keith C. Kummerfeld</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c>
          <w:tcPr>
            <w:tcW w:w="2340" w:type="dxa"/>
            <w:vAlign w:val="bottom"/>
          </w:tcPr>
          <w:p>
            <w:pPr>
              <w:spacing w:after="0"/>
              <w:rPr>
                <w:sz w:val="15"/>
                <w:szCs w:val="15"/>
                <w:color w:val="auto"/>
              </w:rPr>
            </w:pPr>
          </w:p>
        </w:tc>
      </w:tr>
      <w:tr>
        <w:trPr>
          <w:trHeight w:val="931"/>
        </w:trPr>
        <w:tc>
          <w:tcPr>
            <w:tcW w:w="3720" w:type="dxa"/>
            <w:vAlign w:val="bottom"/>
          </w:tcPr>
          <w:p>
            <w:pPr>
              <w:spacing w:after="0"/>
              <w:rPr>
                <w:sz w:val="24"/>
                <w:szCs w:val="24"/>
                <w:color w:val="auto"/>
              </w:rPr>
            </w:pPr>
          </w:p>
        </w:tc>
        <w:tc>
          <w:tcPr>
            <w:tcW w:w="5180" w:type="dxa"/>
            <w:vAlign w:val="bottom"/>
          </w:tcPr>
          <w:p>
            <w:pPr>
              <w:jc w:val="right"/>
              <w:ind w:right="3154"/>
              <w:spacing w:after="0"/>
              <w:rPr>
                <w:sz w:val="20"/>
                <w:szCs w:val="20"/>
                <w:color w:val="auto"/>
              </w:rPr>
            </w:pPr>
            <w:r>
              <w:rPr>
                <w:rFonts w:ascii="Times New Roman" w:cs="Times New Roman" w:eastAsia="Times New Roman" w:hAnsi="Times New Roman"/>
                <w:sz w:val="18"/>
                <w:szCs w:val="18"/>
                <w:color w:val="auto"/>
              </w:rPr>
              <w:t>1</w:t>
            </w:r>
          </w:p>
        </w:tc>
        <w:tc>
          <w:tcPr>
            <w:tcW w:w="2340" w:type="dxa"/>
            <w:vAlign w:val="bottom"/>
          </w:tcPr>
          <w:p>
            <w:pPr>
              <w:spacing w:after="0"/>
              <w:rPr>
                <w:sz w:val="24"/>
                <w:szCs w:val="24"/>
                <w:color w:val="auto"/>
              </w:rPr>
            </w:pPr>
          </w:p>
        </w:tc>
      </w:tr>
      <w:tr>
        <w:trPr>
          <w:trHeight w:val="762"/>
        </w:trPr>
        <w:tc>
          <w:tcPr>
            <w:tcW w:w="37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70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00" w:type="dxa"/>
            <w:vAlign w:val="bottom"/>
          </w:tcPr>
          <w:p>
            <w:pPr>
              <w:spacing w:after="0"/>
              <w:rPr>
                <w:sz w:val="20"/>
                <w:szCs w:val="20"/>
                <w:color w:val="auto"/>
              </w:rPr>
            </w:pPr>
          </w:p>
        </w:tc>
      </w:tr>
      <w:tr>
        <w:trPr>
          <w:trHeight w:val="404"/>
        </w:trPr>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42)</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7"/>
              </w:rPr>
              <w:t>F-1</w:t>
            </w:r>
          </w:p>
        </w:tc>
      </w:tr>
      <w:tr>
        <w:trPr>
          <w:trHeight w:val="465"/>
        </w:trPr>
        <w:tc>
          <w:tcPr>
            <w:tcW w:w="54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4720" w:type="dxa"/>
            <w:vAlign w:val="bottom"/>
            <w:gridSpan w:val="4"/>
          </w:tcPr>
          <w:p>
            <w:pPr>
              <w:spacing w:after="0"/>
              <w:rPr>
                <w:sz w:val="24"/>
                <w:szCs w:val="24"/>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65"/>
        </w:trPr>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Years ended December 31, 2023, 2022 and 2021</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7"/>
              </w:rPr>
              <w:t>F-5</w:t>
            </w:r>
          </w:p>
        </w:tc>
      </w:tr>
      <w:tr>
        <w:trPr>
          <w:trHeight w:val="465"/>
        </w:trPr>
        <w:tc>
          <w:tcPr>
            <w:tcW w:w="87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2023, 2022 and 2021</w:t>
            </w:r>
          </w:p>
        </w:tc>
        <w:tc>
          <w:tcPr>
            <w:tcW w:w="1480" w:type="dxa"/>
            <w:vAlign w:val="bottom"/>
          </w:tcPr>
          <w:p>
            <w:pPr>
              <w:spacing w:after="0"/>
              <w:rPr>
                <w:sz w:val="24"/>
                <w:szCs w:val="24"/>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7"/>
              </w:rPr>
              <w:t>F-6</w:t>
            </w:r>
          </w:p>
        </w:tc>
      </w:tr>
      <w:tr>
        <w:trPr>
          <w:trHeight w:val="465"/>
        </w:trPr>
        <w:tc>
          <w:tcPr>
            <w:tcW w:w="77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tc>
        <w:tc>
          <w:tcPr>
            <w:tcW w:w="2460" w:type="dxa"/>
            <w:vAlign w:val="bottom"/>
            <w:gridSpan w:val="2"/>
          </w:tcPr>
          <w:p>
            <w:pPr>
              <w:spacing w:after="0"/>
              <w:rPr>
                <w:sz w:val="24"/>
                <w:szCs w:val="24"/>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7"/>
              </w:rPr>
              <w:t>F-7</w:t>
            </w:r>
          </w:p>
        </w:tc>
      </w:tr>
      <w:tr>
        <w:trPr>
          <w:trHeight w:val="465"/>
        </w:trPr>
        <w:tc>
          <w:tcPr>
            <w:tcW w:w="6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980" w:type="dxa"/>
            <w:vAlign w:val="bottom"/>
            <w:gridSpan w:val="3"/>
          </w:tcPr>
          <w:p>
            <w:pPr>
              <w:spacing w:after="0"/>
              <w:rPr>
                <w:sz w:val="24"/>
                <w:szCs w:val="24"/>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2" w:right="359" w:bottom="1440" w:gutter="0" w:footer="0" w:header="0"/>
        </w:sectPr>
      </w:pPr>
    </w:p>
    <w:bookmarkStart w:id="106" w:name="page107"/>
    <w:bookmarkEnd w:id="106"/>
    <w:p>
      <w:pPr>
        <w:spacing w:after="0" w:line="188" w:lineRule="exact"/>
        <w:rPr>
          <w:sz w:val="20"/>
          <w:szCs w:val="20"/>
          <w:color w:val="auto"/>
        </w:rPr>
      </w:pPr>
    </w:p>
    <w:p>
      <w:pPr>
        <w:ind w:right="3360" w:firstLine="3367"/>
        <w:spacing w:after="0" w:line="376"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Stockholders and the Board of Directors of Arcturus Therapeutics Holdings Inc. Opinion on the Financial Statements</w:t>
      </w:r>
    </w:p>
    <w:p>
      <w:pPr>
        <w:spacing w:after="0" w:line="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Arcturus Therapeutics Holdings Inc. and its subsidiaries (the Company) as of December 31, 2023 and 2022, the related consolidated statements of operations and comprehensive income (loss),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78"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14, 2024 expressed an adverse opinion thereon.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ind w:left="1920"/>
        <w:spacing w:after="0"/>
        <w:rPr>
          <w:sz w:val="20"/>
          <w:szCs w:val="20"/>
          <w:color w:val="auto"/>
        </w:rPr>
      </w:pPr>
      <w:r>
        <w:rPr>
          <w:rFonts w:ascii="Times New Roman" w:cs="Times New Roman" w:eastAsia="Times New Roman" w:hAnsi="Times New Roman"/>
          <w:sz w:val="17"/>
          <w:szCs w:val="17"/>
          <w:b w:val="1"/>
          <w:bCs w:val="1"/>
          <w:i w:val="1"/>
          <w:iCs w:val="1"/>
          <w:color w:val="auto"/>
        </w:rPr>
        <w:t>Clinical trial accruals</w:t>
      </w:r>
    </w:p>
    <w:p>
      <w:pPr>
        <w:sectPr>
          <w:pgSz w:w="11900" w:h="16838" w:orient="portrait"/>
          <w:cols w:equalWidth="0" w:num="1">
            <w:col w:w="11100"/>
          </w:cols>
          <w:pgMar w:left="320" w:top="1425" w:right="479" w:bottom="1440" w:gutter="0" w:footer="0" w:header="0"/>
        </w:sectPr>
      </w:pPr>
    </w:p>
    <w:p>
      <w:pPr>
        <w:spacing w:after="0" w:line="265" w:lineRule="exact"/>
        <w:rPr>
          <w:sz w:val="20"/>
          <w:szCs w:val="20"/>
          <w:color w:val="auto"/>
        </w:rPr>
      </w:pPr>
    </w:p>
    <w:p>
      <w:pPr>
        <w:ind w:left="20"/>
        <w:spacing w:after="0" w:line="28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the Company incurred $192.1 million for research and development expenses and accrued $2.3 million for clinical trial expenses at December 31, 2023. As described in Note 2 to the consolidated financial statements, the Company records accruals for estimated costs of research and development activities, including for third party contractors, laboratories, participating clinical trial sites and others. 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186" w:lineRule="exact"/>
        <w:rPr>
          <w:sz w:val="20"/>
          <w:szCs w:val="20"/>
          <w:color w:val="auto"/>
        </w:rPr>
      </w:pPr>
    </w:p>
    <w:p>
      <w:pPr>
        <w:sectPr>
          <w:pgSz w:w="11900" w:h="16838" w:orient="portrait"/>
          <w:cols w:equalWidth="0" w:num="2">
            <w:col w:w="1320" w:space="600"/>
            <w:col w:w="9180"/>
          </w:cols>
          <w:pgMar w:left="320" w:top="1425" w:right="479" w:bottom="1440" w:gutter="0" w:footer="0" w:header="0"/>
          <w:type w:val="continuous"/>
        </w:sectPr>
      </w:pPr>
    </w:p>
    <w:p>
      <w:pPr>
        <w:jc w:val="both"/>
        <w:ind w:left="1920" w:right="60"/>
        <w:spacing w:after="0" w:line="260" w:lineRule="auto"/>
        <w:rPr>
          <w:sz w:val="20"/>
          <w:szCs w:val="20"/>
          <w:color w:val="auto"/>
        </w:rPr>
      </w:pPr>
      <w:r>
        <w:rPr>
          <w:rFonts w:ascii="Times New Roman" w:cs="Times New Roman" w:eastAsia="Times New Roman" w:hAnsi="Times New Roman"/>
          <w:sz w:val="18"/>
          <w:szCs w:val="18"/>
          <w:color w:val="auto"/>
        </w:rPr>
        <w:t>Auditing management’s accounting for clinical trial accruals, was especially challenging as evaluating the progress or stage of completion of the activities under the Company’s clinical trial agreements is dependent upon information from internal clinical personnel and third party service providers and involves a high volume of data which is tracked in spreadsheets and other end user computing programs.</w:t>
      </w:r>
    </w:p>
    <w:p>
      <w:pPr>
        <w:sectPr>
          <w:pgSz w:w="11900" w:h="16838" w:orient="portrait"/>
          <w:cols w:equalWidth="0" w:num="1">
            <w:col w:w="11100"/>
          </w:cols>
          <w:pgMar w:left="320" w:top="1425" w:right="479" w:bottom="1440" w:gutter="0" w:footer="0" w:header="0"/>
          <w:type w:val="continuous"/>
        </w:sectPr>
      </w:pPr>
    </w:p>
    <w:p>
      <w:pPr>
        <w:spacing w:after="0" w:line="207" w:lineRule="exact"/>
        <w:rPr>
          <w:sz w:val="20"/>
          <w:szCs w:val="20"/>
          <w:color w:val="auto"/>
        </w:rPr>
      </w:pPr>
    </w:p>
    <w:p>
      <w:pPr>
        <w:ind w:left="20"/>
        <w:spacing w:after="0" w:line="289"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test the Company’s clinical trial accruals, we evaluated evidence of the research and development activities performed for significant clinical trials. To assess the appropriate measurement of clinical trial accruals, our audit procedures included, among others, obtaining and inspecting significant agreements and agreement amendments, evaluating the Company’s documentation of trial timelines, confirming amounts incurred to-date with third-party service providers, and testing a sample of transactions and comparing the costs against related invoices and contracts. We also tested a sample of subsequent payments to evaluate the completeness of the accrued expenses and compared the results to the current year accrual.</w:t>
      </w:r>
    </w:p>
    <w:p>
      <w:pPr>
        <w:spacing w:after="0" w:line="200" w:lineRule="exact"/>
        <w:rPr>
          <w:sz w:val="20"/>
          <w:szCs w:val="20"/>
          <w:color w:val="auto"/>
        </w:rPr>
      </w:pPr>
    </w:p>
    <w:p>
      <w:pPr>
        <w:sectPr>
          <w:pgSz w:w="11900" w:h="16838" w:orient="portrait"/>
          <w:cols w:equalWidth="0" w:num="2">
            <w:col w:w="1400" w:space="520"/>
            <w:col w:w="9180"/>
          </w:cols>
          <w:pgMar w:left="320" w:top="1425" w:right="4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5" w:right="479" w:bottom="1440" w:gutter="0" w:footer="0" w:header="0"/>
          <w:type w:val="continuous"/>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par value information)</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292,005</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391,883</w:t>
            </w:r>
          </w:p>
        </w:tc>
        <w:tc>
          <w:tcPr>
            <w:tcW w:w="100" w:type="dxa"/>
            <w:vAlign w:val="bottom"/>
            <w:shd w:val="clear" w:color="auto" w:fill="CFF0FC"/>
          </w:tcPr>
          <w:p>
            <w:pPr>
              <w:spacing w:after="0"/>
              <w:rPr>
                <w:sz w:val="21"/>
                <w:szCs w:val="21"/>
                <w:color w:val="auto"/>
              </w:rPr>
            </w:pPr>
          </w:p>
        </w:tc>
      </w:tr>
      <w:tr>
        <w:trPr>
          <w:trHeight w:val="238"/>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FF0FC"/>
          </w:tcPr>
          <w:p>
            <w:pPr>
              <w:spacing w:after="0"/>
              <w:rPr>
                <w:sz w:val="21"/>
                <w:szCs w:val="21"/>
                <w:color w:val="auto"/>
              </w:rPr>
            </w:pPr>
          </w:p>
        </w:tc>
      </w:tr>
      <w:tr>
        <w:trPr>
          <w:trHeight w:val="238"/>
        </w:trPr>
        <w:tc>
          <w:tcPr>
            <w:tcW w:w="7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26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00" w:type="dxa"/>
            <w:vAlign w:val="bottom"/>
            <w:tcBorders>
              <w:bottom w:val="single" w:sz="8" w:color="CFF0FC"/>
            </w:tcBorders>
          </w:tcPr>
          <w:p>
            <w:pPr>
              <w:spacing w:after="0"/>
              <w:rPr>
                <w:sz w:val="20"/>
                <w:szCs w:val="20"/>
                <w:color w:val="auto"/>
              </w:rPr>
            </w:pPr>
          </w:p>
        </w:tc>
      </w:tr>
      <w:tr>
        <w:trPr>
          <w:trHeight w:val="240"/>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386,590</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403,333</w:t>
            </w:r>
          </w:p>
        </w:tc>
        <w:tc>
          <w:tcPr>
            <w:tcW w:w="100" w:type="dxa"/>
            <w:vAlign w:val="bottom"/>
            <w:shd w:val="clear" w:color="auto" w:fill="CFF0FC"/>
          </w:tcPr>
          <w:p>
            <w:pPr>
              <w:spacing w:after="0"/>
              <w:rPr>
                <w:sz w:val="20"/>
                <w:szCs w:val="20"/>
                <w:color w:val="auto"/>
              </w:rPr>
            </w:pPr>
          </w:p>
        </w:tc>
      </w:tr>
      <w:tr>
        <w:trPr>
          <w:trHeight w:val="23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100" w:type="dxa"/>
            <w:vAlign w:val="bottom"/>
            <w:shd w:val="clear" w:color="auto" w:fill="CFF0FC"/>
          </w:tcPr>
          <w:p>
            <w:pPr>
              <w:spacing w:after="0"/>
              <w:rPr>
                <w:sz w:val="21"/>
                <w:szCs w:val="21"/>
                <w:color w:val="auto"/>
              </w:rPr>
            </w:pPr>
          </w:p>
        </w:tc>
      </w:tr>
      <w:tr>
        <w:trPr>
          <w:trHeight w:val="238"/>
        </w:trPr>
        <w:tc>
          <w:tcPr>
            <w:tcW w:w="7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6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FF0FC"/>
            </w:tcBorders>
          </w:tcPr>
          <w:p>
            <w:pPr>
              <w:spacing w:after="0"/>
              <w:rPr>
                <w:sz w:val="20"/>
                <w:szCs w:val="20"/>
                <w:color w:val="auto"/>
              </w:rPr>
            </w:pPr>
          </w:p>
        </w:tc>
      </w:tr>
      <w:tr>
        <w:trPr>
          <w:trHeight w:val="27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429,402</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450,387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30,232</w:t>
            </w:r>
          </w:p>
        </w:tc>
        <w:tc>
          <w:tcPr>
            <w:tcW w:w="100" w:type="dxa"/>
            <w:vAlign w:val="bottom"/>
            <w:shd w:val="clear" w:color="auto" w:fill="CFF0FC"/>
          </w:tcPr>
          <w:p>
            <w:pPr>
              <w:spacing w:after="0"/>
              <w:rPr>
                <w:sz w:val="21"/>
                <w:szCs w:val="21"/>
                <w:color w:val="auto"/>
              </w:rPr>
            </w:pPr>
          </w:p>
        </w:tc>
      </w:tr>
      <w:tr>
        <w:trPr>
          <w:trHeight w:val="238"/>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60,655</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44,829</w:t>
            </w:r>
          </w:p>
        </w:tc>
        <w:tc>
          <w:tcPr>
            <w:tcW w:w="26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shd w:val="clear" w:color="auto" w:fill="CFF0FC"/>
          </w:tcPr>
          <w:p>
            <w:pPr>
              <w:spacing w:after="0"/>
              <w:rPr>
                <w:sz w:val="21"/>
                <w:szCs w:val="21"/>
                <w:color w:val="auto"/>
              </w:rPr>
            </w:pPr>
          </w:p>
        </w:tc>
      </w:tr>
      <w:tr>
        <w:trPr>
          <w:trHeight w:val="232"/>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126,984</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100" w:type="dxa"/>
            <w:vAlign w:val="bottom"/>
            <w:shd w:val="clear" w:color="auto" w:fill="CFF0FC"/>
          </w:tcPr>
          <w:p>
            <w:pPr>
              <w:spacing w:after="0"/>
              <w:rPr>
                <w:sz w:val="21"/>
                <w:szCs w:val="21"/>
                <w:color w:val="auto"/>
              </w:rPr>
            </w:pPr>
          </w:p>
        </w:tc>
      </w:tr>
      <w:tr>
        <w:trPr>
          <w:trHeight w:val="23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00" w:type="dxa"/>
            <w:vAlign w:val="bottom"/>
          </w:tcPr>
          <w:p>
            <w:pPr>
              <w:spacing w:after="0"/>
              <w:rPr>
                <w:sz w:val="20"/>
                <w:szCs w:val="20"/>
                <w:color w:val="auto"/>
              </w:rPr>
            </w:pPr>
          </w:p>
        </w:tc>
      </w:tr>
      <w:tr>
        <w:trPr>
          <w:trHeight w:val="243"/>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180,075</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60,000 shares authorized; issued and outstanding shares were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26,828 at December 31, 2023 and 26,555 at December 31, 2022</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646,352</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608,426</w:t>
            </w:r>
          </w:p>
        </w:tc>
        <w:tc>
          <w:tcPr>
            <w:tcW w:w="100" w:type="dxa"/>
            <w:vAlign w:val="bottom"/>
            <w:shd w:val="clear" w:color="auto" w:fill="CFF0FC"/>
          </w:tcPr>
          <w:p>
            <w:pPr>
              <w:spacing w:after="0"/>
              <w:rPr>
                <w:sz w:val="21"/>
                <w:szCs w:val="21"/>
                <w:color w:val="auto"/>
              </w:rPr>
            </w:pPr>
          </w:p>
        </w:tc>
      </w:tr>
      <w:tr>
        <w:trPr>
          <w:trHeight w:val="238"/>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(367,866 )</w:t>
            </w:r>
          </w:p>
        </w:tc>
        <w:tc>
          <w:tcPr>
            <w:tcW w:w="5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(338,141 )</w:t>
            </w:r>
          </w:p>
        </w:tc>
      </w:tr>
      <w:tr>
        <w:trPr>
          <w:trHeight w:val="23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278,513</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429,402</w:t>
            </w:r>
          </w:p>
        </w:tc>
        <w:tc>
          <w:tcPr>
            <w:tcW w:w="26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450,387</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-3629660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-3629660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-2842260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-2825115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-3004820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-3004820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-1266825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157,748</w:t>
            </w:r>
          </w:p>
        </w:tc>
        <w:tc>
          <w:tcPr>
            <w:tcW w:w="8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205,755</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revenue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166,799</w:t>
            </w: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205,999</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100" w:type="dxa"/>
            <w:vAlign w:val="bottom"/>
            <w:tcBorders>
              <w:top w:val="single" w:sz="8" w:color="CFF0FC"/>
            </w:tcBorders>
          </w:tcPr>
          <w:p>
            <w:pPr>
              <w:spacing w:after="0"/>
              <w:rPr>
                <w:sz w:val="20"/>
                <w:szCs w:val="20"/>
                <w:color w:val="auto"/>
              </w:rPr>
            </w:pPr>
          </w:p>
        </w:tc>
      </w:tr>
      <w:tr>
        <w:trPr>
          <w:trHeight w:val="24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173,760</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46,071</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41,451</w:t>
            </w:r>
          </w:p>
        </w:tc>
        <w:tc>
          <w:tcPr>
            <w:tcW w:w="100" w:type="dxa"/>
            <w:vAlign w:val="bottom"/>
            <w:shd w:val="clear" w:color="auto" w:fill="CFF0FC"/>
          </w:tcPr>
          <w:p>
            <w:pPr>
              <w:spacing w:after="0"/>
              <w:rPr>
                <w:sz w:val="21"/>
                <w:szCs w:val="21"/>
                <w:color w:val="auto"/>
              </w:rPr>
            </w:pPr>
          </w:p>
        </w:tc>
      </w:tr>
      <w:tr>
        <w:trPr>
          <w:trHeight w:val="232"/>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193,822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215,211</w:t>
            </w:r>
          </w:p>
        </w:tc>
        <w:tc>
          <w:tcPr>
            <w:tcW w:w="100" w:type="dxa"/>
            <w:vAlign w:val="bottom"/>
          </w:tcPr>
          <w:p>
            <w:pPr>
              <w:spacing w:after="0"/>
              <w:rPr>
                <w:sz w:val="20"/>
                <w:szCs w:val="20"/>
                <w:color w:val="auto"/>
              </w:rPr>
            </w:pPr>
          </w:p>
        </w:tc>
      </w:tr>
      <w:tr>
        <w:trPr>
          <w:trHeight w:val="24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(78,205 )</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(202,852 )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equity-method investment</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gain from foreign currency</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(598 )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(expense),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(1,921 )</w:t>
            </w: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(27,890 )</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(203,674 )</w:t>
            </w: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(29,725 )</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(203,674 )</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calculation of (loss) earnings per share: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(29,725 )</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(203,674 )</w:t>
            </w:r>
          </w:p>
        </w:tc>
      </w:tr>
      <w:tr>
        <w:trPr>
          <w:trHeight w:val="276"/>
        </w:trPr>
        <w:tc>
          <w:tcPr>
            <w:tcW w:w="66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(203,674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-3501390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-3501390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-3501390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-2880360</wp:posOffset>
            </wp:positionV>
            <wp:extent cx="102235" cy="196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-2880360</wp:posOffset>
            </wp:positionV>
            <wp:extent cx="93980" cy="196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-2880360</wp:posOffset>
            </wp:positionV>
            <wp:extent cx="93980" cy="196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-1925955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-1925955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-1609090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-1609090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-187960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0" w:name="page111"/>
    <w:bookmarkEnd w:id="110"/>
    <w:p>
      <w:pPr>
        <w:ind w:left="26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2140" w:type="dxa"/>
            <w:vAlign w:val="bottom"/>
            <w:gridSpan w:val="4"/>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15"/>
                <w:szCs w:val="15"/>
                <w:color w:val="auto"/>
              </w:rPr>
            </w:pPr>
          </w:p>
        </w:tc>
        <w:tc>
          <w:tcPr>
            <w:tcW w:w="214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26,192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540,343</w:t>
            </w:r>
          </w:p>
        </w:tc>
        <w:tc>
          <w:tcPr>
            <w:tcW w:w="3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(143,816 )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396,553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64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related to acquired in-process research and</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development</w:t>
            </w:r>
          </w:p>
        </w:tc>
        <w:tc>
          <w:tcPr>
            <w:tcW w:w="9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(203,674 )</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(203,674 )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26,372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575,675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(347,490 )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228,211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26,555</w:t>
            </w:r>
          </w:p>
        </w:tc>
        <w:tc>
          <w:tcPr>
            <w:tcW w:w="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w:t>
            </w:r>
          </w:p>
        </w:tc>
        <w:tc>
          <w:tcPr>
            <w:tcW w:w="40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608,426</w:t>
            </w:r>
          </w:p>
        </w:tc>
        <w:tc>
          <w:tcPr>
            <w:tcW w:w="38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(338,141 )</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270,312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34,649</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34,649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(29,725 )</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(29,725 )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26,828</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646,352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(367,866 )</w:t>
            </w: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278,513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-864235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-864235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-864235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-864235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(29,725 )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(203,674 )</w:t>
            </w:r>
          </w:p>
        </w:tc>
      </w:tr>
      <w:tr>
        <w:trPr>
          <w:trHeight w:val="21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28,915</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 expense</w:t>
            </w:r>
          </w:p>
        </w:tc>
        <w:tc>
          <w:tcPr>
            <w:tcW w:w="3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(gain) from equity-method investment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(33,953 )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non-cash 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(29,300 )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(3,584 )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(3,112 )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(14,694 )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(4,309 )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(4,477 )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(1,351 )</w:t>
            </w:r>
          </w:p>
        </w:tc>
      </w:tr>
      <w:tr>
        <w:trPr>
          <w:trHeight w:val="20"/>
        </w:trPr>
        <w:tc>
          <w:tcPr>
            <w:tcW w:w="6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6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(18,099 )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(135,043 )</w:t>
            </w:r>
          </w:p>
        </w:tc>
      </w:tr>
      <w:tr>
        <w:trPr>
          <w:trHeight w:val="24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(7,726 )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(3,406 )</w:t>
            </w:r>
          </w:p>
        </w:tc>
      </w:tr>
      <w:tr>
        <w:trPr>
          <w:trHeight w:val="232"/>
        </w:trPr>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46,599</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equity plans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debt obligations</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(47,364 )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(5,000 )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(24,087 )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(2,859 )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(45,087 )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(90,433 )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372,569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463,002</w:t>
            </w:r>
          </w:p>
        </w:tc>
        <w:tc>
          <w:tcPr>
            <w:tcW w:w="100" w:type="dxa"/>
            <w:vAlign w:val="bottom"/>
          </w:tcPr>
          <w:p>
            <w:pPr>
              <w:spacing w:after="0"/>
              <w:rPr>
                <w:sz w:val="20"/>
                <w:szCs w:val="20"/>
                <w:color w:val="auto"/>
              </w:rPr>
            </w:pPr>
          </w:p>
        </w:tc>
      </w:tr>
      <w:tr>
        <w:trPr>
          <w:trHeight w:val="27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348,890</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393,977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372,569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6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6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FF0FC"/>
          </w:tcPr>
          <w:p>
            <w:pPr>
              <w:spacing w:after="0"/>
              <w:rPr>
                <w:sz w:val="21"/>
                <w:szCs w:val="21"/>
                <w:color w:val="auto"/>
              </w:rPr>
            </w:pPr>
          </w:p>
        </w:tc>
      </w:tr>
      <w:tr>
        <w:trPr>
          <w:trHeight w:val="24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acquired through operating leases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FF0FC"/>
          </w:tcPr>
          <w:p>
            <w:pPr>
              <w:spacing w:after="0"/>
              <w:rPr>
                <w:sz w:val="21"/>
                <w:szCs w:val="21"/>
                <w:color w:val="auto"/>
              </w:rPr>
            </w:pPr>
          </w:p>
        </w:tc>
      </w:tr>
      <w:tr>
        <w:trPr>
          <w:trHeight w:val="211"/>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of in-process research and development through issuance of common</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-2105660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-2105660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-2105660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-1471930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-1454785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-1471930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-1454785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2" w:name="page113"/>
    <w:bookmarkEnd w:id="112"/>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ARCTURUS THERAPEUTICS HOLDINGS INC. AND ITS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Arcturus Therapeutics Holdings Inc. (the “Company” or "Arcturus") is a clinical messenger RNA medicines company focused on the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ind w:right="280" w:firstLine="509"/>
        <w:spacing w:after="0" w:line="283"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3 Revenue – CSL Seqirus”</w:t>
      </w:r>
      <w:r>
        <w:rPr>
          <w:rFonts w:ascii="Times New Roman" w:cs="Times New Roman" w:eastAsia="Times New Roman" w:hAnsi="Times New Roman"/>
          <w:sz w:val="18"/>
          <w:szCs w:val="18"/>
          <w:color w:val="auto"/>
        </w:rPr>
        <w:t xml:space="preserve"> for further information on the agreement with Seqirus, Inc. ("CSL Seqirus"), whereby CSL Seqirus and the Company continue to collaborate on research and development, manufacturing and global commercialization of vaccines.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61" w:lineRule="exact"/>
        <w:rPr>
          <w:sz w:val="20"/>
          <w:szCs w:val="20"/>
          <w:color w:val="auto"/>
        </w:rPr>
      </w:pPr>
    </w:p>
    <w:p>
      <w:pPr>
        <w:ind w:right="320" w:firstLine="449"/>
        <w:spacing w:after="0" w:line="281" w:lineRule="auto"/>
        <w:rPr>
          <w:sz w:val="20"/>
          <w:szCs w:val="20"/>
          <w:color w:val="auto"/>
        </w:rPr>
      </w:pPr>
      <w:r>
        <w:rPr>
          <w:rFonts w:ascii="Times New Roman" w:cs="Times New Roman" w:eastAsia="Times New Roman" w:hAnsi="Times New Roman"/>
          <w:sz w:val="18"/>
          <w:szCs w:val="18"/>
          <w:color w:val="auto"/>
        </w:rPr>
        <w:t>The Company has incurred significant operating losses since its inception. As of December 31, 2023 and 2022, the Company had an accumulated deficit of $367.9 million and $338.1 million, respectively.</w:t>
      </w:r>
    </w:p>
    <w:p>
      <w:pPr>
        <w:spacing w:after="0" w:line="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the year ended December 31, 2023, the Company has funded its operations principally with the proceeds from revenues earned through collaboration agreements, including the $200.0 million upfront payment received from CSL Seqirus during 2022, the sale of capital stock and proceeds from long-term debt. During fiscal year 2023, the Company received milestone payments totaling $147.9 million from CSL Seqirus. Additionally, the Company received milestone payments of $23.8 million from CSL Seqirus subsequent to December 31, 2023. At December 31, 2023, the Company’s balance of cash and cash equivalents, including restricted cash, was $348.9 million.</w:t>
      </w:r>
    </w:p>
    <w:p>
      <w:pPr>
        <w:spacing w:after="0" w:line="8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Management believes that it has sufficient working capital on hand to fund operations through at least the next twelve months from the date these consolidated financial statements were available to be issued. There can be no assurance that the Company will be successful in acquiring additional funding, that the Company’s projections of its future working capital needs will prove accurate, or that any additional funding would be sufficient to continue operations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Arcturus Therapeutics Holdings Inc. and its subsidiaries. All intercompany accounts and transactions have been eliminated in consolidation. These consolidated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leases, expense accruals, and other matters that affect the reported amounts of assets and liabilities and disclosure of contingent assets and liabilities at the date of the financial statements and the reported amounts of revenues and expenses during the reporting period. Although these estimates are based on management’s knowledge of current events and actions the Company may undertake in the future, actual results could materially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of purchase.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Restricted cash includes collateral pledged and held at the Company’s securities accounts pursuant to a security agreement with Wells Fargo Bank, National Association (“Wells Fargo”) (Note 7). At December 31, 2023, such collateral amounted to $55.0 million.</w:t>
      </w:r>
    </w:p>
    <w:p>
      <w:pPr>
        <w:spacing w:after="0" w:line="55"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8"/>
          <w:szCs w:val="18"/>
          <w:color w:val="auto"/>
        </w:rPr>
        <w:t>Restricted cash also includes cash required to be set aside as security for lease payments and to maintain a letter of credit for the benefit of the landlord for the Company’s offices. At December 31, 2023 and 2022, the Company had restricted cash of $1.9 million and $2.1 million in conjunction with property leases in San Diego, California, and such restriction is expected to be removed at the end of the lease term.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w:t>
      </w:r>
    </w:p>
    <w:p>
      <w:pPr>
        <w:spacing w:after="0" w:line="6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Accounts receivable are recorded at the net invoice value and are non-interest bearing. The Company considers receivables past due based on the contractual payment terms. The Company reserves for specific receivables if collectability is no longer reasonably assured. Estimates for allowances for doubtful accounts are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14" w:name="page115"/>
    <w:bookmarkEnd w:id="114"/>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2023 or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121" w:lineRule="exact"/>
        <w:rPr>
          <w:sz w:val="20"/>
          <w:szCs w:val="20"/>
          <w:color w:val="auto"/>
        </w:rPr>
      </w:pPr>
    </w:p>
    <w:p>
      <w:pPr>
        <w:jc w:val="both"/>
        <w:ind w:right="140" w:firstLine="509"/>
        <w:spacing w:after="0" w:line="312"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concentrations of credit risk, consist of cash and cash equivalents. The Company limits its exposure to credit loss by placing its cash and cash equivalents with high credit quality financial institutions in instruments with short maturities.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two customers that comprised 100% of the total accounts receivable balance at December 31, 2023 and 2022.</w:t>
      </w:r>
    </w:p>
    <w:p>
      <w:pPr>
        <w:spacing w:after="0" w:line="117"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the Company’s top three customers collectively represented 99% of the Company’s total revenue. For the year ended December 31, 2022, the Company's top five customers collectively represented 99% of the Company’s total revenue. For the year ended December 31, 2021, there were four customers that collectively represented 99% of the Company’s total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Equity Method Investments and Variable Interest Entities</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related to the Company's joint venture in ARCALIS, Inc. with Axcelead, Inc. The Company’s share of the investees’ results is presented as either income or loss from equity method investees in the accompanying consolidated statements of operations and comprehensive income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an asset’s ability to generate positive income from operations and positive cash flow in future periods, as well as the strategic significance of the assets to the Company’s business objectives. The Company did not recognize any impairment losses for the years ended December 31, 2023, 2022 or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Income/Loss</w:t>
      </w:r>
    </w:p>
    <w:p>
      <w:pPr>
        <w:spacing w:after="0" w:line="121"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Comprehensive income/loss is defined as the change in stockholders’ equity during a period from transactions and other events and circumstances from non-owner sources. There was no other comprehensive loss in the years ended December 31, 2023, 2022 or 2021. There was no income tax effect related to unrealized losses for the years ended December 31, 2023, 2022, or 2021.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spacing w:after="0" w:line="74"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5" w:name="page116"/>
    <w:bookmarkEnd w:id="115"/>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8"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6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numerous estimates and use significant judgment. If estimates or judgments change over the course of the collaboration, a cumulative catch up of revenue is recognized in the period such changes are identified.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3, Revenue”</w:t>
      </w:r>
      <w:r>
        <w:rPr>
          <w:rFonts w:ascii="Times New Roman" w:cs="Times New Roman" w:eastAsia="Times New Roman" w:hAnsi="Times New Roman"/>
          <w:sz w:val="18"/>
          <w:szCs w:val="18"/>
          <w:color w:val="auto"/>
        </w:rPr>
        <w:t xml:space="preserve"> for specific details surrounding the Company’s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xml:space="preserve"> for specific details surrounding the Company’s leases.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net</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receipt of goods or services to be used in research and development are capitalized until the goods are received or the services are performed.</w:t>
      </w:r>
    </w:p>
    <w:p>
      <w:pPr>
        <w:spacing w:after="0" w:line="74"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6" w:name="page117"/>
    <w:bookmarkEnd w:id="116"/>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jc w:val="both"/>
        <w:ind w:right="80" w:firstLine="509"/>
        <w:spacing w:after="0" w:line="280" w:lineRule="auto"/>
        <w:rPr>
          <w:sz w:val="20"/>
          <w:szCs w:val="20"/>
          <w:color w:val="auto"/>
        </w:rPr>
      </w:pPr>
      <w:r>
        <w:rPr>
          <w:rFonts w:ascii="Times New Roman" w:cs="Times New Roman" w:eastAsia="Times New Roman" w:hAnsi="Times New Roman"/>
          <w:sz w:val="17"/>
          <w:szCs w:val="17"/>
          <w:color w:val="auto"/>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Pre-Launch Inventory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the Company expenses costs relating to production of inventory as research and development expense in its consolidated statements of operations and comprehensive income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Company recognizes share-based compensation for equity awards granted to employees, consultants, officers and directors as an expense on the statements of operations and comprehensive income (loss). Share-based compensation is recognized over the requisite service period of the individual awards using the straight-line attribution method, which generally equals the vesting period. Employees and officers’ stock options have a ten-year life and generally vest 25% on the first anniversary of the grant and in 1/36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equal installments on each monthly anniversary thereafter, such that options are fully vested on the four-year anniversary of the date of grant. The exercisability and vesting periods of options granted to consultants and directors vary.</w:t>
      </w:r>
    </w:p>
    <w:p>
      <w:pPr>
        <w:spacing w:after="0" w:line="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The Company has limited historical stock option activity and therefore estimates the expected term of stock options granted using the simplified method, which represents the average of the contractual term of the stock option and its weighted-average vesting period. The expected volatility of stock options is based upon the historical volatility of a peer group of publicly traded companies. The Company has not declared or paid any dividends and does not currently expect to do so in the foreseeable future. The risk-free interest rates used are based on the implied yield currently available in United States Treasury securities at maturity with a term equivalent to the expected term of the stock options. The effect of forfeited awards is recorded when the forfeiture occurs.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the total of such amounts shown in the consolidated statement of cash flows:</w:t>
      </w:r>
    </w:p>
    <w:p>
      <w:pPr>
        <w:sectPr>
          <w:pgSz w:w="11900" w:h="16838" w:orient="portrait"/>
          <w:cols w:equalWidth="0" w:num="1">
            <w:col w:w="11200"/>
          </w:cols>
          <w:pgMar w:left="320" w:top="764" w:right="379" w:bottom="1440" w:gutter="0" w:footer="0" w:header="0"/>
        </w:sect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cash - current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p>
      <w:pPr>
        <w:spacing w:after="0" w:line="49" w:lineRule="exact"/>
        <w:rPr>
          <w:sz w:val="20"/>
          <w:szCs w:val="20"/>
          <w:color w:val="auto"/>
        </w:rPr>
      </w:pPr>
    </w:p>
    <w:p>
      <w:pPr>
        <w:ind w:left="240" w:right="2400" w:hanging="224"/>
        <w:spacing w:after="0" w:line="281" w:lineRule="auto"/>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29286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292862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292,005</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370,492</w:t>
            </w:r>
          </w:p>
        </w:tc>
      </w:tr>
      <w:tr>
        <w:trPr>
          <w:trHeight w:val="238"/>
        </w:trPr>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411"/>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348,890</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393,977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372,569</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-761365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-453390</wp:posOffset>
            </wp:positionV>
            <wp:extent cx="713232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69" w:lineRule="exact"/>
        <w:rPr>
          <w:sz w:val="20"/>
          <w:szCs w:val="20"/>
          <w:color w:val="auto"/>
        </w:rPr>
      </w:pPr>
    </w:p>
    <w:p>
      <w:pPr>
        <w:sectPr>
          <w:pgSz w:w="11900" w:h="16838" w:orient="portrait"/>
          <w:cols w:equalWidth="0" w:num="2">
            <w:col w:w="5800" w:space="720"/>
            <w:col w:w="4680"/>
          </w:cols>
          <w:pgMar w:left="320" w:top="764" w:right="379" w:bottom="1440" w:gutter="0" w:footer="0" w:header="0"/>
          <w:type w:val="continuous"/>
        </w:sect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type w:val="continuous"/>
        </w:sectPr>
      </w:pPr>
    </w:p>
    <w:bookmarkStart w:id="117" w:name="page118"/>
    <w:bookmarkEnd w:id="117"/>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74" w:lineRule="exact"/>
        <w:rPr>
          <w:sz w:val="20"/>
          <w:szCs w:val="20"/>
          <w:color w:val="auto"/>
        </w:rPr>
      </w:pPr>
    </w:p>
    <w:p>
      <w:pPr>
        <w:jc w:val="both"/>
        <w:ind w:right="320" w:firstLine="509"/>
        <w:spacing w:after="0" w:line="265" w:lineRule="auto"/>
        <w:rPr>
          <w:sz w:val="20"/>
          <w:szCs w:val="20"/>
          <w:color w:val="auto"/>
        </w:rPr>
      </w:pPr>
      <w:r>
        <w:rPr>
          <w:rFonts w:ascii="Times New Roman" w:cs="Times New Roman" w:eastAsia="Times New Roman" w:hAnsi="Times New Roman"/>
          <w:sz w:val="18"/>
          <w:szCs w:val="18"/>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69"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shares of common stock outstanding for the period, without consideration for common stock equivalents. Diluted net income (loss) per share is calculated by dividing the net income (loss) by the weighted-average number of shares of common stock and dilutive common stock equivalents outstanding for the period determined using the treasury-stock method. Dilutive shares of common stock for the year ended December 31, 2023 were comprised of stock options and restricted stock units. Dilutive shares of stock for the years ended December 31, 2022 and 2021 were comprised of stock options.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were declared or paid during the reporting periods.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21" w:lineRule="exact"/>
        <w:rPr>
          <w:sz w:val="20"/>
          <w:szCs w:val="20"/>
          <w:color w:val="auto"/>
        </w:rPr>
      </w:pPr>
    </w:p>
    <w:p>
      <w:pPr>
        <w:jc w:val="both"/>
        <w:ind w:right="80" w:firstLine="554"/>
        <w:spacing w:after="0" w:line="26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believes that the impact of recently issued standards that are not yet effective will not have a material impact on the consolidated financial statements and disclosures.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ind w:right="200" w:firstLine="578"/>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29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following table presents changes in the balances of receivables and contract liabilities related to strategic collaboration agreements during the year ended December 31,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8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7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205,746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(176,446 )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100" w:type="dxa"/>
            <w:vAlign w:val="bottom"/>
          </w:tcPr>
          <w:p>
            <w:pPr>
              <w:spacing w:after="0"/>
              <w:rPr>
                <w:sz w:val="20"/>
                <w:szCs w:val="20"/>
                <w:color w:val="auto"/>
              </w:rPr>
            </w:pPr>
          </w:p>
        </w:tc>
      </w:tr>
      <w:tr>
        <w:trPr>
          <w:trHeight w:val="247"/>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7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(166,799 )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87,325</w:t>
            </w:r>
          </w:p>
        </w:tc>
        <w:tc>
          <w:tcPr>
            <w:tcW w:w="100" w:type="dxa"/>
            <w:vAlign w:val="bottom"/>
          </w:tcPr>
          <w:p>
            <w:pPr>
              <w:spacing w:after="0"/>
              <w:rPr>
                <w:sz w:val="20"/>
                <w:szCs w:val="20"/>
                <w:color w:val="auto"/>
              </w:rPr>
            </w:pPr>
          </w:p>
        </w:tc>
      </w:tr>
      <w:tr>
        <w:trPr>
          <w:trHeight w:val="872"/>
        </w:trPr>
        <w:tc>
          <w:tcPr>
            <w:tcW w:w="3520" w:type="dxa"/>
            <w:vAlign w:val="bottom"/>
          </w:tcPr>
          <w:p>
            <w:pPr>
              <w:spacing w:after="0"/>
              <w:rPr>
                <w:sz w:val="24"/>
                <w:szCs w:val="24"/>
                <w:color w:val="auto"/>
              </w:rPr>
            </w:pPr>
          </w:p>
        </w:tc>
        <w:tc>
          <w:tcPr>
            <w:tcW w:w="27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F-13</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3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8" w:name="page119"/>
    <w:bookmarkEnd w:id="118"/>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Company’s revenue for the periods indicated. Approximately $154.9 million, $192.7 million and $5.0 million of total revenue represents revenue derived from foreign countries for the years ended December 31, 2023, 2022 and 2021,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1"/>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CSL Seqirus</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154,264</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154,425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Vinbiocare</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Janssen</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FF0FC"/>
          </w:tcPr>
          <w:p>
            <w:pPr>
              <w:spacing w:after="0"/>
              <w:rPr>
                <w:sz w:val="21"/>
                <w:szCs w:val="2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Ultragenyx</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Israel Ministry of Health</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0"/>
                <w:szCs w:val="20"/>
                <w:color w:val="auto"/>
              </w:rPr>
            </w:pPr>
          </w:p>
        </w:tc>
      </w:tr>
      <w:tr>
        <w:trPr>
          <w:trHeight w:val="276"/>
        </w:trPr>
        <w:tc>
          <w:tcPr>
            <w:tcW w:w="5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157,748</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205,755</w:t>
            </w:r>
          </w:p>
        </w:tc>
        <w:tc>
          <w:tcPr>
            <w:tcW w:w="24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100" w:type="dxa"/>
            <w:vAlign w:val="bottom"/>
            <w:shd w:val="clear" w:color="auto" w:fill="CFF0FC"/>
          </w:tcPr>
          <w:p>
            <w:pPr>
              <w:spacing w:after="0"/>
              <w:rPr>
                <w:sz w:val="24"/>
                <w:szCs w:val="24"/>
                <w:color w:val="auto"/>
              </w:rPr>
            </w:pPr>
          </w:p>
        </w:tc>
      </w:tr>
      <w:tr>
        <w:trPr>
          <w:trHeight w:val="223"/>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16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BARDA</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grant revenue</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-521970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-504825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-521970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-504825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-187960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-187960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780" w:firstLine="509"/>
        <w:spacing w:after="0" w:line="390" w:lineRule="auto"/>
        <w:rPr>
          <w:sz w:val="20"/>
          <w:szCs w:val="20"/>
          <w:color w:val="auto"/>
        </w:rPr>
      </w:pPr>
      <w:r>
        <w:rPr>
          <w:rFonts w:ascii="Times New Roman" w:cs="Times New Roman" w:eastAsia="Times New Roman" w:hAnsi="Times New Roman"/>
          <w:sz w:val="18"/>
          <w:szCs w:val="18"/>
          <w:color w:val="auto"/>
        </w:rPr>
        <w:t xml:space="preserve">The following paragraphs provide information regarding the nature and purpose of the Company’s most significant revenue arrangements. </w:t>
      </w:r>
      <w:r>
        <w:rPr>
          <w:rFonts w:ascii="Times New Roman" w:cs="Times New Roman" w:eastAsia="Times New Roman" w:hAnsi="Times New Roman"/>
          <w:sz w:val="18"/>
          <w:szCs w:val="18"/>
          <w:i w:val="1"/>
          <w:iCs w:val="1"/>
          <w:u w:val="single" w:color="auto"/>
          <w:color w:val="auto"/>
        </w:rPr>
        <w:t>CSL Seqirus</w:t>
      </w:r>
    </w:p>
    <w:p>
      <w:pPr>
        <w:spacing w:after="0" w:line="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On November 1, 2022, the Company entered into a Collaboration and License Agreement (as amended, the “CSL Collaboration Agreement”) with Seqirus, Inc., a part of CSL Limited (“CSL Severus”),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w:t>
      </w:r>
    </w:p>
    <w:p>
      <w:pPr>
        <w:spacing w:after="0" w:line="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received a $200.0 million upfront payment and is eligible to receive over $1.3 billion in development milestones if all products are registered in the licensed fields and entitled to potentially receive up to $3.0 billion in commercial milestones based on “net sale” of vaccines in the various fields. In addition, the Company is eligible to receive a 40% net profit share for COVID-19 vaccine products and up to low double-digit royalties for vaccines against flu, pandemic preparedness and three other respiratory pathogens. During 2023, the Company achieved $154.2 million of development milestones and a conditional payment related to the CSL Collaboration Agreement, of which $23.8 million was included in accounts receivable as of December 31, 2023.</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evaluating the CSL Collaboration Agreement in accordance with Accounting Standards Codification (“ASC”) Topic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spacing w:after="0" w:line="81" w:lineRule="exact"/>
        <w:rPr>
          <w:sz w:val="20"/>
          <w:szCs w:val="20"/>
          <w:color w:val="auto"/>
        </w:rPr>
      </w:pPr>
    </w:p>
    <w:p>
      <w:pPr>
        <w:ind w:right="40" w:firstLine="404"/>
        <w:spacing w:after="0" w:line="265" w:lineRule="auto"/>
        <w:rPr>
          <w:sz w:val="20"/>
          <w:szCs w:val="20"/>
          <w:color w:val="auto"/>
        </w:rPr>
      </w:pPr>
      <w:r>
        <w:rPr>
          <w:rFonts w:ascii="Times New Roman" w:cs="Times New Roman" w:eastAsia="Times New Roman" w:hAnsi="Times New Roman"/>
          <w:sz w:val="18"/>
          <w:szCs w:val="18"/>
          <w:color w:val="auto"/>
        </w:rPr>
        <w:t>As of December 31, 2023, the transaction price consisted of upfront consideration received and milestones achieved in 2023. Additional variable consideration was not included in the transaction price at December 31, 2023 because the Company could not conclude that it is probable that including the variable consideration will not result in a significant revenue reversal.</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9" w:name="page120"/>
    <w:bookmarkEnd w:id="119"/>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2023 and 2022 relates to the license delivered, milestones achieved and services performed through December 31, 2023.</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deferred revenue as of December 31, 2023 and 2022 for the CSL Collaboration Agreement was $87.1 million and $45.6 million, respectively.</w:t>
      </w:r>
    </w:p>
    <w:p>
      <w:pPr>
        <w:spacing w:after="0" w:line="117" w:lineRule="exact"/>
        <w:rPr>
          <w:sz w:val="20"/>
          <w:szCs w:val="20"/>
          <w:color w:val="auto"/>
        </w:rPr>
      </w:pPr>
    </w:p>
    <w:p>
      <w:pPr>
        <w:ind w:right="80" w:firstLine="554"/>
        <w:spacing w:after="0" w:line="258" w:lineRule="auto"/>
        <w:rPr>
          <w:sz w:val="20"/>
          <w:szCs w:val="20"/>
          <w:color w:val="auto"/>
        </w:rPr>
      </w:pPr>
      <w:r>
        <w:rPr>
          <w:rFonts w:ascii="Times New Roman" w:cs="Times New Roman" w:eastAsia="Times New Roman" w:hAnsi="Times New Roman"/>
          <w:sz w:val="18"/>
          <w:szCs w:val="18"/>
          <w:color w:val="auto"/>
        </w:rPr>
        <w:t>During 2023, the Company also received an advance payment of $23.6 million for the manufacturing and supply of ARCT-154 drug product. The advance payment was for specified manufacturing runs of ARCT-154 which include the drug substance utilized, as well as the reservation fees and related manufacturing requirements. The Company concluded that the promise to manufacture and supply ARCT-154 drug product is a customer option as part of the CSL Collaboration Agreement and is accounted for as a separate contract. The advance payment is included in deferred revenue as of December 31, 2023 and will be recognized as revenue when the drug product is transferred to CSL Seqirus.</w:t>
      </w:r>
    </w:p>
    <w:p>
      <w:pPr>
        <w:spacing w:after="0" w:line="7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2023, the Company entered into an amendment to the CSL Collaboration Agreement, pursuant to which the Company agreed to sponsor and conduct a Phase I clinical study in the influenza field. As part of the amendment, the Company received $17.5 million from CSL Seqirus. The amendment also provides for up to $1.5 million in additional payments which are achievable upon meeting certain clinical milestones relating to the Phase I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I clinical study is a separate contract and the sole performance obligation under the new arrangement. During the year ended December 31, 2023, the Company recognized $2.4 million related to the performance obligation and the remaining amount of $15.1 million is included in deferred revenue.</w:t>
      </w:r>
    </w:p>
    <w:p>
      <w:pPr>
        <w:spacing w:after="0" w:line="79"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In December 2023, the Company also received an advance payment of $5.3 million from CSL Seqirus for manufacturing activities related to COVID-19 vaccine product. The Company concluded that the promise to perform manufacturing activities is a customer option as part of the CSL Collaboration Agreement and is accounted for as a separate contract. The advance payment is included in deferred revenue as of December 31, 2023 and will be recognized as revenue when the vaccine product is transferred to CSL Seqirus.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Vinbiocare</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2021 the Company entered into certain agreements with Vinbiocare, a member of Vingroup Joint Stock Company, whereby the Company would provide technical expertise and support services to Vinbiocare to assist in the build out of a mRNA drug product manufacturing facility in Vietnam. The Company received an upfront payment in aggregate of $40.0 million as part of the Vinbiocare Agreement. In October 2022, the Company and Vinbiocare executed a letter agreement terminating the Technology License and Technical Support Agreement and the Framework Drug Substance Supply Agreement (collectively, the “License &amp; Supply Agreements”). The Company incurred no financial penalties in connection with the termination of the License &amp; Supply Agreements and has no further financial obligations to Vinbiocare under these terminated agreements.</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2022, in association with the termination of the License &amp; Supply Agreements, the Company signed the Study Support Agreement with Vinbiocare which provides that Vinbiocare shall continue to serve as the regulatory and financial sponsor of clinical studies conducted in Vietnam of ARCT-154 pursuant to the Company’s arrangements with Vinbiocare (the “Study Support Agreement”). To support the continuing activities of these studies, the Study Support Agreement further provides for the Company to conduct certain services and to compensate Vinbiocare to help achieve the objectives of these studies. In February 2023, the Company agreed to provide additional financial support in the amount of approximately $2.1 million to allow Vinbiocare to provide additional study support duties related to the ARCT-154 clinical study. As a result, the Company reserved $11.8 million of the original upfront payment to be paid to Vinbiocare over the future periods pursuant to the Study Support Agreement by reclassifying a portion of the upfront payment received from Vinbiocare pursuant to the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120" w:name="page121"/>
    <w:bookmarkEnd w:id="120"/>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License &amp; Supply Agreements, from deferred revenue to short-term and long-term liabilities, based on the anticipated timing of the payments to Vinbiocare, and removed that portion of the upfront payment from the transaction price of the modified arrangement. The transaction price was not adjusted for payments that are contingent upon the occurrence of future regulatory or sales-related events based on the information currently available to the Company.</w:t>
      </w:r>
    </w:p>
    <w:p>
      <w:pPr>
        <w:spacing w:after="0" w:line="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concluded that it has no remaining performance obligations under its prior arrangements with Vinbiocare as summarized above as of December 31, 2023. As of December 31, 2023, the Company has accrued liabilities related to this arrangement of $2.5 million in current liabilities and $0.5 million in non-current liabilities that will be paid upon the occurrence of specified events through the first quarter of 2025. Vinbiocare is also eligible to receive a single digit percentage of amounts from net sales, if any, of ARCT-154 (or next-generation COVID vaccine) up to a capped amount of low single digit millions. The Company had no remaining deferred revenue as of December 31, 2023 or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BARDA Grant</w:t>
      </w:r>
    </w:p>
    <w:p>
      <w:pPr>
        <w:spacing w:after="0" w:line="119" w:lineRule="exact"/>
        <w:rPr>
          <w:sz w:val="20"/>
          <w:szCs w:val="20"/>
          <w:color w:val="auto"/>
        </w:rPr>
      </w:pPr>
    </w:p>
    <w:p>
      <w:pPr>
        <w:ind w:right="180" w:firstLine="509"/>
        <w:spacing w:after="0" w:line="276" w:lineRule="auto"/>
        <w:rPr>
          <w:sz w:val="20"/>
          <w:szCs w:val="20"/>
          <w:color w:val="auto"/>
        </w:rPr>
      </w:pPr>
      <w:r>
        <w:rPr>
          <w:rFonts w:ascii="Times New Roman" w:cs="Times New Roman" w:eastAsia="Times New Roman" w:hAnsi="Times New Roman"/>
          <w:sz w:val="17"/>
          <w:szCs w:val="17"/>
          <w:color w:val="auto"/>
        </w:rPr>
        <w:t>In August 2022, the Company entered into a cost reimbursement contract with the Biomedical Advanced Research and Development Authority ("BARDA"), a division of the Office of the Assistant Secretary for Preparedness and Response (ASPR) within the U.S. Department of Health and Human</w:t>
      </w:r>
    </w:p>
    <w:p>
      <w:pPr>
        <w:ind w:right="240"/>
        <w:spacing w:after="0" w:line="214" w:lineRule="auto"/>
        <w:rPr>
          <w:sz w:val="20"/>
          <w:szCs w:val="20"/>
          <w:color w:val="auto"/>
        </w:rPr>
      </w:pPr>
      <w:r>
        <w:rPr>
          <w:rFonts w:ascii="Times New Roman" w:cs="Times New Roman" w:eastAsia="Times New Roman" w:hAnsi="Times New Roman"/>
          <w:sz w:val="18"/>
          <w:szCs w:val="18"/>
          <w:color w:val="auto"/>
        </w:rPr>
        <w:t>Services (HHS) for an award of up to $63.2 million for the development of a pandemic influenza vaccine using the Company's STARR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self-amplifying mRNA vaccine platform technology. The Company earns grant revenue for performing tasks under the agreement.</w:t>
      </w:r>
    </w:p>
    <w:p>
      <w:pPr>
        <w:spacing w:after="0" w:line="9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agreement with BARDA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consolidated statements of operations and comprehensive income (loss).</w:t>
      </w:r>
    </w:p>
    <w:p>
      <w:pPr>
        <w:spacing w:after="0" w:line="7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Company recognized $9.1 million and $0.2 million of grant revenue during the years ended December 31, 2023 and 2022, respectively. which is included in revenue on the Company's consolidated statements of operations. As of December 31, 2023, the remaining available funding net of revenue earned was $54.1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55"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The carrying value of cash, restricted cash, accounts receivable, accounts payable, accrued liabilities and the Singapore loan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9"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The Company's assets measured at fair value on a recurring basis consisted of money market funds. As of December 31, 2023, the Company's had money market funds with a fair value of $256.1 million, which were classified within Level 1 of the fair value hierarchy. The fair value of these financial instruments was measured based on quoted prices.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1" w:name="page122"/>
    <w:bookmarkEnd w:id="121"/>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Liabilities Detail</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3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Cystic Fibrosis Foundation liability</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trial accruals</w:t>
            </w:r>
          </w:p>
        </w:tc>
        <w:tc>
          <w:tcPr>
            <w:tcW w:w="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Vinbiocare contractual liabilities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research and development expenses</w:t>
            </w:r>
          </w:p>
        </w:tc>
        <w:tc>
          <w:tcPr>
            <w:tcW w:w="5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30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70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equipment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66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(8,740 )</w:t>
            </w:r>
          </w:p>
        </w:tc>
        <w:tc>
          <w:tcPr>
            <w:tcW w:w="4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(5,783 )</w:t>
            </w:r>
          </w:p>
        </w:tc>
        <w:tc>
          <w:tcPr>
            <w:tcW w:w="0" w:type="dxa"/>
            <w:vAlign w:val="bottom"/>
          </w:tcPr>
          <w:p>
            <w:pPr>
              <w:spacing w:after="0"/>
              <w:rPr>
                <w:sz w:val="1"/>
                <w:szCs w:val="1"/>
                <w:color w:val="auto"/>
              </w:rPr>
            </w:pPr>
          </w:p>
        </w:tc>
      </w:tr>
      <w:tr>
        <w:trPr>
          <w:trHeight w:val="236"/>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-2405380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-504825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was $3.0 million, $1.5 million and $1.2 million for the years ended December 31, 2023, 2022 and 2021, respectively. Construction in progress is primarily comprised of research equipment not yet placed in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On April 21, 2023, the Company’s wholly-owned subsidiary, Arcturus Therapeutics, Inc. entered into a credit agreement with Wells Fargo whereby Wells Fargo will make a $50.0 million revolving credit line available to the Company (the “Loan”) and each Loan evidenced by a revolving line of credit note (the “Note”).</w:t>
      </w:r>
    </w:p>
    <w:p>
      <w:pPr>
        <w:spacing w:after="0" w:line="6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w:t>
      </w:r>
    </w:p>
    <w:p>
      <w:pPr>
        <w:spacing w:after="0" w:line="74" w:lineRule="exact"/>
        <w:rPr>
          <w:sz w:val="20"/>
          <w:szCs w:val="20"/>
          <w:color w:val="auto"/>
        </w:rPr>
      </w:pPr>
    </w:p>
    <w:p>
      <w:pPr>
        <w:jc w:val="both"/>
        <w:ind w:right="120" w:firstLine="509"/>
        <w:spacing w:after="0" w:line="280" w:lineRule="auto"/>
        <w:rPr>
          <w:sz w:val="20"/>
          <w:szCs w:val="20"/>
          <w:color w:val="auto"/>
        </w:rPr>
      </w:pPr>
      <w:r>
        <w:rPr>
          <w:rFonts w:ascii="Times New Roman" w:cs="Times New Roman" w:eastAsia="Times New Roman" w:hAnsi="Times New Roman"/>
          <w:sz w:val="17"/>
          <w:szCs w:val="17"/>
          <w:color w:val="auto"/>
        </w:rPr>
        <w:t>The term of the agreement is two years, with an option for one-year renewals subject to Wells Fargo approval and the Company furnishing to Wells Fargo a non-refundable commitment fee equal to 0.25% of the Loan amount for each such renewal. There is no penalty for terminating the facility prior to the maturity date of the Note. As collateral, the Company has agreed to pledge $55.0 million in cash to be held at the Company’s securities accounts with Wells Fargo Securities, LLC, an affiliate of Wells Fargo, pursuant to a security agreement. No amounts were outstanding as of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Supply Agreement</w:t>
      </w:r>
    </w:p>
    <w:p>
      <w:pPr>
        <w:spacing w:after="0" w:line="11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On November 7, 2020, the Company’s wholly-owned subsidiary, Arcturus Therapeutics, Inc., entered into a Manufacturing Support Agreement (the “Support Agreement”) with the Economic Development Board of the</w:t>
      </w:r>
    </w:p>
    <w:p>
      <w:pPr>
        <w:sectPr>
          <w:pgSz w:w="11900" w:h="16838" w:orient="portrait"/>
          <w:cols w:equalWidth="0" w:num="1">
            <w:col w:w="11240"/>
          </w:cols>
          <w:pgMar w:left="320" w:top="76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22" w:name="page123"/>
    <w:bookmarkEnd w:id="122"/>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Republic of Singapore (the “EDB”). Pursuant to the Support Agreement, the EDB agreed to make a term loan (the “Singapore Loan”) of S$62.1 million to the Company, subject to the satisfaction of customary deliveries, to support the manufacture of the LUNAR-COV19 vaccine candidate (ARCT-021). The Singapore Loan accrues interest at a rate of 4.5% per annum calculated on a daily basis. The Company elected to borrow the full amount available under the Support Agreement of S$62.1 million ($46.6 million) on January 29, 2021.</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the EDB agreed to an extension of the reconciliation period to March 22, 2023, with unused funds not utilized for the manufacture of ARCT-021 as of such date returned to the EDB. As of December 31, 2022, the outstanding balance of the Singapore Loan, which includes accrued interest, was $50.4 million of which the Company paid S$22.8 million ($17.1 million) in March 2023. During the first quarter of 2023, the remaining principal portion of the Singapore Loan plus accrued interest, totaling $34.0 million, was forgiven and recorded as a gain on debt extinguishment in the consolidated statement of operations and comprehensive loss.</w:t>
      </w:r>
    </w:p>
    <w:p>
      <w:pPr>
        <w:spacing w:after="0" w:line="74"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Total interest expenses related to the Singapore Loan was $0.5 million, $2.1 million and $1.9 million for the year ended December 31, 2023, 2022 and 2021, respectively. As of December 31, 2023, the Company no longer had debt or interest related to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Agreement with Western Alliance Bank</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March 14, 2023, the Loan and Security Agreement, dated as of October 12, 2018 (as amended and supplemented, the “Western Alliance Agreement”) with Western Alliance Bank, an Arizona corporation (“Western Alliance”), was terminated (the “Termination”) upon the receipt by Western Alliance of a payoff amount of approximately $7.4 million from the Company. The Western Alliance Agreement provided for a collateralized term loan in the aggregate principal amount of up to $15.0 million, with interest at a floating rate ranging from 1.25% to 2.75% above the prime rate and a maturity date of October 30, 2023. The payoff amount was made by the Company to Western Alliance from available cash on hand, pursuant to a payoff letter, and included payment of (i) approximately $7.0 million in principal and interest, (ii) $0.3 million fee payable upon prepayment as a result of prior FDA approval of an IND and (iii) de minimis amounts in prepayment charges and various operational fees. The Company was released from all liens under the Western Alliance Agreement.</w:t>
      </w:r>
    </w:p>
    <w:p>
      <w:pPr>
        <w:spacing w:after="0" w:line="81"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recorded interest expense of $0.3 million, $0.9 million and $0.8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calculation of diluted net loss per share for the year ended December 31, 2023 as they were anti-dilutive totaled 0.8 million. Potentially dilutive securities that were not included in the calculation of diluted earnings per share for the year ended December 31, 2022 as they were anti-dilutive totaled 3.7 million. Potentially dilutive securities that were not included in the calculation of diluted net loss per share for the year ended December 31, 2021 as they were anti-dilutive totaled 1.3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Alexion Pharmaceuticals License Agreement</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February 17, 2021, the Company entered into an exclusive license agreement with Alexion Pharmaceuticals, Inc. (“Alexion”)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valued at approximately $5.0 million. The number of shares issued under the agreement was calculated by dividing (i) five million dollars ($5.0 million) by (ii) the volume-weighted average price per share of the Company’s common stock on the Nasdaq Global Market for the thirty (30) trading days immediately preceding the Effective Date (rounded to the nearest whole share). The Company recorded the transaction as an asset purchase as management concluded that all of the value received was related to a single identifiable asset. Further, the Company concluded that there was no alternative future use for the asset and recorded a charge at the closing of the transaction for the full $5.0 million value assigned to the shares issued in connection with the license agreement. This non-cash charge was recorded as acquired in-process research and development expense in the statements of operations and comprehensive income (loss).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In June 2022 at the Company’s 2022 Annual Meeting of Stockholders (the "2022 Annual Meeting"), the stockholders of the Company approved an amendment to the Company’s 2019 Omnibus Equity Incentive Plan (as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23" w:name="page124"/>
    <w:bookmarkEnd w:id="123"/>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amended, the “2019 Plan”) which, among other things, increases the aggregate number of shares authorized for use in making awards to eligible persons under the 2019 Plan by 3,750,000 shares, for a total of up to 8,750,000 shares available for issuance. As of December 31, 2023, a total of 193,642 shares remain available for future issuance under the 2019 Plan, subject to the terms of the 2019 Plan.</w:t>
      </w:r>
    </w:p>
    <w:p>
      <w:pPr>
        <w:spacing w:after="0" w:line="6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which covers the award of up to 1,000,000 shares of common stock (the “2021 Plan”) effective as of October 15, 2021. Approval of the Company’s stockholders will not be required as a condition to the effectiveness of the 2021 Plan for so long as the plan is in compliance with Nasdaq inducement plan rules. In April 2022, the compensation committee of the Company’s board of directors approved a proposal to reduce the total number of shares available for future issuance under the 2021 Plan to 130,000. As of December 31, 2023, a total of 119,952 shares remain available for future issuance under the 2021 Plan, subject to the terms of the 2021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119"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weighted-average assumptions used in the Black-Scholes valuation model by the Company in calculating the fair value of stock options granted: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8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76.1 %</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82.1 %</w:t>
            </w:r>
          </w:p>
        </w:tc>
        <w:tc>
          <w:tcPr>
            <w:tcW w:w="3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73.7 %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3.91 %</w:t>
            </w:r>
          </w:p>
        </w:tc>
        <w:tc>
          <w:tcPr>
            <w:tcW w:w="30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2.93 %</w:t>
            </w:r>
          </w:p>
        </w:tc>
        <w:tc>
          <w:tcPr>
            <w:tcW w:w="30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date weighted average fair value</w:t>
            </w:r>
          </w:p>
        </w:tc>
        <w:tc>
          <w:tcPr>
            <w:tcW w:w="88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2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6,622,740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8"/>
              </w:rPr>
              <w:t>8.2 years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2,140,206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(237,820 )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(553,999 )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7,971,127</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8"/>
              </w:rPr>
              <w:t>7.9 years</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 December 31, 2023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3,700,692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40" w:type="dxa"/>
            <w:vAlign w:val="bottom"/>
          </w:tcPr>
          <w:p>
            <w:pPr>
              <w:spacing w:after="0"/>
              <w:rPr>
                <w:sz w:val="19"/>
                <w:szCs w:val="19"/>
                <w:color w:val="auto"/>
              </w:rPr>
            </w:pPr>
          </w:p>
        </w:tc>
        <w:tc>
          <w:tcPr>
            <w:tcW w:w="12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6.6 years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Exercisable and expected to vest –</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7,971,127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8"/>
              </w:rPr>
              <w:t>7.9 years</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-495935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-478790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2023, the total unrecognized compensation cost of $78.8 million will be recognized over the weighted-average remaining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approximately 3.0 years. The fair value of the options vested during the years ended December 31, 2023 , 2022 and 2021 was $35.3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 million and $28.4 million, respectively. The total intrinsic value of options exercised during the years ended December 31, 2023, 2022 and 2021was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million, $1.6 million and $3.6 million, respectively.</w:t>
      </w:r>
    </w:p>
    <w:p>
      <w:pPr>
        <w:spacing w:after="0" w:line="98"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In August 2023, the Company granted 18,786 restricted stock units to its board of directors, when the fair value of the Company's common stock was $34.92 per share. These restricted stock units will vest at the Company's 2024 annual stockholders' meeting.</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expenses included in the Company’s statements of operations and comprehensive income (loss)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2022 and 2021 were:</w:t>
      </w: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124" w:name="page125"/>
    <w:bookmarkEnd w:id="124"/>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100" w:type="dxa"/>
            <w:vAlign w:val="bottom"/>
            <w:shd w:val="clear" w:color="auto" w:fill="CFF0FC"/>
          </w:tcPr>
          <w:p>
            <w:pPr>
              <w:spacing w:after="0"/>
              <w:rPr>
                <w:sz w:val="20"/>
                <w:szCs w:val="20"/>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-24765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(loss) income before income taxes for domestic and foreign locations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(27,890 )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(203,674 )</w:t>
            </w: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(27,890 )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(203,674 )</w:t>
            </w: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-24765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-7620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income tax expense for the years ended December 31, 2023, 2022 and 2021 is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6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5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4988560</wp:posOffset>
            </wp:positionH>
            <wp:positionV relativeFrom="paragraph">
              <wp:posOffset>-1266825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-1266825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-170815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-170815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00" w:type="dxa"/>
            <w:vAlign w:val="bottom"/>
            <w:gridSpan w:val="5"/>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5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2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7.2 %</w:t>
            </w:r>
          </w:p>
        </w:tc>
        <w:tc>
          <w:tcPr>
            <w:tcW w:w="28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16.1 %</w:t>
            </w:r>
          </w:p>
        </w:tc>
        <w:tc>
          <w:tcPr>
            <w:tcW w:w="2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21.8 %</w:t>
            </w:r>
          </w:p>
        </w:tc>
        <w:tc>
          <w:tcPr>
            <w:tcW w:w="2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20.0 %</w:t>
            </w:r>
          </w:p>
        </w:tc>
        <w:tc>
          <w:tcPr>
            <w:tcW w:w="2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(40.3 %)</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9.0 %</w:t>
            </w:r>
          </w:p>
        </w:tc>
        <w:tc>
          <w:tcPr>
            <w:tcW w:w="2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tax rate</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c>
          <w:tcPr>
            <w:tcW w:w="2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(12.6 %)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(36.5 %)</w:t>
            </w:r>
          </w:p>
        </w:tc>
        <w:tc>
          <w:tcPr>
            <w:tcW w:w="2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(9.4 %)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2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(1.0 %)</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8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12.2 %</w:t>
            </w: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6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-1870075</wp:posOffset>
            </wp:positionV>
            <wp:extent cx="7145020" cy="295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extLst>
                    </a:blip>
                    <a:srcRect/>
                    <a:stretch>
                      <a:fillRect/>
                    </a:stretch>
                  </pic:blipFill>
                  <pic:spPr bwMode="auto">
                    <a:xfrm>
                      <a:off x="0" y="0"/>
                      <a:ext cx="7145020" cy="2952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type w:val="continuous"/>
        </w:sectPr>
      </w:pPr>
    </w:p>
    <w:bookmarkStart w:id="125" w:name="page126"/>
    <w:bookmarkEnd w:id="125"/>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significant components of deferred income taxes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w:t>
            </w:r>
          </w:p>
        </w:tc>
        <w:tc>
          <w:tcPr>
            <w:tcW w:w="2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Basis difference in equity investments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R&amp;D</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lease liability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106,924</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(1,184 )</w:t>
            </w:r>
          </w:p>
        </w:tc>
        <w:tc>
          <w:tcPr>
            <w:tcW w:w="5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(475 )</w:t>
            </w:r>
          </w:p>
        </w:tc>
      </w:tr>
      <w:tr>
        <w:trPr>
          <w:trHeight w:val="243"/>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(6,822 )</w:t>
            </w:r>
          </w:p>
        </w:tc>
        <w:tc>
          <w:tcPr>
            <w:tcW w:w="5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(7,826 )</w:t>
            </w:r>
          </w:p>
        </w:tc>
      </w:tr>
      <w:tr>
        <w:trPr>
          <w:trHeight w:val="20"/>
        </w:trPr>
        <w:tc>
          <w:tcPr>
            <w:tcW w:w="75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(8,006 )</w:t>
            </w:r>
          </w:p>
        </w:tc>
        <w:tc>
          <w:tcPr>
            <w:tcW w:w="5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(8,301 )</w:t>
            </w: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(108,806 )</w:t>
            </w:r>
          </w:p>
        </w:tc>
        <w:tc>
          <w:tcPr>
            <w:tcW w:w="5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(98,623 )</w:t>
            </w:r>
          </w:p>
        </w:tc>
      </w:tr>
      <w:tr>
        <w:trPr>
          <w:trHeight w:val="23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-1129665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-504825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assessing the realization of the deferred tax assets, the Company considers whether it is more likely than not that some portion of the deferred tax assets will not be realized. The ultimate realization of deferred tax assets is dependent upon the generation of future taxable income during the periods in which temporary differences representing net future deductible amounts become deductible. Due to lack of available sources of taxable income, the Company recorded a full valuation allowance against its net deferred tax assets as sufficient uncertainty exists regarding the future realization of these assets. As of December 31, 2023 and 2022, the Company recorded a valuation allowance of $108.8 million and $98.6 million, respectively. The valuation allowance changed by $10.2 million and ($1.0) million for the years ended December 31, 2023 and 2022, respectively.</w:t>
      </w:r>
    </w:p>
    <w:p>
      <w:pPr>
        <w:spacing w:after="0" w:line="78"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At December 31, 2023, the Company has federal and state net operating losses, or NOL, carryforwards of approximately $27.9 million and $193.7 million, respectively. The federal net operating loss carryover includes $27.9 million of net operating losses generated in 2018 and after which can be carried forward indefinitely. The Company's state net operating losses start to expire 2039.</w:t>
      </w:r>
    </w:p>
    <w:p>
      <w:pPr>
        <w:spacing w:after="0" w:line="69"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At December 31, 2023, the Company has federal and state research and development credit carryforwards of approximately $6.3 million and $6.6 million, respectively. The federal credit carryforwards begin to expire in 2037, and the state credits carry forward indefinitely. Additionally, the Company has an Orphan Drug Credit of $2.3 million as of December 31, 2023 which will begin to expire in 2042 unless previously utilized.</w:t>
      </w:r>
    </w:p>
    <w:p>
      <w:pPr>
        <w:spacing w:after="0" w:line="6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Pursuant to Internal Revenue Code (IRC) Sections 382 and 383, annual use of the Company’s federal and California net operating loss and research and development credit carryforwards may be limited in the event a cumulative change in ownership of more than 50% occurs within a three-year period. The Company has completed an IRC Section 382 analysis through December 31, 2023 regarding the limitation of net operating loss carryforwards and other tax attributes. The Company experienced ownership changes in 2018 and 2020; however, the Company estimates that all tax attributes can be utilized. There is a risk that additional ownership changes may occur in the future. If a change in ownership occurs, the NOL carryforwards and other tax attributes could be limited or restricted.</w:t>
      </w:r>
    </w:p>
    <w:p>
      <w:pPr>
        <w:spacing w:after="0" w:line="76"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6" w:name="page127"/>
    <w:bookmarkEnd w:id="126"/>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unrecognized tax benefits is as follows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 of prior period tax positions</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for prior period tax positions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8"/>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for current period tax positions</w:t>
            </w: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 of unrecognized tax benefits</w:t>
            </w: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Amounts in the summary rollforward would not impact the effective tax rate as the Company maintains a full valuation on its net deferred tax assets. The Company is subject to taxation and files income tax returns in the United States, various U.S. states and foreign jurisdictions. The Company’s tax years from 2014 to date are subject to examination by the U.S., and state taxing authorities due to the carryforward of unutilized net operating losses and research and development credits. The Company’s policy is to recognize interest expense and penalties related to income tax matters as income tax expense. There was no tax related interest or penalties recognized for the years ended December 31, 2023, 2022 and 2021.</w:t>
      </w:r>
    </w:p>
    <w:p>
      <w:pPr>
        <w:spacing w:after="0" w:line="74" w:lineRule="exact"/>
        <w:rPr>
          <w:sz w:val="20"/>
          <w:szCs w:val="20"/>
          <w:color w:val="auto"/>
        </w:rPr>
      </w:pPr>
    </w:p>
    <w:p>
      <w:pPr>
        <w:ind w:right="2180" w:firstLine="509"/>
        <w:spacing w:after="0" w:line="453" w:lineRule="auto"/>
        <w:rPr>
          <w:sz w:val="20"/>
          <w:szCs w:val="20"/>
          <w:color w:val="auto"/>
        </w:rPr>
      </w:pPr>
      <w:r>
        <w:rPr>
          <w:rFonts w:ascii="Times New Roman" w:cs="Times New Roman" w:eastAsia="Times New Roman" w:hAnsi="Times New Roman"/>
          <w:sz w:val="18"/>
          <w:szCs w:val="18"/>
          <w:color w:val="auto"/>
        </w:rPr>
        <w:t xml:space="preserve">The Company does not anticipate any material changes to its unrecognized tax benefits within the next twelve months. </w:t>
      </w:r>
      <w:r>
        <w:rPr>
          <w:rFonts w:ascii="Times New Roman" w:cs="Times New Roman" w:eastAsia="Times New Roman" w:hAnsi="Times New Roman"/>
          <w:sz w:val="18"/>
          <w:szCs w:val="18"/>
          <w:b w:val="1"/>
          <w:bCs w:val="1"/>
          <w:color w:val="auto"/>
        </w:rPr>
        <w:t>NOTE 11. Commitments and Contingencies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Cystic Fibrosis Foundation Therapeutics Funding agreement</w:t>
      </w:r>
    </w:p>
    <w:p>
      <w:pPr>
        <w:spacing w:after="0" w:line="119" w:lineRule="exact"/>
        <w:rPr>
          <w:sz w:val="20"/>
          <w:szCs w:val="20"/>
          <w:color w:val="auto"/>
        </w:rPr>
      </w:pPr>
    </w:p>
    <w:p>
      <w:pPr>
        <w:jc w:val="both"/>
        <w:ind w:right="20" w:firstLine="509"/>
        <w:spacing w:after="0" w:line="272" w:lineRule="auto"/>
        <w:rPr>
          <w:sz w:val="20"/>
          <w:szCs w:val="20"/>
          <w:color w:val="auto"/>
        </w:rPr>
      </w:pPr>
      <w:r>
        <w:rPr>
          <w:rFonts w:ascii="Times New Roman" w:cs="Times New Roman" w:eastAsia="Times New Roman" w:hAnsi="Times New Roman"/>
          <w:sz w:val="17"/>
          <w:szCs w:val="17"/>
          <w:color w:val="auto"/>
        </w:rPr>
        <w:t>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(ii) the Company agreed to incur at least $15.0 million toward activities under the research plan.</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the Company received the full payment from CFF related to the amendment. For the years ended December 31, 2023, 2022 and 2021, the Company recognized contra expense of $1.4 million, $5.2 million and $3.8 million, respectively. As of December 31, 2023, $7.6 million remained in accrued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$0.1 million upon executing the lease which is included (along with additional funds required to secure the letter of credit) in the balance of non-current restricted cash.</w:t>
      </w:r>
    </w:p>
    <w:p>
      <w:pPr>
        <w:spacing w:after="0" w:line="78"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w:t>
      </w:r>
    </w:p>
    <w:p>
      <w:pPr>
        <w:spacing w:after="0" w:line="6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 September 2021, the Company entered into a fourth non-cancellable lease agreement for office, research and development, engineering and laboratory space near its current headquarters and lease term commenced during the second quarter of 2022. The initial term of the lease will extend ten years and eight months from the date of possession, and the Company will have the right to extend the term of the lease for an additional five-year period. When the lease term was determined for the operating lease right-of-use assets and lease liabilities, the extension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7" w:name="page128"/>
    <w:bookmarkEnd w:id="127"/>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w:t>
      </w:r>
    </w:p>
    <w:p>
      <w:pPr>
        <w:spacing w:after="0" w:line="74"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remaining payments of the operating lease liability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Remaining Lease</w:t>
            </w:r>
          </w:p>
        </w:tc>
      </w:tr>
      <w:tr>
        <w:trPr>
          <w:trHeight w:val="187"/>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214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32"/>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8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380" w:type="dxa"/>
            <w:vAlign w:val="bottom"/>
            <w:shd w:val="clear" w:color="auto" w:fill="CFF0FC"/>
          </w:tcPr>
          <w:p>
            <w:pPr>
              <w:spacing w:after="0"/>
              <w:rPr>
                <w:sz w:val="20"/>
                <w:szCs w:val="20"/>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(6,335 )</w:t>
            </w:r>
          </w:p>
        </w:tc>
        <w:tc>
          <w:tcPr>
            <w:tcW w:w="60" w:type="dxa"/>
            <w:vAlign w:val="bottom"/>
          </w:tcPr>
          <w:p>
            <w:pPr>
              <w:spacing w:after="0"/>
              <w:rPr>
                <w:sz w:val="20"/>
                <w:szCs w:val="20"/>
                <w:color w:val="auto"/>
              </w:rPr>
            </w:pPr>
          </w:p>
        </w:tc>
      </w:tr>
      <w:tr>
        <w:trPr>
          <w:trHeight w:val="276"/>
        </w:trPr>
        <w:tc>
          <w:tcPr>
            <w:tcW w:w="8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0" w:type="dxa"/>
            <w:vAlign w:val="bottom"/>
          </w:tcPr>
          <w:p>
            <w:pPr>
              <w:spacing w:after="0"/>
              <w:rPr>
                <w:sz w:val="20"/>
                <w:szCs w:val="20"/>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Operating lease costs consist of the fixed lease payments included in operating lease liability and are recorded on a straight-line basis over the lease terms. Operating lease costs were $5.6 million, $4.7 million and $1.9 million for the years ended December 31, 2023, 2022 and 2021,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December 13, 2022, Vallon Pharmaceuticals, Inc. (“Vallon”) entered into an agreement with GRI Bio, Inc. (“GRI Bio”) pursuant to which GRI Bio was to merge with a wholly-owned subsidiary of Vallon in an all-stock transaction. The transaction closed in April 2023 and the Company's executive resigned from the board of directors of Vallon. Following the closing of the merger, the combined company now operates under the name “GRI Bio, Inc.” and will focus on the development of GRI Bio’s pipeline and trade on the Nasdaq under the ticker symbol “GRI”. Following the closing of the merger, the Company holds 28,125 shares in GRI Bio, or approximately 1%. Upon the closing of the merger, the Company determined that it did not have the ability to exercise significant influence over operating and financial policies of GRI Bio. As such, the Company discontinued the equity method of accounting for its investment in GRI Bio.</w:t>
      </w:r>
    </w:p>
    <w:p>
      <w:pPr>
        <w:spacing w:after="0" w:line="79"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See “Note 2, Joint Ventures, Equity Method Investments and Variable Interest Entities” for specific details surrounding the Company’s agreement with Axcelead to form the joint venture entity, ARCALIS, Inc.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of March 21, 2023, there were 26,555,843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ind w:right="100"/>
        <w:spacing w:after="0" w:line="25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fully paid and non-assessable. The rights, preferences and privileges of holders of our common stock are subject to, and may be adversely affected by, the rights of the holders of shares of any of our outstanding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under the symbol “ARCT” on the NASDAQ.</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have not declared any cash dividends on our common stock since inception and we do not anticipate paying any cash dividends on our common stock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Anti-Takeover Effects of Delaware Law and our Charter Documents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removal or otherwise or newly created directorships may be filled by the vote of the majority of directors then in office, although less than a quorum, or by a sole remaining director.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Size of Board and Vacancies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Liability</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Our bylaws limit the extent to which our directors are personally liable to us and our stockholders, to the fullest extent permitted by the DGCL. The inclusion of this provision in our bylaws may reduce the likelihood of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0" w:name="page131"/>
    <w:bookmarkEnd w:id="130"/>
    <w:p>
      <w:pPr>
        <w:spacing w:after="0" w:line="281" w:lineRule="auto"/>
        <w:rPr>
          <w:sz w:val="20"/>
          <w:szCs w:val="20"/>
          <w:color w:val="auto"/>
        </w:rPr>
      </w:pPr>
      <w:r>
        <w:rPr>
          <w:rFonts w:ascii="Times New Roman" w:cs="Times New Roman" w:eastAsia="Times New Roman" w:hAnsi="Times New Roman"/>
          <w:sz w:val="18"/>
          <w:szCs w:val="18"/>
          <w:color w:val="auto"/>
        </w:rPr>
        <w:t>litigation against directors and may discourage or deter stockholders or management from bringing a lawsuit against directors for breach of their duty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6" w:right="6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Effective January 1, 2024</w:t>
      </w:r>
    </w:p>
    <w:p>
      <w:pPr>
        <w:spacing w:after="0" w:line="221" w:lineRule="exact"/>
        <w:rPr>
          <w:sz w:val="20"/>
          <w:szCs w:val="20"/>
          <w:color w:val="auto"/>
        </w:rPr>
      </w:pPr>
    </w:p>
    <w:p>
      <w:pPr>
        <w:ind w:left="2060" w:right="2020" w:firstLine="351"/>
        <w:spacing w:after="0" w:line="278" w:lineRule="auto"/>
        <w:rPr>
          <w:sz w:val="20"/>
          <w:szCs w:val="20"/>
          <w:color w:val="auto"/>
        </w:rPr>
      </w:pPr>
      <w:r>
        <w:rPr>
          <w:rFonts w:ascii="Times New Roman" w:cs="Times New Roman" w:eastAsia="Times New Roman" w:hAnsi="Times New Roman"/>
          <w:sz w:val="17"/>
          <w:szCs w:val="17"/>
          <w:b w:val="1"/>
          <w:bCs w:val="1"/>
          <w:color w:val="auto"/>
        </w:rPr>
        <w:t>ARCTURUS THERAPEUTICS HOLDINGS INC. INSIDER TRADING POLICY and Guidelines with Respect to Certain Company Information and Certain Transactions in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Company Securities</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38" w:lineRule="exact"/>
        <w:rPr>
          <w:sz w:val="20"/>
          <w:szCs w:val="20"/>
          <w:color w:val="auto"/>
        </w:rPr>
      </w:pPr>
    </w:p>
    <w:p>
      <w:pPr>
        <w:ind w:left="80" w:right="120"/>
        <w:spacing w:after="0" w:line="257"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provides guidelines with respect to transactions in the securities of Arcturus Therapeutics Holdings Inc. (including subsidiaries where applicable, the “Company”) and the handling of material confidential information about the Company and the companies with which the Company engages in transactions or does business. The Company’s Board of Directors has adopted this Policy to promote compliance with U.S. federal, state and foreign securities laws that prohibit certain persons who are aware of material nonpublic information about a company from: (i) trading in securities of that company; or (ii) providing material nonpublic information to other persons who may trade based on that information.</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Persons Subject to the Policy</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This Policy applies to (each of the following,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left="880" w:hanging="37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of the Company;</w:t>
      </w:r>
    </w:p>
    <w:p>
      <w:pPr>
        <w:spacing w:after="0" w:line="224"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w:t>
      </w:r>
    </w:p>
    <w:p>
      <w:pPr>
        <w:spacing w:after="0" w:line="237"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w:t>
      </w:r>
    </w:p>
    <w:p>
      <w:pPr>
        <w:spacing w:after="0" w:line="237" w:lineRule="exact"/>
        <w:rPr>
          <w:rFonts w:ascii="Times New Roman" w:cs="Times New Roman" w:eastAsia="Times New Roman" w:hAnsi="Times New Roman"/>
          <w:sz w:val="18"/>
          <w:szCs w:val="18"/>
          <w:color w:val="auto"/>
        </w:rPr>
      </w:pPr>
    </w:p>
    <w:p>
      <w:pPr>
        <w:ind w:left="860" w:hanging="358"/>
        <w:spacing w:after="0"/>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consultants and independent contractors of the Company who receive or have access to material nonpublic information;</w:t>
      </w:r>
    </w:p>
    <w:p>
      <w:pPr>
        <w:spacing w:after="0" w:line="224"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Family Members and Controlled Entities, each as defined below; and</w:t>
      </w:r>
    </w:p>
    <w:p>
      <w:pPr>
        <w:spacing w:after="0" w:line="237" w:lineRule="exact"/>
        <w:rPr>
          <w:rFonts w:ascii="Times New Roman" w:cs="Times New Roman" w:eastAsia="Times New Roman" w:hAnsi="Times New Roman"/>
          <w:sz w:val="18"/>
          <w:szCs w:val="18"/>
          <w:color w:val="auto"/>
        </w:rPr>
      </w:pPr>
    </w:p>
    <w:p>
      <w:pPr>
        <w:ind w:left="840" w:right="1120" w:hanging="338"/>
        <w:spacing w:after="0" w:line="281" w:lineRule="auto"/>
        <w:tabs>
          <w:tab w:leader="none" w:pos="8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persons who receive or have access to material nonpublic information that the Company designates as subject to this Policy.</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Subject to the Policy</w:t>
      </w:r>
    </w:p>
    <w:p>
      <w:pPr>
        <w:spacing w:after="0" w:line="225" w:lineRule="exact"/>
        <w:rPr>
          <w:sz w:val="20"/>
          <w:szCs w:val="20"/>
          <w:color w:val="auto"/>
        </w:rPr>
      </w:pPr>
    </w:p>
    <w:p>
      <w:pPr>
        <w:ind w:left="80" w:right="240"/>
        <w:spacing w:after="0" w:line="259"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xml:space="preserve">”),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Transactions subject to this Policy include purchases, sales and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of Company Securities.</w:t>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Individual Responsibility</w:t>
      </w:r>
    </w:p>
    <w:p>
      <w:pPr>
        <w:spacing w:after="0" w:line="229" w:lineRule="exact"/>
        <w:rPr>
          <w:sz w:val="20"/>
          <w:szCs w:val="20"/>
          <w:color w:val="auto"/>
        </w:rPr>
      </w:pPr>
    </w:p>
    <w:p>
      <w:pPr>
        <w:ind w:left="80" w:right="180"/>
        <w:spacing w:after="0" w:line="265"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w:t>
      </w:r>
    </w:p>
    <w:p>
      <w:pPr>
        <w:spacing w:after="0" w:line="187" w:lineRule="exact"/>
        <w:rPr>
          <w:sz w:val="20"/>
          <w:szCs w:val="20"/>
          <w:color w:val="auto"/>
        </w:rPr>
      </w:pPr>
    </w:p>
    <w:p>
      <w:pPr>
        <w:jc w:val="both"/>
        <w:ind w:left="80" w:right="5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Each individual is responsible for making sure that he, she or they complies with this Policy, and that any Family Member or Controlled Entity whose transactions are subject to this Policy, also complies with this Policy. </w:t>
      </w:r>
      <w:r>
        <w:rPr>
          <w:rFonts w:ascii="Times New Roman" w:cs="Times New Roman" w:eastAsia="Times New Roman" w:hAnsi="Times New Roman"/>
          <w:sz w:val="18"/>
          <w:szCs w:val="18"/>
          <w:color w:val="auto"/>
        </w:rPr>
        <w:t>In all cases, the responsibility for determining whether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is in possession of material nonpublic</w:t>
      </w:r>
    </w:p>
    <w:p>
      <w:pPr>
        <w:spacing w:after="0" w:line="39" w:lineRule="exact"/>
        <w:rPr>
          <w:sz w:val="20"/>
          <w:szCs w:val="20"/>
          <w:color w:val="auto"/>
        </w:rPr>
      </w:pPr>
    </w:p>
    <w:p>
      <w:pPr>
        <w:ind w:left="80" w:right="80"/>
        <w:spacing w:after="0" w:line="281" w:lineRule="auto"/>
        <w:rPr>
          <w:sz w:val="20"/>
          <w:szCs w:val="20"/>
          <w:color w:val="auto"/>
        </w:rPr>
      </w:pPr>
      <w:r>
        <w:rPr>
          <w:rFonts w:ascii="Times New Roman" w:cs="Times New Roman" w:eastAsia="Times New Roman" w:hAnsi="Times New Roman"/>
          <w:sz w:val="18"/>
          <w:szCs w:val="18"/>
          <w:color w:val="auto"/>
        </w:rPr>
        <w:t>information rests with that individual, and any action on the part of the Company, the Compliance Officer or any other employee or director pursuant to this Policy (or otherwise) does not in any way constitute legal advice 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603885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764" w:right="459" w:bottom="1440" w:gutter="0" w:footer="0" w:header="0"/>
        </w:sectPr>
      </w:pPr>
    </w:p>
    <w:bookmarkStart w:id="132" w:name="page133"/>
    <w:bookmarkEnd w:id="132"/>
    <w:p>
      <w:pPr>
        <w:ind w:left="80" w:right="180"/>
        <w:spacing w:after="0" w:line="265" w:lineRule="auto"/>
        <w:rPr>
          <w:sz w:val="20"/>
          <w:szCs w:val="20"/>
          <w:color w:val="auto"/>
        </w:rPr>
      </w:pPr>
      <w:r>
        <w:rPr>
          <w:rFonts w:ascii="Times New Roman" w:cs="Times New Roman" w:eastAsia="Times New Roman" w:hAnsi="Times New Roman"/>
          <w:sz w:val="18"/>
          <w:szCs w:val="18"/>
          <w:color w:val="auto"/>
        </w:rPr>
        <w:t>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of the Policy</w:t>
      </w:r>
    </w:p>
    <w:p>
      <w:pPr>
        <w:spacing w:after="0" w:line="238" w:lineRule="exact"/>
        <w:rPr>
          <w:sz w:val="20"/>
          <w:szCs w:val="20"/>
          <w:color w:val="auto"/>
        </w:rPr>
      </w:pPr>
    </w:p>
    <w:p>
      <w:pPr>
        <w:ind w:left="80" w:right="120"/>
        <w:spacing w:after="0" w:line="259" w:lineRule="auto"/>
        <w:rPr>
          <w:sz w:val="20"/>
          <w:szCs w:val="20"/>
          <w:color w:val="auto"/>
        </w:rPr>
      </w:pPr>
      <w:r>
        <w:rPr>
          <w:rFonts w:ascii="Times New Roman" w:cs="Times New Roman" w:eastAsia="Times New Roman" w:hAnsi="Times New Roman"/>
          <w:sz w:val="18"/>
          <w:szCs w:val="18"/>
          <w:color w:val="auto"/>
        </w:rPr>
        <w:t>For the purposes of this Policy, the Chief Legal Officer of the Company shall serve as the “</w:t>
      </w:r>
      <w:r>
        <w:rPr>
          <w:rFonts w:ascii="Times New Roman" w:cs="Times New Roman" w:eastAsia="Times New Roman" w:hAnsi="Times New Roman"/>
          <w:sz w:val="18"/>
          <w:szCs w:val="18"/>
          <w:b w:val="1"/>
          <w:bCs w:val="1"/>
          <w:i w:val="1"/>
          <w:iCs w:val="1"/>
          <w:color w:val="auto"/>
        </w:rPr>
        <w:t>Compliance Officer</w:t>
      </w:r>
      <w:r>
        <w:rPr>
          <w:rFonts w:ascii="Times New Roman" w:cs="Times New Roman" w:eastAsia="Times New Roman" w:hAnsi="Times New Roman"/>
          <w:sz w:val="18"/>
          <w:szCs w:val="18"/>
          <w:color w:val="auto"/>
        </w:rPr>
        <w:t>.” The Compliance Officer shall be responsible for administration of this Policy. In the absence of the Chief Legal Officer of the Company, the Chief Compliance Officer of the Company (or such other officer of the Company that has been designated by the Chief Legal Officer of the Company in advance of such absence) shall serve as the “Compliance Officer” for purposes of this Policy during such absence. All determinations and interpretations by the Compliance Officer shall be final and not subject to further review.</w:t>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9" w:lineRule="exact"/>
        <w:rPr>
          <w:sz w:val="20"/>
          <w:szCs w:val="20"/>
          <w:color w:val="auto"/>
        </w:rPr>
      </w:pPr>
    </w:p>
    <w:p>
      <w:pPr>
        <w:ind w:left="80" w:right="40"/>
        <w:spacing w:after="0" w:line="265" w:lineRule="auto"/>
        <w:rPr>
          <w:sz w:val="20"/>
          <w:szCs w:val="20"/>
          <w:color w:val="auto"/>
        </w:rPr>
      </w:pP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No director, officer, employee, consultant, or independent contractor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spacing w:after="0" w:line="191" w:lineRule="exact"/>
        <w:rPr>
          <w:sz w:val="20"/>
          <w:szCs w:val="20"/>
          <w:color w:val="auto"/>
        </w:rPr>
      </w:pPr>
    </w:p>
    <w:p>
      <w:pPr>
        <w:ind w:left="1540" w:right="520" w:hanging="724"/>
        <w:spacing w:after="0" w:line="281"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“Transactions Under Company Plans” and “Rule 10b5-1 Plans;”</w:t>
      </w:r>
    </w:p>
    <w:p>
      <w:pPr>
        <w:spacing w:after="0" w:line="176"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that others engage in transactions in any Company Securities;</w:t>
      </w:r>
    </w:p>
    <w:p>
      <w:pPr>
        <w:spacing w:after="0" w:line="224" w:lineRule="exact"/>
        <w:rPr>
          <w:rFonts w:ascii="Times New Roman" w:cs="Times New Roman" w:eastAsia="Times New Roman" w:hAnsi="Times New Roman"/>
          <w:sz w:val="18"/>
          <w:szCs w:val="18"/>
          <w:color w:val="auto"/>
        </w:rPr>
      </w:pPr>
    </w:p>
    <w:p>
      <w:pPr>
        <w:ind w:left="1560" w:right="100" w:hanging="744"/>
        <w:spacing w:after="0" w:line="260" w:lineRule="auto"/>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95"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ind w:left="80"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Securities of Third Parties</w:t>
      </w:r>
      <w:r>
        <w:rPr>
          <w:rFonts w:ascii="Times New Roman" w:cs="Times New Roman" w:eastAsia="Times New Roman" w:hAnsi="Times New Roman"/>
          <w:sz w:val="18"/>
          <w:szCs w:val="18"/>
          <w:color w:val="auto"/>
        </w:rPr>
        <w:t>. In addition, it is the policy of the Company that no director, officer, employee, consultant, or independent contractor of the Company (or any other person designated as subject to this Policy) who, in the course of working for the Company, learns of material nonpublic information about another company (1) with which the Company does business, such as the Company’s distributors, vendors, customers and suppliers, or (2) that is involved in a potential transaction or business relationship with Company, may engage in transactions in that other company’s securities until the information becomes public or is no longer material.</w:t>
      </w:r>
    </w:p>
    <w:p>
      <w:pPr>
        <w:spacing w:after="0" w:line="195" w:lineRule="exact"/>
        <w:rPr>
          <w:sz w:val="20"/>
          <w:szCs w:val="20"/>
          <w:color w:val="auto"/>
        </w:rPr>
      </w:pPr>
    </w:p>
    <w:p>
      <w:pPr>
        <w:ind w:left="80" w:right="140"/>
        <w:spacing w:after="0" w:line="257" w:lineRule="auto"/>
        <w:rPr>
          <w:sz w:val="20"/>
          <w:szCs w:val="20"/>
          <w:color w:val="auto"/>
        </w:rPr>
      </w:pPr>
      <w:r>
        <w:rPr>
          <w:rFonts w:ascii="Times New Roman" w:cs="Times New Roman" w:eastAsia="Times New Roman" w:hAnsi="Times New Roman"/>
          <w:sz w:val="18"/>
          <w:szCs w:val="18"/>
          <w:u w:val="single" w:color="auto"/>
          <w:color w:val="auto"/>
        </w:rPr>
        <w:t>Confidentiality Obligation</w:t>
      </w:r>
      <w:r>
        <w:rPr>
          <w:rFonts w:ascii="Times New Roman" w:cs="Times New Roman" w:eastAsia="Times New Roman" w:hAnsi="Times New Roman"/>
          <w:sz w:val="18"/>
          <w:szCs w:val="18"/>
          <w:color w:val="auto"/>
        </w:rPr>
        <w:t>. Everyone associated with the Company has a duty to protect the confidential information, including material nonpublic information, of the Company. Nonpublic information relating to the Company is the property of the Company and the unauthorized disclosure of such information is forbidden.</w:t>
      </w:r>
    </w:p>
    <w:p>
      <w:pPr>
        <w:spacing w:after="0" w:line="1" w:lineRule="exact"/>
        <w:rPr>
          <w:sz w:val="20"/>
          <w:szCs w:val="20"/>
          <w:color w:val="auto"/>
        </w:rPr>
      </w:pPr>
    </w:p>
    <w:p>
      <w:pPr>
        <w:ind w:left="80" w:right="60"/>
        <w:spacing w:after="0" w:line="252" w:lineRule="auto"/>
        <w:rPr>
          <w:sz w:val="20"/>
          <w:szCs w:val="20"/>
          <w:color w:val="auto"/>
        </w:rPr>
      </w:pPr>
      <w:r>
        <w:rPr>
          <w:rFonts w:ascii="Times New Roman" w:cs="Times New Roman" w:eastAsia="Times New Roman" w:hAnsi="Times New Roman"/>
          <w:sz w:val="18"/>
          <w:szCs w:val="18"/>
          <w:color w:val="auto"/>
        </w:rPr>
        <w:t>Accordingly, such information must be strictly safeguarded and not shared with unauthorized third parties including family members, household members and controlled entities, as described below. In the event any officer, director or employee of the Company receives any inquiry from outside the Company, such as a stock analyst, for information (particularly financial results and/or projections) that may be material nonpublic information, the inquiry should be referred to the Chief Executive Officer or Chief Financial Officer and to the other appropriate Company officers, as provided for in the Investor Relations Policy of the Company.</w:t>
      </w:r>
    </w:p>
    <w:p>
      <w:pPr>
        <w:spacing w:after="0" w:line="203" w:lineRule="exact"/>
        <w:rPr>
          <w:sz w:val="20"/>
          <w:szCs w:val="20"/>
          <w:color w:val="auto"/>
        </w:rPr>
      </w:pPr>
    </w:p>
    <w:p>
      <w:pPr>
        <w:ind w:left="80" w:right="320"/>
        <w:spacing w:after="0" w:line="265" w:lineRule="auto"/>
        <w:rPr>
          <w:sz w:val="20"/>
          <w:szCs w:val="20"/>
          <w:color w:val="auto"/>
        </w:rPr>
      </w:pPr>
      <w:r>
        <w:rPr>
          <w:rFonts w:ascii="Times New Roman" w:cs="Times New Roman" w:eastAsia="Times New Roman" w:hAnsi="Times New Roman"/>
          <w:sz w:val="18"/>
          <w:szCs w:val="18"/>
          <w:u w:val="single" w:color="auto"/>
          <w:color w:val="auto"/>
        </w:rPr>
        <w:t>Limited Exceptions</w:t>
      </w:r>
      <w:r>
        <w:rPr>
          <w:rFonts w:ascii="Times New Roman" w:cs="Times New Roman" w:eastAsia="Times New Roman" w:hAnsi="Times New Roman"/>
          <w:sz w:val="18"/>
          <w:szCs w:val="18"/>
          <w:color w:val="auto"/>
        </w:rPr>
        <w:t>. 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w:t>
      </w:r>
    </w:p>
    <w:p>
      <w:pPr>
        <w:spacing w:after="0" w:line="29" w:lineRule="exact"/>
        <w:rPr>
          <w:sz w:val="20"/>
          <w:szCs w:val="20"/>
          <w:color w:val="auto"/>
        </w:rPr>
      </w:pPr>
    </w:p>
    <w:p>
      <w:pPr>
        <w:ind w:left="80" w:right="100"/>
        <w:spacing w:after="0" w:line="281" w:lineRule="auto"/>
        <w:rPr>
          <w:sz w:val="20"/>
          <w:szCs w:val="20"/>
          <w:color w:val="auto"/>
        </w:rPr>
      </w:pPr>
      <w:r>
        <w:rPr>
          <w:rFonts w:ascii="Times New Roman" w:cs="Times New Roman" w:eastAsia="Times New Roman" w:hAnsi="Times New Roman"/>
          <w:sz w:val="18"/>
          <w:szCs w:val="18"/>
          <w:color w:val="auto"/>
        </w:rPr>
        <w:t>mitigating circumstances, and, in any event, even the appearance of an improper transaction must be avoided to preserve the Company’s reputation for adhering to the highest standards of conduct.</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Material Nonpublic Information</w:t>
      </w:r>
    </w:p>
    <w:p>
      <w:pPr>
        <w:spacing w:after="0" w:line="225" w:lineRule="exact"/>
        <w:rPr>
          <w:sz w:val="20"/>
          <w:szCs w:val="20"/>
          <w:color w:val="auto"/>
        </w:rPr>
      </w:pPr>
    </w:p>
    <w:p>
      <w:pPr>
        <w:ind w:left="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Material Information</w:t>
      </w:r>
      <w:r>
        <w:rPr>
          <w:rFonts w:ascii="Times New Roman" w:cs="Times New Roman" w:eastAsia="Times New Roman" w:hAnsi="Times New Roman"/>
          <w:sz w:val="18"/>
          <w:szCs w:val="18"/>
          <w:color w:val="auto"/>
        </w:rPr>
        <w:t>. Information is considered “material” if a reasonable investor would consider that information important in making a decision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 hold or sell securities. Any information that could be expected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603885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80" w:top="768" w:right="519" w:bottom="1440" w:gutter="0" w:footer="0" w:header="0"/>
        </w:sectPr>
      </w:pPr>
    </w:p>
    <w:bookmarkStart w:id="133" w:name="page134"/>
    <w:bookmarkEnd w:id="133"/>
    <w:p>
      <w:pPr>
        <w:ind w:left="80"/>
        <w:spacing w:after="0" w:line="260" w:lineRule="auto"/>
        <w:rPr>
          <w:sz w:val="20"/>
          <w:szCs w:val="20"/>
          <w:color w:val="auto"/>
        </w:rPr>
      </w:pPr>
      <w:r>
        <w:rPr>
          <w:rFonts w:ascii="Times New Roman" w:cs="Times New Roman" w:eastAsia="Times New Roman" w:hAnsi="Times New Roman"/>
          <w:sz w:val="18"/>
          <w:szCs w:val="18"/>
          <w:color w:val="auto"/>
        </w:rPr>
        <w:t>to affect a company’s stock price, whether it is positive or negative, should be considered material. There is no bright- 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95" w:lineRule="exact"/>
        <w:rPr>
          <w:sz w:val="20"/>
          <w:szCs w:val="20"/>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37" w:lineRule="exact"/>
        <w:rPr>
          <w:rFonts w:ascii="Times New Roman" w:cs="Times New Roman" w:eastAsia="Times New Roman" w:hAnsi="Times New Roman"/>
          <w:sz w:val="18"/>
          <w:szCs w:val="18"/>
          <w:color w:val="auto"/>
        </w:rPr>
      </w:pPr>
    </w:p>
    <w:p>
      <w:pPr>
        <w:ind w:left="1500" w:hanging="684"/>
        <w:spacing w:after="0"/>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224"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or significant regulatory updates, approvals or rejections;</w:t>
      </w:r>
    </w:p>
    <w:p>
      <w:pPr>
        <w:spacing w:after="0" w:line="237"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224"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significant collaboration or joint venture;</w:t>
      </w:r>
    </w:p>
    <w:p>
      <w:pPr>
        <w:spacing w:after="0" w:line="237"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237"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offering of additional securities;</w:t>
      </w:r>
    </w:p>
    <w:p>
      <w:pPr>
        <w:spacing w:after="0" w:line="224"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237"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executive management;</w:t>
      </w:r>
    </w:p>
    <w:p>
      <w:pPr>
        <w:spacing w:after="0" w:line="224"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237"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w:t>
      </w:r>
    </w:p>
    <w:p>
      <w:pPr>
        <w:spacing w:after="0" w:line="237"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224"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237" w:lineRule="exact"/>
        <w:rPr>
          <w:rFonts w:ascii="Times New Roman" w:cs="Times New Roman" w:eastAsia="Times New Roman" w:hAnsi="Times New Roman"/>
          <w:sz w:val="18"/>
          <w:szCs w:val="18"/>
          <w:color w:val="auto"/>
        </w:rPr>
      </w:pPr>
    </w:p>
    <w:p>
      <w:pPr>
        <w:jc w:val="both"/>
        <w:ind w:left="1540" w:right="200" w:hanging="724"/>
        <w:spacing w:after="0" w:line="265"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or</w:t>
      </w:r>
    </w:p>
    <w:p>
      <w:pPr>
        <w:spacing w:after="0" w:line="190" w:lineRule="exact"/>
        <w:rPr>
          <w:rFonts w:ascii="Times New Roman" w:cs="Times New Roman" w:eastAsia="Times New Roman" w:hAnsi="Times New Roman"/>
          <w:sz w:val="18"/>
          <w:szCs w:val="18"/>
          <w:color w:val="auto"/>
        </w:rPr>
      </w:pPr>
    </w:p>
    <w:p>
      <w:pPr>
        <w:ind w:left="1540" w:right="140" w:hanging="724"/>
        <w:spacing w:after="0" w:line="281"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 event-specific restriction on trading in Company Securities or the securities of another company or the extension or termination of such restriction.</w:t>
      </w:r>
    </w:p>
    <w:p>
      <w:pPr>
        <w:spacing w:after="0" w:line="163" w:lineRule="exact"/>
        <w:rPr>
          <w:sz w:val="20"/>
          <w:szCs w:val="20"/>
          <w:color w:val="auto"/>
        </w:rPr>
      </w:pPr>
    </w:p>
    <w:p>
      <w:pPr>
        <w:ind w:left="80" w:right="880"/>
        <w:spacing w:after="0" w:line="281" w:lineRule="auto"/>
        <w:rPr>
          <w:sz w:val="20"/>
          <w:szCs w:val="20"/>
          <w:color w:val="auto"/>
        </w:rPr>
      </w:pPr>
      <w:r>
        <w:rPr>
          <w:rFonts w:ascii="Times New Roman" w:cs="Times New Roman" w:eastAsia="Times New Roman" w:hAnsi="Times New Roman"/>
          <w:sz w:val="18"/>
          <w:szCs w:val="18"/>
          <w:color w:val="auto"/>
        </w:rPr>
        <w:t>The foregoing list is illustrative only and is not intended to provide a comprehensive list of all circumstances that could give rise to material information.</w:t>
      </w:r>
    </w:p>
    <w:p>
      <w:pPr>
        <w:spacing w:after="0" w:line="172" w:lineRule="exact"/>
        <w:rPr>
          <w:sz w:val="20"/>
          <w:szCs w:val="20"/>
          <w:color w:val="auto"/>
        </w:rPr>
      </w:pPr>
    </w:p>
    <w:p>
      <w:pPr>
        <w:ind w:left="80" w:right="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When Information is Considered Public</w:t>
      </w:r>
      <w:r>
        <w:rPr>
          <w:rFonts w:ascii="Times New Roman" w:cs="Times New Roman" w:eastAsia="Times New Roman" w:hAnsi="Times New Roman"/>
          <w:sz w:val="18"/>
          <w:szCs w:val="18"/>
          <w:color w:val="auto"/>
        </w:rPr>
        <w:t>. Information that has not been disclosed to the public is generally considered to be nonpublic information.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establish that the information has been disclosed to the public, it may be necessary to demonstrate that the information has been widely disseminated. Information generally would be considered widely disseminated if it has been disclosed through the newswire services, a broadcast on widely-</w:t>
      </w:r>
    </w:p>
    <w:p>
      <w:pPr>
        <w:spacing w:after="0" w:line="31" w:lineRule="exact"/>
        <w:rPr>
          <w:sz w:val="20"/>
          <w:szCs w:val="20"/>
          <w:color w:val="auto"/>
        </w:rPr>
      </w:pPr>
    </w:p>
    <w:p>
      <w:pPr>
        <w:ind w:left="80" w:right="160"/>
        <w:spacing w:after="0" w:line="265" w:lineRule="auto"/>
        <w:rPr>
          <w:sz w:val="20"/>
          <w:szCs w:val="20"/>
          <w:color w:val="auto"/>
        </w:rPr>
      </w:pPr>
      <w:r>
        <w:rPr>
          <w:rFonts w:ascii="Times New Roman" w:cs="Times New Roman" w:eastAsia="Times New Roman" w:hAnsi="Times New Roman"/>
          <w:sz w:val="18"/>
          <w:szCs w:val="18"/>
          <w:color w:val="auto"/>
        </w:rPr>
        <w:t>available news programs, publication in a widely-available news source, or public disclosure documents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91" w:lineRule="exact"/>
        <w:rPr>
          <w:sz w:val="20"/>
          <w:szCs w:val="20"/>
          <w:color w:val="auto"/>
        </w:rPr>
      </w:pPr>
    </w:p>
    <w:p>
      <w:pPr>
        <w:ind w:left="80" w:right="40"/>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provide the investing public with sufficient time to absorb the information. As a general rule, information should not be considered fully absorbed by the market until after the second Trading Day after the day on which the information is publicly released. As used herein, the term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Nasdaq Stock Market LLC ( the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if the Company’s common stock is not then traded on the Nasdaq, the principal national securities exchange, automated quotation system or other trading market where the Company’s common stock is then listed, quoted or traded, is open for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603885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688" w:right="499" w:bottom="1440" w:gutter="0" w:footer="0" w:header="0"/>
        </w:sectPr>
      </w:pPr>
    </w:p>
    <w:bookmarkStart w:id="134" w:name="page135"/>
    <w:bookmarkEnd w:id="134"/>
    <w:p>
      <w:pPr>
        <w:ind w:left="80" w:right="140"/>
        <w:spacing w:after="0" w:line="252" w:lineRule="auto"/>
        <w:rPr>
          <w:sz w:val="20"/>
          <w:szCs w:val="20"/>
          <w:color w:val="auto"/>
        </w:rPr>
      </w:pPr>
      <w:r>
        <w:rPr>
          <w:rFonts w:ascii="Times New Roman" w:cs="Times New Roman" w:eastAsia="Times New Roman" w:hAnsi="Times New Roman"/>
          <w:sz w:val="18"/>
          <w:szCs w:val="18"/>
          <w:color w:val="auto"/>
        </w:rPr>
        <w:t>trading. Nasdaq or such other principal national securities exchange, automated quotation system or other trading market where the Company’s common stock is then listed, quoted or traded is herein referred to as the “</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If, for example, the Company were to make a public announcement of previously material nonpublic information on a Monday that is a Trading Day (at any time after market open), the information would not be considered fully absorbed by the market until the close of the second daily trading session on the Principal Market following such public announcement, i.e., the close of trading on Wednesday (assuming Tuesday and Wednesday are Trading Days). However, if, for example, the Company were to make an announcement pre-market on a Monday that is a Trading Day, the information would not be considered fully absorbed by the market until the close of the second daily trading session on the Principal Market following such public announcement, i.e., the close of trading on Tuesday (assuming Tuesday is also a Trading Day). Although such circumstances are likely to be rare, depending on the particular circumstances, the Compliance Officer may determine that a longer or shorter absorption period should apply following public release of specific material nonpublic information. For the avoidance of doubt, the persons designated by the Compliance Officer as being subject to pre-clearance procedures (as described under the heading “Additional Procedures”) may not engage, or allow their Family Members or Controlled Entities to engage, in any transaction in Company Securities without first obtaining pre-clearance of the transaction from the Compliance Officer in accordance with the terms of this Policy, even after information is considered to be fully absorbed by the market, as set forth above.</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by Family Members and Others</w:t>
      </w:r>
    </w:p>
    <w:p>
      <w:pPr>
        <w:spacing w:after="0" w:line="242" w:lineRule="exact"/>
        <w:rPr>
          <w:sz w:val="20"/>
          <w:szCs w:val="20"/>
          <w:color w:val="auto"/>
        </w:rPr>
      </w:pPr>
    </w:p>
    <w:p>
      <w:pPr>
        <w:ind w:left="80" w:right="260"/>
        <w:spacing w:after="0" w:line="254" w:lineRule="auto"/>
        <w:rPr>
          <w:sz w:val="20"/>
          <w:szCs w:val="20"/>
          <w:color w:val="auto"/>
        </w:rPr>
      </w:pPr>
      <w:r>
        <w:rPr>
          <w:rFonts w:ascii="Times New Roman" w:cs="Times New Roman" w:eastAsia="Times New Roman" w:hAnsi="Times New Roman"/>
          <w:sz w:val="18"/>
          <w:szCs w:val="18"/>
          <w:color w:val="auto"/>
        </w:rPr>
        <w:t>In addition to all directors, officers, employees, consultants, and independent contractors of the Company (or any other person designated as subject to this Policy) (“</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this Policy applies to all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by Entities that You Influence or Control</w:t>
      </w:r>
    </w:p>
    <w:p>
      <w:pPr>
        <w:spacing w:after="0" w:line="238" w:lineRule="exact"/>
        <w:rPr>
          <w:sz w:val="20"/>
          <w:szCs w:val="20"/>
          <w:color w:val="auto"/>
        </w:rPr>
      </w:pPr>
    </w:p>
    <w:p>
      <w:pPr>
        <w:jc w:val="both"/>
        <w:ind w:left="80" w:right="120"/>
        <w:spacing w:after="0" w:line="268" w:lineRule="auto"/>
        <w:rPr>
          <w:sz w:val="20"/>
          <w:szCs w:val="20"/>
          <w:color w:val="auto"/>
        </w:rPr>
      </w:pPr>
      <w:r>
        <w:rPr>
          <w:rFonts w:ascii="Times New Roman" w:cs="Times New Roman" w:eastAsia="Times New Roman" w:hAnsi="Times New Roman"/>
          <w:sz w:val="18"/>
          <w:szCs w:val="18"/>
          <w:b w:val="1"/>
          <w:bCs w:val="1"/>
          <w:color w:val="auto"/>
        </w:rPr>
        <w:t>This Policy applies to any entities that you influence or control</w:t>
      </w:r>
      <w:r>
        <w:rPr>
          <w:rFonts w:ascii="Times New Roman" w:cs="Times New Roman" w:eastAsia="Times New Roman" w:hAnsi="Times New Roman"/>
          <w:sz w:val="18"/>
          <w:szCs w:val="18"/>
          <w:color w:val="auto"/>
        </w:rPr>
        <w:t>, including any corporations, companies, partnerships or trusts (collectively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t>
      </w:r>
      <w:r>
        <w:rPr>
          <w:rFonts w:ascii="Times New Roman" w:cs="Times New Roman" w:eastAsia="Times New Roman" w:hAnsi="Times New Roman"/>
          <w:sz w:val="18"/>
          <w:szCs w:val="18"/>
          <w:b w:val="1"/>
          <w:bCs w:val="1"/>
          <w:i w:val="1"/>
          <w:iCs w:val="1"/>
          <w:color w:val="auto"/>
        </w:rPr>
        <w:t>Controlled 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 your own account.</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Under Company Plans</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34" w:lineRule="exact"/>
        <w:rPr>
          <w:sz w:val="20"/>
          <w:szCs w:val="20"/>
          <w:color w:val="auto"/>
        </w:rPr>
      </w:pPr>
    </w:p>
    <w:p>
      <w:pPr>
        <w:ind w:left="820"/>
        <w:spacing w:after="0" w:line="286" w:lineRule="auto"/>
        <w:rPr>
          <w:sz w:val="20"/>
          <w:szCs w:val="20"/>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xml:space="preserve">. This Policy does not apply to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of an employee stock option acquired pursuant to the Company’s plans, or to the exercise of a tax withholding right pursuant to which a person</w:t>
      </w:r>
    </w:p>
    <w:p>
      <w:pPr>
        <w:spacing w:after="0" w:line="10" w:lineRule="exact"/>
        <w:rPr>
          <w:sz w:val="20"/>
          <w:szCs w:val="20"/>
          <w:color w:val="auto"/>
        </w:rPr>
      </w:pPr>
    </w:p>
    <w:p>
      <w:pPr>
        <w:ind w:left="820" w:right="720"/>
        <w:spacing w:after="0" w:line="265" w:lineRule="auto"/>
        <w:rPr>
          <w:sz w:val="20"/>
          <w:szCs w:val="20"/>
          <w:color w:val="auto"/>
        </w:rPr>
      </w:pPr>
      <w:r>
        <w:rPr>
          <w:rFonts w:ascii="Times New Roman" w:cs="Times New Roman" w:eastAsia="Times New Roman" w:hAnsi="Times New Roman"/>
          <w:sz w:val="18"/>
          <w:szCs w:val="18"/>
          <w:color w:val="auto"/>
        </w:rPr>
        <w:t>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91" w:lineRule="exact"/>
        <w:rPr>
          <w:sz w:val="20"/>
          <w:szCs w:val="20"/>
          <w:color w:val="auto"/>
        </w:rPr>
      </w:pPr>
    </w:p>
    <w:p>
      <w:pPr>
        <w:jc w:val="both"/>
        <w:ind w:left="820" w:right="280"/>
        <w:spacing w:after="0" w:line="265" w:lineRule="auto"/>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spacing w:after="0" w:line="177" w:lineRule="exact"/>
        <w:rPr>
          <w:sz w:val="20"/>
          <w:szCs w:val="20"/>
          <w:color w:val="auto"/>
        </w:rPr>
      </w:pPr>
    </w:p>
    <w:p>
      <w:pPr>
        <w:ind w:left="820" w:right="300"/>
        <w:spacing w:after="0" w:line="260" w:lineRule="auto"/>
        <w:rPr>
          <w:sz w:val="20"/>
          <w:szCs w:val="20"/>
          <w:color w:val="auto"/>
        </w:rPr>
      </w:pP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This Policy does not apply to purchases of Company Securities in the Company’s 401(k) plan, if any, resulting from your periodic contribution of money to the plan pursuant to your payroll deduction election. This Policy does apply, however, to certain elections you may make under the 401(k) plan, if any, including: (a) an election to increase or decrease the percentage of your periodic contributions that will be allocated to the Company Securities fund; (b) an election to make an intra-plan transfer of 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603885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688" w:right="339" w:bottom="1440" w:gutter="0" w:footer="0" w:header="0"/>
        </w:sectPr>
      </w:pPr>
    </w:p>
    <w:bookmarkStart w:id="135" w:name="page136"/>
    <w:bookmarkEnd w:id="135"/>
    <w:p>
      <w:pPr>
        <w:ind w:left="820" w:right="160"/>
        <w:spacing w:after="0" w:line="260" w:lineRule="auto"/>
        <w:rPr>
          <w:sz w:val="20"/>
          <w:szCs w:val="20"/>
          <w:color w:val="auto"/>
        </w:rPr>
      </w:pPr>
      <w:r>
        <w:rPr>
          <w:rFonts w:ascii="Times New Roman" w:cs="Times New Roman" w:eastAsia="Times New Roman" w:hAnsi="Times New Roman"/>
          <w:sz w:val="18"/>
          <w:szCs w:val="18"/>
          <w:color w:val="auto"/>
        </w:rPr>
        <w:t>existing account balance into or out of the Company Securities fund; (c) an election to borrow money against your 401(k) plan account if the loan will result in a liquidation of some or all of your Company Securities fund balance; and (d) an election to pre-pay a plan loan if the pre-payment will result in allocation of loan proceeds to the Company stock fund. It should be noted that sales of Company Securities from a 401(k) account are also subject to Rule 144, and therefore affiliates should ensure that a Form 144 is filed when required.</w:t>
      </w:r>
    </w:p>
    <w:p>
      <w:pPr>
        <w:spacing w:after="0" w:line="195" w:lineRule="exact"/>
        <w:rPr>
          <w:sz w:val="20"/>
          <w:szCs w:val="20"/>
          <w:color w:val="auto"/>
        </w:rPr>
      </w:pPr>
    </w:p>
    <w:p>
      <w:pPr>
        <w:ind w:left="82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This Policy does not apply to purchases of Company Securities in the Company’s employee stock purchase plan, if any, resulting from your periodic contribution of money to the plan pursuant to the election you made at the time of your enrollment in the plan, if any. This Policy also does not apply to purchases of Company Securities resulting from lump sum contributions to the plan, if any, provided that you elected to participate by lump sum payment during the applicable enrollment period. This Policy does apply, however, to your sales of Company Securities purchased pursuant to the plan, if any.</w:t>
      </w:r>
    </w:p>
    <w:p>
      <w:pPr>
        <w:spacing w:after="0" w:line="195" w:lineRule="exact"/>
        <w:rPr>
          <w:sz w:val="20"/>
          <w:szCs w:val="20"/>
          <w:color w:val="auto"/>
        </w:rPr>
      </w:pPr>
    </w:p>
    <w:p>
      <w:pPr>
        <w:ind w:left="820"/>
        <w:spacing w:after="0" w:line="281" w:lineRule="auto"/>
        <w:rPr>
          <w:sz w:val="20"/>
          <w:szCs w:val="20"/>
          <w:color w:val="auto"/>
        </w:rPr>
      </w:pPr>
      <w:r>
        <w:rPr>
          <w:rFonts w:ascii="Times New Roman" w:cs="Times New Roman" w:eastAsia="Times New Roman" w:hAnsi="Times New Roman"/>
          <w:sz w:val="18"/>
          <w:szCs w:val="18"/>
          <w:u w:val="single" w:color="auto"/>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 Company are not subject to this Policy.</w:t>
      </w:r>
    </w:p>
    <w:p>
      <w:pPr>
        <w:spacing w:after="0" w:line="1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Special and Prohibited Transactions</w:t>
      </w:r>
    </w:p>
    <w:p>
      <w:pPr>
        <w:spacing w:after="0" w:line="242" w:lineRule="exact"/>
        <w:rPr>
          <w:sz w:val="20"/>
          <w:szCs w:val="20"/>
          <w:color w:val="auto"/>
        </w:rPr>
      </w:pPr>
    </w:p>
    <w:p>
      <w:pPr>
        <w:jc w:val="both"/>
        <w:ind w:left="80" w:right="600"/>
        <w:spacing w:after="0" w:line="265"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conduct if the persons subject to this Policy engage in certain types of transactions. It therefore is the Company’s policy that any persons covered by this Policy may not engage in any of the following transactions:</w:t>
      </w:r>
    </w:p>
    <w:p>
      <w:pPr>
        <w:spacing w:after="0" w:line="189" w:lineRule="exact"/>
        <w:rPr>
          <w:sz w:val="20"/>
          <w:szCs w:val="20"/>
          <w:color w:val="auto"/>
        </w:rPr>
      </w:pPr>
    </w:p>
    <w:p>
      <w:pPr>
        <w:ind w:left="820"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Short sales of Company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of 1934, as amended (the “Exchange Act”), prohibits officers and directors from engaging in short sales. (Short sales arising from certain types of hedging transactions are governed by the paragraph below captioned “Hedging Transactions.”)</w:t>
      </w:r>
    </w:p>
    <w:p>
      <w:pPr>
        <w:spacing w:after="0" w:line="188" w:lineRule="exact"/>
        <w:rPr>
          <w:sz w:val="20"/>
          <w:szCs w:val="20"/>
          <w:color w:val="auto"/>
        </w:rPr>
      </w:pPr>
    </w:p>
    <w:p>
      <w:pPr>
        <w:ind w:left="820"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Publicly-Traded Options</w:t>
      </w:r>
      <w:r>
        <w:rPr>
          <w:rFonts w:ascii="Times New Roman" w:cs="Times New Roman" w:eastAsia="Times New Roman" w:hAnsi="Times New Roman"/>
          <w:sz w:val="18"/>
          <w:szCs w:val="18"/>
          <w:color w:val="auto"/>
        </w:rPr>
        <w:t>. Given the relatively short term of publicly-traded options, transactions in options may create the appearance that a director, officer, employee, consultant, or independent contractor is trading based on material nonpublic information and focus a director’s, officer’s, employee’s, consultant’s, or independent contractor’s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51" w:lineRule="exact"/>
        <w:rPr>
          <w:sz w:val="20"/>
          <w:szCs w:val="20"/>
          <w:color w:val="auto"/>
        </w:rPr>
      </w:pPr>
    </w:p>
    <w:p>
      <w:pPr>
        <w:ind w:left="820" w:right="180"/>
        <w:spacing w:after="0" w:line="256" w:lineRule="auto"/>
        <w:rPr>
          <w:sz w:val="20"/>
          <w:szCs w:val="20"/>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Hedging or monetization transactions can be accomplished through a number of possible mechanisms, including through the use of financial instruments such as prepaid variable forwards, equity swaps, collars and exchange funds. Such transactions may permit a director, officer, employee, consultant, or independent contractor to continue to own Company Securities obtained through employee benefit plans or otherwise, but without the full risks and rewards of ownership. When that occurs, the director, officer, employee, consultant, or independent contractor may no longer have the same objectives as the Company’s other shareholders. Therefore, Covered Persons are prohibited from engaging in any such transactions.</w:t>
      </w:r>
    </w:p>
    <w:p>
      <w:pPr>
        <w:spacing w:after="0" w:line="186" w:lineRule="exact"/>
        <w:rPr>
          <w:sz w:val="20"/>
          <w:szCs w:val="20"/>
          <w:color w:val="auto"/>
        </w:rPr>
      </w:pPr>
    </w:p>
    <w:p>
      <w:pPr>
        <w:ind w:left="820" w:right="20"/>
        <w:spacing w:after="0" w:line="260" w:lineRule="auto"/>
        <w:rPr>
          <w:sz w:val="20"/>
          <w:szCs w:val="20"/>
          <w:color w:val="auto"/>
        </w:rPr>
      </w:pPr>
      <w:r>
        <w:rPr>
          <w:rFonts w:ascii="Times New Roman" w:cs="Times New Roman" w:eastAsia="Times New Roman" w:hAnsi="Times New Roman"/>
          <w:sz w:val="18"/>
          <w:szCs w:val="18"/>
          <w:u w:val="single" w:color="auto"/>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 sold by the broker without the customer’s consent if the customer fails to meet a margin call.</w:t>
      </w:r>
    </w:p>
    <w:p>
      <w:pPr>
        <w:spacing w:after="0" w:line="1" w:lineRule="exact"/>
        <w:rPr>
          <w:sz w:val="20"/>
          <w:szCs w:val="20"/>
          <w:color w:val="auto"/>
        </w:rPr>
      </w:pPr>
    </w:p>
    <w:p>
      <w:pPr>
        <w:ind w:left="820" w:right="320"/>
        <w:spacing w:after="0" w:line="252" w:lineRule="auto"/>
        <w:rPr>
          <w:sz w:val="20"/>
          <w:szCs w:val="20"/>
          <w:color w:val="auto"/>
        </w:rPr>
      </w:pPr>
      <w:r>
        <w:rPr>
          <w:rFonts w:ascii="Times New Roman" w:cs="Times New Roman" w:eastAsia="Times New Roman" w:hAnsi="Times New Roman"/>
          <w:sz w:val="18"/>
          <w:szCs w:val="18"/>
          <w:color w:val="auto"/>
        </w:rPr>
        <w:t>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595630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687" w:right="419" w:bottom="1440" w:gutter="0" w:footer="0" w:header="0"/>
        </w:sectPr>
      </w:pPr>
    </w:p>
    <w:bookmarkStart w:id="136" w:name="page137"/>
    <w:bookmarkEnd w:id="136"/>
    <w:p>
      <w:pPr>
        <w:ind w:left="820" w:right="40"/>
        <w:spacing w:after="0" w:line="254" w:lineRule="auto"/>
        <w:rPr>
          <w:sz w:val="20"/>
          <w:szCs w:val="20"/>
          <w:color w:val="auto"/>
        </w:rPr>
      </w:pPr>
      <w:r>
        <w:rPr>
          <w:rFonts w:ascii="Times New Roman" w:cs="Times New Roman" w:eastAsia="Times New Roman" w:hAnsi="Times New Roman"/>
          <w:sz w:val="18"/>
          <w:szCs w:val="18"/>
          <w:color w:val="auto"/>
        </w:rPr>
        <w:t>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employee, consultant, or independent contractor is in possession of material nonpublic information. The Company therefore prohibits Covered Persons from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 A person who has placed a limit order or open instruction to buy or sell Company securities shall bear responsibility for canceling such instructions immediately upon becoming in possession of material nonpublic information.</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Procedures</w:t>
      </w:r>
    </w:p>
    <w:p>
      <w:pPr>
        <w:spacing w:after="0" w:line="242" w:lineRule="exact"/>
        <w:rPr>
          <w:sz w:val="20"/>
          <w:szCs w:val="20"/>
          <w:color w:val="auto"/>
        </w:rPr>
      </w:pPr>
    </w:p>
    <w:p>
      <w:pPr>
        <w:ind w:left="80" w:right="300"/>
        <w:spacing w:after="0" w:line="265" w:lineRule="auto"/>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77" w:lineRule="exact"/>
        <w:rPr>
          <w:sz w:val="20"/>
          <w:szCs w:val="20"/>
          <w:color w:val="auto"/>
        </w:rPr>
      </w:pPr>
    </w:p>
    <w:p>
      <w:pPr>
        <w:ind w:left="820"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Pre-Clearance Procedures for Deemed Insiders</w:t>
      </w:r>
      <w:r>
        <w:rPr>
          <w:rFonts w:ascii="Times New Roman" w:cs="Times New Roman" w:eastAsia="Times New Roman" w:hAnsi="Times New Roman"/>
          <w:sz w:val="18"/>
          <w:szCs w:val="18"/>
          <w:color w:val="auto"/>
        </w:rPr>
        <w:t>. Officers and directors of the Company, as well as the Family Members and Controlled Entities of such persons, and any other person that the Compliance Officer designates (collectively, “</w:t>
      </w:r>
      <w:r>
        <w:rPr>
          <w:rFonts w:ascii="Times New Roman" w:cs="Times New Roman" w:eastAsia="Times New Roman" w:hAnsi="Times New Roman"/>
          <w:sz w:val="18"/>
          <w:szCs w:val="18"/>
          <w:b w:val="1"/>
          <w:bCs w:val="1"/>
          <w:i w:val="1"/>
          <w:iCs w:val="1"/>
          <w:color w:val="auto"/>
        </w:rPr>
        <w:t>Deemed Insiders</w:t>
      </w:r>
      <w:r>
        <w:rPr>
          <w:rFonts w:ascii="Times New Roman" w:cs="Times New Roman" w:eastAsia="Times New Roman" w:hAnsi="Times New Roman"/>
          <w:sz w:val="18"/>
          <w:szCs w:val="18"/>
          <w:color w:val="auto"/>
        </w:rPr>
        <w:t xml:space="preserve">”), may not engage in any transaction in Company Securities without first obtaining pre-clearance of the transaction from the Compliance Officer. Any Deemed Insider seeking to request pre-clearance can obtain the Company’s </w:t>
      </w:r>
      <w:r>
        <w:rPr>
          <w:rFonts w:ascii="Times New Roman" w:cs="Times New Roman" w:eastAsia="Times New Roman" w:hAnsi="Times New Roman"/>
          <w:sz w:val="18"/>
          <w:szCs w:val="18"/>
          <w:b w:val="1"/>
          <w:bCs w:val="1"/>
          <w:color w:val="auto"/>
        </w:rPr>
        <w:t>pre-clearance form</w:t>
      </w:r>
      <w:r>
        <w:rPr>
          <w:rFonts w:ascii="Times New Roman" w:cs="Times New Roman" w:eastAsia="Times New Roman" w:hAnsi="Times New Roman"/>
          <w:sz w:val="18"/>
          <w:szCs w:val="18"/>
          <w:color w:val="auto"/>
        </w:rPr>
        <w:t xml:space="preserve"> upon request from the Compliance Officer. A request for pre-clearance should be submitted to the Compliance Officer at least two Trading Days in advance of the proposed transaction. The Compliance Officer is under no obligation to approve a transaction submitted for pre-clearance, and may determine not to permit the transaction. If a person seeks pre-clearance and permission to engage in the transaction and such pre-clearance is not received, then he or she should refrain from initiating any transaction in Company Securities, and should not inform any other person of the restriction.</w:t>
      </w:r>
    </w:p>
    <w:p>
      <w:pPr>
        <w:spacing w:after="0" w:line="203" w:lineRule="exact"/>
        <w:rPr>
          <w:sz w:val="20"/>
          <w:szCs w:val="20"/>
          <w:color w:val="auto"/>
        </w:rPr>
      </w:pPr>
    </w:p>
    <w:p>
      <w:pPr>
        <w:ind w:left="820" w:right="80"/>
        <w:spacing w:after="0" w:line="260"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a Form 144, if necessary, at the time of any sale.</w:t>
      </w:r>
    </w:p>
    <w:p>
      <w:pPr>
        <w:spacing w:after="0" w:line="33" w:lineRule="exact"/>
        <w:rPr>
          <w:sz w:val="20"/>
          <w:szCs w:val="20"/>
          <w:color w:val="auto"/>
        </w:rPr>
      </w:pPr>
    </w:p>
    <w:p>
      <w:pPr>
        <w:jc w:val="both"/>
        <w:ind w:left="820" w:right="20"/>
        <w:spacing w:after="0" w:line="265" w:lineRule="auto"/>
        <w:rPr>
          <w:sz w:val="20"/>
          <w:szCs w:val="20"/>
          <w:color w:val="auto"/>
        </w:rPr>
      </w:pPr>
      <w:r>
        <w:rPr>
          <w:rFonts w:ascii="Times New Roman" w:cs="Times New Roman" w:eastAsia="Times New Roman" w:hAnsi="Times New Roman"/>
          <w:sz w:val="18"/>
          <w:szCs w:val="18"/>
          <w:color w:val="auto"/>
        </w:rPr>
        <w:t>Any pre-cleared transaction must be effected within the period of time indicated on the pre-clearance form as approved by the Compliance Officer (typically not to exceed 10 Trading Days), unless a different period of time is specified by the Compliance Officer. Transactions not effected within such specified period shall be subject to pre-clearance again before a trade can be effected.</w:t>
      </w:r>
    </w:p>
    <w:p>
      <w:pPr>
        <w:spacing w:after="0" w:line="191" w:lineRule="exact"/>
        <w:rPr>
          <w:sz w:val="20"/>
          <w:szCs w:val="20"/>
          <w:color w:val="auto"/>
        </w:rPr>
      </w:pPr>
    </w:p>
    <w:p>
      <w:pPr>
        <w:ind w:left="820"/>
        <w:spacing w:after="0" w:line="255" w:lineRule="auto"/>
        <w:rPr>
          <w:sz w:val="20"/>
          <w:szCs w:val="20"/>
          <w:color w:val="auto"/>
        </w:rPr>
      </w:pPr>
      <w:r>
        <w:rPr>
          <w:rFonts w:ascii="Times New Roman" w:cs="Times New Roman" w:eastAsia="Times New Roman" w:hAnsi="Times New Roman"/>
          <w:sz w:val="18"/>
          <w:szCs w:val="18"/>
          <w:u w:val="single" w:color="auto"/>
          <w:color w:val="auto"/>
        </w:rPr>
        <w:t>Quarterly Trading Restrictions</w:t>
      </w:r>
      <w:r>
        <w:rPr>
          <w:rFonts w:ascii="Times New Roman" w:cs="Times New Roman" w:eastAsia="Times New Roman" w:hAnsi="Times New Roman"/>
          <w:sz w:val="18"/>
          <w:szCs w:val="18"/>
          <w:color w:val="auto"/>
        </w:rPr>
        <w:t>. No Covered Person may conduct any transactions involving the Company’s Securities (other than as specified by this Policy), during a “Quarterly Restricted Period” beginning 14 calendar days prior to the end of each fiscal quarter and ending at the close of the second daily trading session on the Principal Market following the public release of the Company’s earnings results for that quarter. In other words, Covered Persons may only conduct transactions in Company Securities during the “</w:t>
      </w:r>
      <w:r>
        <w:rPr>
          <w:rFonts w:ascii="Times New Roman" w:cs="Times New Roman" w:eastAsia="Times New Roman" w:hAnsi="Times New Roman"/>
          <w:sz w:val="18"/>
          <w:szCs w:val="18"/>
          <w:b w:val="1"/>
          <w:bCs w:val="1"/>
          <w:i w:val="1"/>
          <w:iCs w:val="1"/>
          <w:color w:val="auto"/>
        </w:rPr>
        <w:t>Window Period</w:t>
      </w:r>
      <w:r>
        <w:rPr>
          <w:rFonts w:ascii="Times New Roman" w:cs="Times New Roman" w:eastAsia="Times New Roman" w:hAnsi="Times New Roman"/>
          <w:sz w:val="18"/>
          <w:szCs w:val="18"/>
          <w:color w:val="auto"/>
        </w:rPr>
        <w:t>” beginning after the close of the second daily trading session on the Principal Market following the public release of the Company’s earnings results for that quarter and ending 14 calendar days prior to the close of the next fiscal quarter. It should be noted that preliminary guidance with respect to the quarterly results generally will not suffice to end the Quarterly Restricted Period.</w:t>
      </w:r>
    </w:p>
    <w:p>
      <w:pPr>
        <w:spacing w:after="0" w:line="200" w:lineRule="exact"/>
        <w:rPr>
          <w:sz w:val="20"/>
          <w:szCs w:val="20"/>
          <w:color w:val="auto"/>
        </w:rPr>
      </w:pPr>
    </w:p>
    <w:p>
      <w:pPr>
        <w:ind w:left="820" w:right="240"/>
        <w:spacing w:after="0" w:line="272" w:lineRule="auto"/>
        <w:rPr>
          <w:sz w:val="20"/>
          <w:szCs w:val="20"/>
          <w:color w:val="auto"/>
        </w:rPr>
      </w:pPr>
      <w:r>
        <w:rPr>
          <w:rFonts w:ascii="Times New Roman" w:cs="Times New Roman" w:eastAsia="Times New Roman" w:hAnsi="Times New Roman"/>
          <w:sz w:val="18"/>
          <w:szCs w:val="18"/>
          <w:color w:val="auto"/>
        </w:rPr>
        <w:t>To illustrate the commencement of a Quarterly Restricted Period, if the Company’s fourth fiscal quarter ends immediately following 11:59 p.m., Eastern time, on December 31st, the corresponding Quarterly Restricted Period would begin immediately following 11:59 p.m., Eastern time, on December 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820" w:right="140"/>
        <w:spacing w:after="0" w:line="210" w:lineRule="auto"/>
        <w:rPr>
          <w:sz w:val="20"/>
          <w:szCs w:val="20"/>
          <w:color w:val="auto"/>
        </w:rPr>
      </w:pPr>
      <w:r>
        <w:rPr>
          <w:rFonts w:ascii="Times New Roman" w:cs="Times New Roman" w:eastAsia="Times New Roman" w:hAnsi="Times New Roman"/>
          <w:sz w:val="18"/>
          <w:szCs w:val="18"/>
          <w:color w:val="auto"/>
        </w:rPr>
        <w:t>To illustrate the commencement of the Window Period, if the Company publicly announces its earnings results intra-day or post-market, for example, on Monday, March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then the Window Period shall begin after the close of the daily trading session on the Principal Market on Wednesday, March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However, if the Company publicly announces its earnings results pre-market, for example, on Monday, March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then the Window Period shall begin after the close of the daily trading session on the Principal Market 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595630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688" w:right="499" w:bottom="1440" w:gutter="0" w:footer="0" w:header="0"/>
        </w:sectPr>
      </w:pPr>
    </w:p>
    <w:bookmarkStart w:id="137" w:name="page138"/>
    <w:bookmarkEnd w:id="137"/>
    <w:p>
      <w:pPr>
        <w:ind w:left="820"/>
        <w:spacing w:after="0"/>
        <w:rPr>
          <w:sz w:val="20"/>
          <w:szCs w:val="20"/>
          <w:color w:val="auto"/>
        </w:rPr>
      </w:pPr>
      <w:r>
        <w:rPr>
          <w:rFonts w:ascii="Times New Roman" w:cs="Times New Roman" w:eastAsia="Times New Roman" w:hAnsi="Times New Roman"/>
          <w:sz w:val="18"/>
          <w:szCs w:val="18"/>
          <w:color w:val="auto"/>
        </w:rPr>
        <w:t>Tuesday, March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820" w:right="280"/>
        <w:spacing w:after="0" w:line="265" w:lineRule="auto"/>
        <w:rPr>
          <w:sz w:val="20"/>
          <w:szCs w:val="20"/>
          <w:color w:val="auto"/>
        </w:rPr>
      </w:pPr>
      <w:r>
        <w:rPr>
          <w:rFonts w:ascii="Times New Roman" w:cs="Times New Roman" w:eastAsia="Times New Roman" w:hAnsi="Times New Roman"/>
          <w:sz w:val="18"/>
          <w:szCs w:val="18"/>
          <w:color w:val="auto"/>
        </w:rPr>
        <w:t>The foregoing calculation of the two-daily trading session period required prior to commencement of a Window Period assumes all relevant days are Trading Days and is made using the same method of calculating the two-daily trading session period as set forth under the heading “When Information is Considered Public”.</w:t>
      </w:r>
    </w:p>
    <w:p>
      <w:pPr>
        <w:spacing w:after="0" w:line="191" w:lineRule="exact"/>
        <w:rPr>
          <w:sz w:val="20"/>
          <w:szCs w:val="20"/>
          <w:color w:val="auto"/>
        </w:rPr>
      </w:pPr>
    </w:p>
    <w:p>
      <w:pPr>
        <w:jc w:val="both"/>
        <w:ind w:left="820" w:right="340"/>
        <w:spacing w:after="0" w:line="288" w:lineRule="auto"/>
        <w:rPr>
          <w:sz w:val="20"/>
          <w:szCs w:val="20"/>
          <w:color w:val="auto"/>
        </w:rPr>
      </w:pPr>
      <w:r>
        <w:rPr>
          <w:rFonts w:ascii="Times New Roman" w:cs="Times New Roman" w:eastAsia="Times New Roman" w:hAnsi="Times New Roman"/>
          <w:sz w:val="17"/>
          <w:szCs w:val="17"/>
          <w:color w:val="auto"/>
        </w:rPr>
        <w:t>For the avoidance of doubt, all persons designated by the Compliance Officer as being subject to pre- clearance procedures, as well as the Family Members and Controlled Entities of such persons, may not engage in any transaction in Company Securities without first obtaining pre-clearance of the transaction from the Compliance Officer in accordance with the terms of this Policy, even during a Window Period.</w:t>
      </w:r>
    </w:p>
    <w:p>
      <w:pPr>
        <w:spacing w:after="0" w:line="159" w:lineRule="exact"/>
        <w:rPr>
          <w:sz w:val="20"/>
          <w:szCs w:val="20"/>
          <w:color w:val="auto"/>
        </w:rPr>
      </w:pPr>
    </w:p>
    <w:p>
      <w:pPr>
        <w:ind w:left="820" w:right="200"/>
        <w:spacing w:after="0" w:line="260" w:lineRule="auto"/>
        <w:rPr>
          <w:sz w:val="20"/>
          <w:szCs w:val="20"/>
          <w:color w:val="auto"/>
        </w:rPr>
      </w:pPr>
      <w:r>
        <w:rPr>
          <w:rFonts w:ascii="Times New Roman" w:cs="Times New Roman" w:eastAsia="Times New Roman" w:hAnsi="Times New Roman"/>
          <w:sz w:val="18"/>
          <w:szCs w:val="18"/>
          <w:color w:val="auto"/>
        </w:rPr>
        <w:t>Under certain very limited circumstances, a person subject to a Quarterly Restricted Period may be permitted to trade during such Quarterly Restricted Period, but only if the Compliance Officer concludes that the person is not aware of material nonpublic information. Persons wishing to trade during a Quarterly Restricted Period must contact the Compliance Officer for approval at least two Trading Days in advance of any proposed transaction involving Company Securities.</w:t>
      </w:r>
    </w:p>
    <w:p>
      <w:pPr>
        <w:spacing w:after="0" w:line="195" w:lineRule="exact"/>
        <w:rPr>
          <w:sz w:val="20"/>
          <w:szCs w:val="20"/>
          <w:color w:val="auto"/>
        </w:rPr>
      </w:pPr>
    </w:p>
    <w:p>
      <w:pPr>
        <w:ind w:left="820" w:right="220"/>
        <w:spacing w:after="0" w:line="253" w:lineRule="auto"/>
        <w:rPr>
          <w:sz w:val="20"/>
          <w:szCs w:val="20"/>
          <w:color w:val="auto"/>
        </w:rPr>
      </w:pPr>
      <w:r>
        <w:rPr>
          <w:rFonts w:ascii="Times New Roman" w:cs="Times New Roman" w:eastAsia="Times New Roman" w:hAnsi="Times New Roman"/>
          <w:sz w:val="18"/>
          <w:szCs w:val="18"/>
          <w:u w:val="single" w:color="auto"/>
          <w:color w:val="auto"/>
        </w:rPr>
        <w:t>Event-Specific Restricted Periods</w:t>
      </w:r>
      <w:r>
        <w:rPr>
          <w:rFonts w:ascii="Times New Roman" w:cs="Times New Roman" w:eastAsia="Times New Roman" w:hAnsi="Times New Roman"/>
          <w:sz w:val="18"/>
          <w:szCs w:val="18"/>
          <w:color w:val="auto"/>
        </w:rPr>
        <w:t>. From time to time, an event may occur that is material to the Company and is known by only a few directors, officers, employees, consultants, and independent contractors. So long as the event remains material and nonpublic (the “Event-Specific Restricted Period”), the persons designated by the Compliance Officer may not engage in transactions in Company Securities. In addition, the Company’s financial results may be sufficiently material in a particular fiscal quarter that, in the judgment of the Compliance Officer, designated persons should refrain from engaging in transactions in Company Securities even sooner than the Quarterly Restricted Period described above. In that situation, the Compliance Officer may notify these persons that they should not trade in the Company’s Securities, without disclosing the reason for the restriction. The existence of an Event-Specific Restricted Period or the extension of a Quarterly Restricted Period will not be announced to the Company as a whole, and should not be communicated to any other person. Even if the Compliance Officer has not designated you as a person who should not engage in transactions in Company Securities due to an Event-Specific Restricted Period, you should not trade while aware of material nonpublic information. Exceptions will not be granted during an Event-Specific Restricted Period.</w:t>
      </w:r>
    </w:p>
    <w:p>
      <w:pPr>
        <w:spacing w:after="0" w:line="40" w:lineRule="exact"/>
        <w:rPr>
          <w:sz w:val="20"/>
          <w:szCs w:val="20"/>
          <w:color w:val="auto"/>
        </w:rPr>
      </w:pPr>
    </w:p>
    <w:p>
      <w:pPr>
        <w:ind w:left="820" w:right="340"/>
        <w:spacing w:after="0" w:line="260" w:lineRule="auto"/>
        <w:rPr>
          <w:sz w:val="20"/>
          <w:szCs w:val="20"/>
          <w:color w:val="auto"/>
        </w:rPr>
      </w:pPr>
      <w:r>
        <w:rPr>
          <w:rFonts w:ascii="Times New Roman" w:cs="Times New Roman" w:eastAsia="Times New Roman" w:hAnsi="Times New Roman"/>
          <w:sz w:val="18"/>
          <w:szCs w:val="18"/>
          <w:u w:val="single" w:color="auto"/>
          <w:color w:val="auto"/>
        </w:rPr>
        <w:t>Closed Window</w:t>
      </w:r>
      <w:r>
        <w:rPr>
          <w:rFonts w:ascii="Times New Roman" w:cs="Times New Roman" w:eastAsia="Times New Roman" w:hAnsi="Times New Roman"/>
          <w:sz w:val="18"/>
          <w:szCs w:val="18"/>
          <w:color w:val="auto"/>
        </w:rPr>
        <w:t>. From time to time, there may be a risk that material nonpublic information is known widely within the Company during a Window Period such that the Compliance Officer determines to close that Window Period for all Covered Persons. In such event, the Window Period is treated as a Quarterly Restricted Period and no Covered Person may conduct any transactions involving the Company’s Securities, unless and until the Compliance Officer determines to open the Window Period.</w:t>
      </w:r>
    </w:p>
    <w:p>
      <w:pPr>
        <w:spacing w:after="0" w:line="195" w:lineRule="exact"/>
        <w:rPr>
          <w:sz w:val="20"/>
          <w:szCs w:val="20"/>
          <w:color w:val="auto"/>
        </w:rPr>
      </w:pPr>
    </w:p>
    <w:p>
      <w:pPr>
        <w:ind w:left="820"/>
        <w:spacing w:after="0" w:line="260" w:lineRule="auto"/>
        <w:rPr>
          <w:sz w:val="20"/>
          <w:szCs w:val="20"/>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quarterly trading restrictions and event-specific trading restrictions do not apply to those transactions to which this Policy does not apply, as described above under the heading “Transactions Under Company Plans.” Further, the requirement for pre-clearance, the quarterly trading restrictions and event- specific trading restrictions do not apply to transactions conducted pursuant to approved Rule 10b5-1 plans, described under the heading “Rule 10b5-1 Plans.”</w:t>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Plans</w:t>
      </w:r>
    </w:p>
    <w:p>
      <w:pPr>
        <w:spacing w:after="0" w:line="229" w:lineRule="exact"/>
        <w:rPr>
          <w:sz w:val="20"/>
          <w:szCs w:val="20"/>
          <w:color w:val="auto"/>
        </w:rPr>
      </w:pPr>
    </w:p>
    <w:p>
      <w:pPr>
        <w:ind w:left="80" w:right="200"/>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8"/>
          <w:szCs w:val="18"/>
          <w:b w:val="1"/>
          <w:bCs w:val="1"/>
          <w:i w:val="1"/>
          <w:iCs w:val="1"/>
          <w:color w:val="auto"/>
        </w:rPr>
        <w:t>Rule 10b5-1 Plan</w:t>
      </w:r>
      <w:r>
        <w:rPr>
          <w:rFonts w:ascii="Times New Roman" w:cs="Times New Roman" w:eastAsia="Times New Roman" w:hAnsi="Times New Roman"/>
          <w:sz w:val="18"/>
          <w:szCs w:val="18"/>
          <w:color w:val="auto"/>
        </w:rPr>
        <w:t>”) and must be in accordance with the Company’s “</w:t>
      </w:r>
      <w:r>
        <w:rPr>
          <w:rFonts w:ascii="Times New Roman" w:cs="Times New Roman" w:eastAsia="Times New Roman" w:hAnsi="Times New Roman"/>
          <w:sz w:val="18"/>
          <w:szCs w:val="18"/>
          <w:b w:val="1"/>
          <w:bCs w:val="1"/>
          <w:u w:val="single" w:color="auto"/>
          <w:color w:val="auto"/>
        </w:rPr>
        <w:t>Guidelines for Rule 10b5-1 Plans</w:t>
      </w:r>
      <w:r>
        <w:rPr>
          <w:rFonts w:ascii="Times New Roman" w:cs="Times New Roman" w:eastAsia="Times New Roman" w:hAnsi="Times New Roman"/>
          <w:sz w:val="18"/>
          <w:szCs w:val="18"/>
          <w:color w:val="auto"/>
        </w:rPr>
        <w:t xml:space="preserve">” that is attached to this Policy as </w:t>
      </w:r>
      <w:r>
        <w:rPr>
          <w:rFonts w:ascii="Times New Roman" w:cs="Times New Roman" w:eastAsia="Times New Roman" w:hAnsi="Times New Roman"/>
          <w:sz w:val="18"/>
          <w:szCs w:val="18"/>
          <w:u w:val="single" w:color="auto"/>
          <w:color w:val="auto"/>
        </w:rPr>
        <w:t>Attachment</w:t>
      </w:r>
    </w:p>
    <w:p>
      <w:pPr>
        <w:spacing w:after="0" w:line="2" w:lineRule="exact"/>
        <w:rPr>
          <w:sz w:val="20"/>
          <w:szCs w:val="20"/>
          <w:color w:val="auto"/>
        </w:rPr>
      </w:pPr>
    </w:p>
    <w:p>
      <w:pPr>
        <w:ind w:left="80" w:right="440"/>
        <w:spacing w:after="0" w:line="260" w:lineRule="auto"/>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the plan meets the requirements of Rule 10b5-1, transactions in Company Securities may occur even when the person who has entered into the plan is aware of material nonpublic information.</w:t>
      </w:r>
    </w:p>
    <w:p>
      <w:pPr>
        <w:spacing w:after="0" w:line="194" w:lineRule="exact"/>
        <w:rPr>
          <w:sz w:val="20"/>
          <w:szCs w:val="20"/>
          <w:color w:val="auto"/>
        </w:rPr>
      </w:pPr>
    </w:p>
    <w:p>
      <w:pPr>
        <w:ind w:left="80" w:right="200"/>
        <w:spacing w:after="0" w:line="256" w:lineRule="auto"/>
        <w:rPr>
          <w:sz w:val="20"/>
          <w:szCs w:val="20"/>
          <w:color w:val="auto"/>
        </w:rPr>
      </w:pPr>
      <w:r>
        <w:rPr>
          <w:rFonts w:ascii="Times New Roman" w:cs="Times New Roman" w:eastAsia="Times New Roman" w:hAnsi="Times New Roman"/>
          <w:sz w:val="18"/>
          <w:szCs w:val="18"/>
          <w:color w:val="auto"/>
        </w:rPr>
        <w:t>To comply with the Policy, a Rule 10b5-1 Plan must be approved by the Compliance Officer and meet the requirements of Rule 10b5-1 and the Company’s “Guidelines for Rule 10b5-1 Plans”. In general, a Rule 10b5-1 Plan must be entered into during a Window Period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The plan must include a cooling-off period before trading can commence that, for directors or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595630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695" w:right="359" w:bottom="1440" w:gutter="0" w:footer="0" w:header="0"/>
        </w:sectPr>
      </w:pPr>
    </w:p>
    <w:bookmarkStart w:id="138" w:name="page139"/>
    <w:bookmarkEnd w:id="138"/>
    <w:p>
      <w:pPr>
        <w:ind w:left="80"/>
        <w:spacing w:after="0" w:line="255" w:lineRule="auto"/>
        <w:rPr>
          <w:sz w:val="20"/>
          <w:szCs w:val="20"/>
          <w:color w:val="auto"/>
        </w:rPr>
      </w:pPr>
      <w:r>
        <w:rPr>
          <w:rFonts w:ascii="Times New Roman" w:cs="Times New Roman" w:eastAsia="Times New Roman" w:hAnsi="Times New Roman"/>
          <w:sz w:val="18"/>
          <w:szCs w:val="18"/>
          <w:color w:val="auto"/>
        </w:rPr>
        <w:t>ends on the later of 90 days after the adoption of the Rule 10b5-1 Plan or two Trading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200" w:lineRule="exact"/>
        <w:rPr>
          <w:sz w:val="20"/>
          <w:szCs w:val="20"/>
          <w:color w:val="auto"/>
        </w:rPr>
      </w:pPr>
    </w:p>
    <w:p>
      <w:pPr>
        <w:ind w:left="80" w:right="680"/>
        <w:spacing w:after="0" w:line="281" w:lineRule="auto"/>
        <w:rPr>
          <w:sz w:val="20"/>
          <w:szCs w:val="20"/>
          <w:color w:val="auto"/>
        </w:rPr>
      </w:pPr>
      <w:r>
        <w:rPr>
          <w:rFonts w:ascii="Times New Roman" w:cs="Times New Roman" w:eastAsia="Times New Roman" w:hAnsi="Times New Roman"/>
          <w:sz w:val="18"/>
          <w:szCs w:val="18"/>
          <w:color w:val="auto"/>
        </w:rPr>
        <w:t>Any Rule 10b5-1 Plan must be submitted for approval at least five days prior to the entry into the Rule 10b5-1 Plan. No further pre-approval of transactions conducted pursuant to the Rule 10b5-1 Plan will be required.</w:t>
      </w:r>
    </w:p>
    <w:p>
      <w:pPr>
        <w:spacing w:after="0" w:line="176" w:lineRule="exact"/>
        <w:rPr>
          <w:sz w:val="20"/>
          <w:szCs w:val="20"/>
          <w:color w:val="auto"/>
        </w:rPr>
      </w:pPr>
    </w:p>
    <w:p>
      <w:pPr>
        <w:ind w:left="80" w:right="140"/>
        <w:spacing w:after="0" w:line="265" w:lineRule="auto"/>
        <w:rPr>
          <w:sz w:val="20"/>
          <w:szCs w:val="20"/>
          <w:color w:val="auto"/>
        </w:rPr>
      </w:pPr>
      <w:r>
        <w:rPr>
          <w:rFonts w:ascii="Times New Roman" w:cs="Times New Roman" w:eastAsia="Times New Roman" w:hAnsi="Times New Roman"/>
          <w:sz w:val="18"/>
          <w:szCs w:val="18"/>
          <w:color w:val="auto"/>
        </w:rPr>
        <w:t>Notwithstanding anything contained herein to the contrary, it is the Company’s policy that no officer or director, or Family Members or Controlled Entities of any such person, may enter into any transaction in Company Securities while such person has a Rule 10b5-1 Plan that is in effect; provided, however, that the foregoing shall only apply to a Rule 10b5-1 Plan adopted or modified by such person on or after January 1, 2024.</w:t>
      </w:r>
    </w:p>
    <w:p>
      <w:pPr>
        <w:spacing w:after="0" w:line="1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42" w:lineRule="exact"/>
        <w:rPr>
          <w:sz w:val="20"/>
          <w:szCs w:val="20"/>
          <w:color w:val="auto"/>
        </w:rPr>
      </w:pPr>
    </w:p>
    <w:p>
      <w:pPr>
        <w:ind w:left="80" w:right="100"/>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an individual is in possession of material nonpublic information when his or her service terminates, that individual may not engage in transactions in Company Securities until that information has been publicly announced or is no longer material. The pre-clearance procedures specified under the heading “Additional Procedures” above, however, will cease to apply to transactions in Company Securities upon the expiration of any Quarterly Restricted Period, Event-Specific Restricted Period, or other Company-imposed trading restrictions applicable at the time of the termination of service.</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Consequences of Violations</w:t>
      </w:r>
    </w:p>
    <w:p>
      <w:pPr>
        <w:spacing w:after="0" w:line="242" w:lineRule="exact"/>
        <w:rPr>
          <w:sz w:val="20"/>
          <w:szCs w:val="20"/>
          <w:color w:val="auto"/>
        </w:rPr>
      </w:pPr>
    </w:p>
    <w:p>
      <w:pPr>
        <w:ind w:left="80" w:right="80"/>
        <w:spacing w:after="0" w:line="256"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engage in transactions in the Company’s Securities, is prohibited by the federal and state laws. Insider trading violations are pursued vigorously by the SEC, U.S. Attorneys and state enforcement authorities, as well as enforcement authorities in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99" w:lineRule="exact"/>
        <w:rPr>
          <w:sz w:val="20"/>
          <w:szCs w:val="20"/>
          <w:color w:val="auto"/>
        </w:rPr>
      </w:pPr>
    </w:p>
    <w:p>
      <w:pPr>
        <w:jc w:val="both"/>
        <w:ind w:left="80" w:right="120"/>
        <w:spacing w:after="0" w:line="265"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7" w:lineRule="exact"/>
        <w:rPr>
          <w:sz w:val="20"/>
          <w:szCs w:val="20"/>
          <w:color w:val="auto"/>
        </w:rPr>
      </w:pPr>
    </w:p>
    <w:p>
      <w:pPr>
        <w:ind w:left="80" w:right="140"/>
        <w:spacing w:after="0" w:line="265" w:lineRule="auto"/>
        <w:rPr>
          <w:sz w:val="20"/>
          <w:szCs w:val="20"/>
          <w:color w:val="auto"/>
        </w:rPr>
      </w:pPr>
      <w:r>
        <w:rPr>
          <w:rFonts w:ascii="Times New Roman" w:cs="Times New Roman" w:eastAsia="Times New Roman" w:hAnsi="Times New Roman"/>
          <w:sz w:val="18"/>
          <w:szCs w:val="18"/>
          <w:color w:val="auto"/>
        </w:rPr>
        <w:t>Persons located or engaged in dealings outside the United States should be aware that laws regarding insider trading and similar offenses differ from country to country. Employees must abide by the laws in the country where they are located. However, all persons subject to this Policy are required to comply with this Policy even if applicable local law is less restrictive. If a local law conflicts with this Policy, consult the Compliance Officer.</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Reporting</w:t>
      </w:r>
    </w:p>
    <w:p>
      <w:pPr>
        <w:spacing w:after="0" w:line="242" w:lineRule="exact"/>
        <w:rPr>
          <w:sz w:val="20"/>
          <w:szCs w:val="20"/>
          <w:color w:val="auto"/>
        </w:rPr>
      </w:pPr>
    </w:p>
    <w:p>
      <w:pPr>
        <w:ind w:left="80" w:right="120"/>
        <w:spacing w:after="0" w:line="260" w:lineRule="auto"/>
        <w:rPr>
          <w:sz w:val="20"/>
          <w:szCs w:val="20"/>
          <w:color w:val="auto"/>
        </w:rPr>
      </w:pPr>
      <w:r>
        <w:rPr>
          <w:rFonts w:ascii="Times New Roman" w:cs="Times New Roman" w:eastAsia="Times New Roman" w:hAnsi="Times New Roman"/>
          <w:sz w:val="18"/>
          <w:szCs w:val="18"/>
          <w:color w:val="auto"/>
        </w:rPr>
        <w:t>Consistent with the Company’s Code of Conduct, it is the responsibility of all directors, officers and employees of the Company to report any violation of this Policy to the Compliance Officer. This reporting duty should be broadly construed to include any inappropriate conduct by their Family Members and Controlled Entities in respect of trading in the securities of the Company, as well as the sharing or misuse of the confidential information of the Company and any material nonpublic information.</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Company Assistance</w:t>
      </w:r>
    </w:p>
    <w:p>
      <w:pPr>
        <w:spacing w:after="0" w:line="2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595630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688" w:right="459" w:bottom="1440" w:gutter="0" w:footer="0" w:header="0"/>
        </w:sectPr>
      </w:pPr>
    </w:p>
    <w:bookmarkStart w:id="139" w:name="page140"/>
    <w:bookmarkEnd w:id="139"/>
    <w:p>
      <w:pPr>
        <w:ind w:left="80"/>
        <w:spacing w:after="0"/>
        <w:rPr>
          <w:sz w:val="20"/>
          <w:szCs w:val="20"/>
          <w:color w:val="auto"/>
        </w:rPr>
      </w:pPr>
      <w:r>
        <w:rPr>
          <w:rFonts w:ascii="Times New Roman" w:cs="Times New Roman" w:eastAsia="Times New Roman" w:hAnsi="Times New Roman"/>
          <w:sz w:val="18"/>
          <w:szCs w:val="18"/>
          <w:color w:val="auto"/>
        </w:rPr>
        <w:t>guidance from the Compliance Officer.</w:t>
      </w:r>
    </w:p>
    <w:p>
      <w:pPr>
        <w:spacing w:after="0" w:line="238" w:lineRule="exact"/>
        <w:rPr>
          <w:sz w:val="20"/>
          <w:szCs w:val="20"/>
          <w:color w:val="auto"/>
        </w:rPr>
      </w:pPr>
    </w:p>
    <w:p>
      <w:pPr>
        <w:jc w:val="both"/>
        <w:ind w:left="80"/>
        <w:spacing w:after="0" w:line="265" w:lineRule="auto"/>
        <w:rPr>
          <w:sz w:val="20"/>
          <w:szCs w:val="20"/>
          <w:color w:val="auto"/>
        </w:rPr>
      </w:pPr>
      <w:r>
        <w:rPr>
          <w:rFonts w:ascii="Times New Roman" w:cs="Times New Roman" w:eastAsia="Times New Roman" w:hAnsi="Times New Roman"/>
          <w:sz w:val="18"/>
          <w:szCs w:val="18"/>
          <w:color w:val="auto"/>
        </w:rPr>
        <w:t>Prior to disclosure to any third party, any officer, director or employee of the Company who is aware of any material nonpublic information concerning the Company that has not been disclosed to the public should report the intention to disclose such information promptly to the Compliance Officer and obtain approval to do so, or otherwise act in accordance with the Company’s Investor Relations Policy.</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All persons subject to this Policy must certify their understanding of, and intent to comply with, this Policy.</w:t>
      </w:r>
    </w:p>
    <w:p>
      <w:pPr>
        <w:sectPr>
          <w:pgSz w:w="11900" w:h="16838" w:orient="portrait"/>
          <w:cols w:equalWidth="0" w:num="1">
            <w:col w:w="10940"/>
          </w:cols>
          <w:pgMar w:left="380" w:top="688"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595630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688" w:right="579" w:bottom="1440" w:gutter="0" w:footer="0" w:header="0"/>
          <w:type w:val="continuous"/>
        </w:sectPr>
      </w:pPr>
    </w:p>
    <w:bookmarkStart w:id="140" w:name="page141"/>
    <w:bookmarkEnd w:id="140"/>
    <w:p>
      <w:pPr>
        <w:ind w:left="48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 certify that:</w:t>
      </w:r>
    </w:p>
    <w:p>
      <w:pPr>
        <w:spacing w:after="0" w:line="238" w:lineRule="exact"/>
        <w:rPr>
          <w:sz w:val="20"/>
          <w:szCs w:val="20"/>
          <w:color w:val="auto"/>
        </w:rPr>
      </w:pPr>
    </w:p>
    <w:p>
      <w:pPr>
        <w:ind w:left="1520" w:right="220" w:hanging="704"/>
        <w:spacing w:after="0" w:line="281" w:lineRule="auto"/>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Policy. I understand that the Compliance Officer is available to answer any questions I have regarding the Policy.</w:t>
      </w:r>
    </w:p>
    <w:p>
      <w:pPr>
        <w:spacing w:after="0" w:line="162" w:lineRule="exact"/>
        <w:rPr>
          <w:rFonts w:ascii="Times New Roman" w:cs="Times New Roman" w:eastAsia="Times New Roman" w:hAnsi="Times New Roman"/>
          <w:sz w:val="18"/>
          <w:szCs w:val="18"/>
          <w:color w:val="auto"/>
        </w:rPr>
      </w:pPr>
    </w:p>
    <w:p>
      <w:pPr>
        <w:ind w:left="1540" w:hanging="724"/>
        <w:spacing w:after="0" w:line="281"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that the Policy became effective, or such shorter period of time that I have been an employee of the Company, I have complied with the Policy.</w:t>
      </w:r>
    </w:p>
    <w:p>
      <w:pPr>
        <w:spacing w:after="0" w:line="176"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continue to comply with the Policy for as long as I am subject to the Policy.</w:t>
      </w:r>
    </w:p>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-7620</wp:posOffset>
            </wp:positionV>
            <wp:extent cx="1555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155575" cy="825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-7620</wp:posOffset>
            </wp:positionV>
            <wp:extent cx="2152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215265" cy="825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-7620</wp:posOffset>
            </wp:positionV>
            <wp:extent cx="2095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209550" cy="8255"/>
                    </a:xfrm>
                    <a:prstGeom prst="rect">
                      <a:avLst/>
                    </a:prstGeom>
                    <a:noFill/>
                  </pic:spPr>
                </pic:pic>
              </a:graphicData>
            </a:graphic>
          </wp:anchor>
        </w:drawing>
      </w:r>
    </w:p>
    <w:p>
      <w:pPr>
        <w:sectPr>
          <w:pgSz w:w="11900" w:h="16838" w:orient="portrait"/>
          <w:cols w:equalWidth="0" w:num="1">
            <w:col w:w="10600"/>
          </w:cols>
          <w:pgMar w:left="380" w:top="765"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595630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80" w:top="765" w:right="919" w:bottom="1440" w:gutter="0" w:footer="0" w:header="0"/>
          <w:type w:val="continuous"/>
        </w:sectPr>
      </w:pPr>
    </w:p>
    <w:bookmarkStart w:id="141" w:name="page142"/>
    <w:bookmarkEnd w:id="141"/>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Attachment A to Insider Trading Policy</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Guidelines for Rule 10b5-1 Plans</w:t>
      </w:r>
    </w:p>
    <w:p>
      <w:pPr>
        <w:spacing w:after="0" w:line="229" w:lineRule="exact"/>
        <w:rPr>
          <w:sz w:val="20"/>
          <w:szCs w:val="20"/>
          <w:color w:val="auto"/>
        </w:rPr>
      </w:pPr>
    </w:p>
    <w:p>
      <w:pPr>
        <w:ind w:left="80" w:right="40"/>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(as defined in the Insider Trading Policy) that meets certain conditions specified in the Rule (a “Rule 10b5-1 Plan”). If the plan meets the requirements of Rule 10b5-1, transactions in Company Securities may occur without regard to certain insider trading restrictions.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00" w:lineRule="exact"/>
        <w:rPr>
          <w:sz w:val="20"/>
          <w:szCs w:val="20"/>
          <w:color w:val="auto"/>
        </w:rPr>
      </w:pPr>
    </w:p>
    <w:p>
      <w:pPr>
        <w:ind w:left="80"/>
        <w:spacing w:after="0" w:line="254" w:lineRule="auto"/>
        <w:rPr>
          <w:sz w:val="20"/>
          <w:szCs w:val="20"/>
          <w:color w:val="auto"/>
        </w:rPr>
      </w:pPr>
      <w:r>
        <w:rPr>
          <w:rFonts w:ascii="Times New Roman" w:cs="Times New Roman" w:eastAsia="Times New Roman" w:hAnsi="Times New Roman"/>
          <w:sz w:val="18"/>
          <w:szCs w:val="18"/>
          <w:color w:val="auto"/>
        </w:rPr>
        <w:t>A Rule 10b5-1 plan must include a cooling-off period before trading can commence that, for directors or officers, ends on the later of 90 days after the adoption of the Rule 10b5-1 plan or two Trading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plans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203" w:lineRule="exact"/>
        <w:rPr>
          <w:sz w:val="20"/>
          <w:szCs w:val="20"/>
          <w:color w:val="auto"/>
        </w:rPr>
      </w:pPr>
    </w:p>
    <w:p>
      <w:pPr>
        <w:ind w:left="80" w:right="180"/>
        <w:spacing w:after="0" w:line="265" w:lineRule="auto"/>
        <w:rPr>
          <w:sz w:val="20"/>
          <w:szCs w:val="20"/>
          <w:color w:val="auto"/>
        </w:rPr>
      </w:pPr>
      <w:r>
        <w:rPr>
          <w:rFonts w:ascii="Times New Roman" w:cs="Times New Roman" w:eastAsia="Times New Roman" w:hAnsi="Times New Roman"/>
          <w:sz w:val="18"/>
          <w:szCs w:val="18"/>
          <w:color w:val="auto"/>
        </w:rPr>
        <w:t>As specified in the Company’s Insider Trading Policy, a Rule 10b5-1 Plan must be approved by the Compliance Officer and meet the requirements of Rule 10b5-1 and these guidelines. Any Rule 10b5-1 Plan must be submitted for approval five days prior to the entry into the Rule 10b5-1 Plan. No further pre-approval of transactions conducted pursuant to the Rule 10b5-1 Plan will be required.</w:t>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guidelines apply to all Rule 10b5-1 Plans:</w:t>
      </w:r>
    </w:p>
    <w:p>
      <w:pPr>
        <w:spacing w:after="0" w:line="225" w:lineRule="exact"/>
        <w:rPr>
          <w:sz w:val="20"/>
          <w:szCs w:val="20"/>
          <w:color w:val="auto"/>
        </w:rPr>
      </w:pPr>
    </w:p>
    <w:p>
      <w:pPr>
        <w:ind w:left="1520" w:right="920" w:hanging="704"/>
        <w:spacing w:after="0" w:line="281" w:lineRule="auto"/>
        <w:tabs>
          <w:tab w:leader="none" w:pos="1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modify or terminate a trading program during a Restricted Period, or Event-Specific Restricted Period or otherwise while you are aware of material nonpublic information.</w:t>
      </w:r>
    </w:p>
    <w:p>
      <w:pPr>
        <w:spacing w:after="0" w:line="176" w:lineRule="exact"/>
        <w:rPr>
          <w:rFonts w:ascii="Times New Roman" w:cs="Times New Roman" w:eastAsia="Times New Roman" w:hAnsi="Times New Roman"/>
          <w:sz w:val="18"/>
          <w:szCs w:val="18"/>
          <w:color w:val="auto"/>
        </w:rPr>
      </w:pPr>
    </w:p>
    <w:p>
      <w:pPr>
        <w:ind w:left="1540" w:hanging="724"/>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 10b5-1 Plans must have a duration of at least six (6) months and no more than two (2) years.</w:t>
      </w:r>
    </w:p>
    <w:p>
      <w:pPr>
        <w:spacing w:after="0" w:line="237" w:lineRule="exact"/>
        <w:rPr>
          <w:rFonts w:ascii="Times New Roman" w:cs="Times New Roman" w:eastAsia="Times New Roman" w:hAnsi="Times New Roman"/>
          <w:sz w:val="18"/>
          <w:szCs w:val="18"/>
          <w:color w:val="auto"/>
        </w:rPr>
      </w:pPr>
    </w:p>
    <w:p>
      <w:pPr>
        <w:ind w:left="1540" w:right="240" w:hanging="724"/>
        <w:spacing w:after="0" w:line="258"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officers and directors, no transaction may take place under a Rule 10b5-1 Plan until the later of (a) 90 days after adoption or modification of the Rule 10b5-1 Plan or (b) two Trading Days following the disclosure of the Company’s financial results in a Form 10-Q or Form 10-K for the fiscal quarter (the Company’s fourth fiscal quarter in the case of a Form 10-K) in which the Rule 10b5-1 Plan was adopted or modified (but in any event, the cooling-off period is subject to a maximum of 120 days after adoption of the plan).</w:t>
      </w:r>
    </w:p>
    <w:p>
      <w:pPr>
        <w:spacing w:after="0" w:line="181" w:lineRule="exact"/>
        <w:rPr>
          <w:rFonts w:ascii="Times New Roman" w:cs="Times New Roman" w:eastAsia="Times New Roman" w:hAnsi="Times New Roman"/>
          <w:sz w:val="18"/>
          <w:szCs w:val="18"/>
          <w:color w:val="auto"/>
        </w:rPr>
      </w:pPr>
    </w:p>
    <w:p>
      <w:pPr>
        <w:ind w:left="1540" w:right="200" w:hanging="724"/>
        <w:spacing w:after="0" w:line="281"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persons other than officers and directors, no transaction may take place under a Rule 10b5-1 Plan until 30 days following the adoption or modification of a Rule 10b5-1 plan.</w:t>
      </w:r>
    </w:p>
    <w:p>
      <w:pPr>
        <w:spacing w:after="0" w:line="176" w:lineRule="exact"/>
        <w:rPr>
          <w:rFonts w:ascii="Times New Roman" w:cs="Times New Roman" w:eastAsia="Times New Roman" w:hAnsi="Times New Roman"/>
          <w:sz w:val="18"/>
          <w:szCs w:val="18"/>
          <w:color w:val="auto"/>
        </w:rPr>
      </w:pPr>
    </w:p>
    <w:p>
      <w:pPr>
        <w:ind w:left="1540" w:right="480" w:hanging="724"/>
        <w:spacing w:after="0" w:line="281"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may not enter into more than one Rule 10b5-1 Plan at the same time;</w:t>
      </w:r>
    </w:p>
    <w:p>
      <w:pPr>
        <w:spacing w:after="0" w:line="14" w:lineRule="exact"/>
        <w:rPr>
          <w:rFonts w:ascii="Times New Roman" w:cs="Times New Roman" w:eastAsia="Times New Roman" w:hAnsi="Times New Roman"/>
          <w:sz w:val="18"/>
          <w:szCs w:val="18"/>
          <w:color w:val="auto"/>
        </w:rPr>
      </w:pPr>
    </w:p>
    <w:p>
      <w:pPr>
        <w:ind w:left="1560" w:right="100" w:hanging="744"/>
        <w:spacing w:after="0" w:line="265" w:lineRule="auto"/>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are limited to only one Rule 10b5-1 designed to effect an open market purchase or sale of the total amount of securities subject to the Rule 10b-1 Plan as a single transaction in any 12-month period;</w:t>
      </w:r>
    </w:p>
    <w:p>
      <w:pPr>
        <w:spacing w:after="0" w:line="190" w:lineRule="exact"/>
        <w:rPr>
          <w:rFonts w:ascii="Times New Roman" w:cs="Times New Roman" w:eastAsia="Times New Roman" w:hAnsi="Times New Roman"/>
          <w:sz w:val="18"/>
          <w:szCs w:val="18"/>
          <w:color w:val="auto"/>
        </w:rPr>
      </w:pPr>
    </w:p>
    <w:p>
      <w:pPr>
        <w:ind w:left="1520" w:right="500" w:hanging="704"/>
        <w:spacing w:after="0" w:line="265" w:lineRule="auto"/>
        <w:tabs>
          <w:tab w:leader="none" w:pos="1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603885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80" w:top="768" w:right="519" w:bottom="1440" w:gutter="0" w:footer="0" w:header="0"/>
        </w:sectPr>
      </w:pPr>
    </w:p>
    <w:bookmarkStart w:id="142" w:name="page143"/>
    <w:bookmarkEnd w:id="142"/>
    <w:p>
      <w:pPr>
        <w:ind w:left="1520"/>
        <w:spacing w:after="0"/>
        <w:rPr>
          <w:sz w:val="20"/>
          <w:szCs w:val="20"/>
          <w:color w:val="auto"/>
        </w:rPr>
      </w:pPr>
      <w:r>
        <w:rPr>
          <w:rFonts w:ascii="Times New Roman" w:cs="Times New Roman" w:eastAsia="Times New Roman" w:hAnsi="Times New Roman"/>
          <w:sz w:val="18"/>
          <w:szCs w:val="18"/>
          <w:color w:val="auto"/>
        </w:rPr>
        <w:t>Plan should be adopted with the intention that it will not be amended or terminated prior to its expiration.</w:t>
      </w:r>
    </w:p>
    <w:p>
      <w:pPr>
        <w:spacing w:after="0" w:line="238" w:lineRule="exact"/>
        <w:rPr>
          <w:sz w:val="20"/>
          <w:szCs w:val="20"/>
          <w:color w:val="auto"/>
        </w:rPr>
      </w:pPr>
    </w:p>
    <w:p>
      <w:pPr>
        <w:jc w:val="both"/>
        <w:ind w:left="1540" w:right="120" w:hanging="724"/>
        <w:spacing w:after="0" w:line="265" w:lineRule="auto"/>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and directors must include a representation to the Company at the time of adoption or modification of a Rule 10b5-1 Plan that (i) the person is not aware of material nonpublic information about the Company or Company Securities and (ii) the person is adopting the plan in good faith and not as part of plan or scheme to evade the prohibitions of Rule 10b-5.</w:t>
      </w:r>
    </w:p>
    <w:p>
      <w:pPr>
        <w:spacing w:after="0" w:line="190" w:lineRule="exact"/>
        <w:rPr>
          <w:rFonts w:ascii="Times New Roman" w:cs="Times New Roman" w:eastAsia="Times New Roman" w:hAnsi="Times New Roman"/>
          <w:sz w:val="18"/>
          <w:szCs w:val="18"/>
          <w:color w:val="auto"/>
        </w:rPr>
      </w:pPr>
    </w:p>
    <w:p>
      <w:pPr>
        <w:ind w:left="1540" w:right="280" w:hanging="724"/>
        <w:spacing w:after="0" w:line="265" w:lineRule="auto"/>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officer or director, or Family Members or Controlled Entities of such person, may enter into any transaction in Company Securities while any such person has a Rule 10b5-1 Plan that is in effect; provided, however, that the foregoing shall only apply to a Rule 10b5-1 Plan adopted by such person(s) on or after January 1, 2024.</w:t>
      </w:r>
    </w:p>
    <w:p>
      <w:pPr>
        <w:spacing w:after="0" w:line="177" w:lineRule="exact"/>
        <w:rPr>
          <w:sz w:val="20"/>
          <w:szCs w:val="20"/>
          <w:color w:val="auto"/>
        </w:rPr>
      </w:pPr>
    </w:p>
    <w:p>
      <w:pPr>
        <w:ind w:left="80" w:right="440"/>
        <w:spacing w:after="0" w:line="265" w:lineRule="auto"/>
        <w:rPr>
          <w:sz w:val="20"/>
          <w:szCs w:val="20"/>
          <w:color w:val="auto"/>
        </w:rPr>
      </w:pPr>
      <w:r>
        <w:rPr>
          <w:rFonts w:ascii="Times New Roman" w:cs="Times New Roman" w:eastAsia="Times New Roman" w:hAnsi="Times New Roman"/>
          <w:sz w:val="18"/>
          <w:szCs w:val="18"/>
          <w:color w:val="auto"/>
        </w:rPr>
        <w:t>The Company and the Company’s officers and directors must make certain disclosures in SEC filings concerning Rule 10b5-1 Plans. Officers and directors of the Company must undertake to provide any information requested by the Company regarding Rule 10b5-1 Plans for the purpose of providing the required disclosures or any other disclosures that the Company deems to be appropriate under the circumstances.</w:t>
      </w:r>
    </w:p>
    <w:p>
      <w:pPr>
        <w:spacing w:after="0" w:line="191" w:lineRule="exact"/>
        <w:rPr>
          <w:sz w:val="20"/>
          <w:szCs w:val="20"/>
          <w:color w:val="auto"/>
        </w:rPr>
      </w:pPr>
    </w:p>
    <w:p>
      <w:pPr>
        <w:ind w:left="80" w:right="380"/>
        <w:spacing w:after="0" w:line="265" w:lineRule="auto"/>
        <w:rPr>
          <w:sz w:val="20"/>
          <w:szCs w:val="20"/>
          <w:color w:val="auto"/>
        </w:rPr>
      </w:pPr>
      <w:r>
        <w:rPr>
          <w:rFonts w:ascii="Times New Roman" w:cs="Times New Roman" w:eastAsia="Times New Roman" w:hAnsi="Times New Roman"/>
          <w:sz w:val="18"/>
          <w:szCs w:val="18"/>
          <w:color w:val="auto"/>
        </w:rPr>
        <w:t>Each director, officer and other Section 16 insider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spacing w:after="0" w:line="191" w:lineRule="exact"/>
        <w:rPr>
          <w:sz w:val="20"/>
          <w:szCs w:val="20"/>
          <w:color w:val="auto"/>
        </w:rPr>
      </w:pPr>
    </w:p>
    <w:p>
      <w:pPr>
        <w:ind w:left="80"/>
        <w:spacing w:after="0" w:line="265" w:lineRule="auto"/>
        <w:rPr>
          <w:sz w:val="20"/>
          <w:szCs w:val="20"/>
          <w:color w:val="auto"/>
        </w:rPr>
      </w:pPr>
      <w:r>
        <w:rPr>
          <w:rFonts w:ascii="Times New Roman" w:cs="Times New Roman" w:eastAsia="Times New Roman" w:hAnsi="Times New Roman"/>
          <w:sz w:val="18"/>
          <w:szCs w:val="18"/>
          <w:color w:val="auto"/>
        </w:rPr>
        <w:t xml:space="preserve">As of January 1, 2024, the Company has a relationship with ETrade (through Morgan Stanley) that includes administration of the Company’s Employee Stock Purchase Plan. Employees can contact ETrade at </w:t>
      </w:r>
      <w:r>
        <w:rPr>
          <w:rFonts w:ascii="Times New Roman" w:cs="Times New Roman" w:eastAsia="Times New Roman" w:hAnsi="Times New Roman"/>
          <w:sz w:val="18"/>
          <w:szCs w:val="18"/>
          <w:color w:val="0562C1"/>
        </w:rPr>
        <w:t>10b51@etrade.com</w:t>
      </w:r>
      <w:r>
        <w:rPr>
          <w:rFonts w:ascii="Times New Roman" w:cs="Times New Roman" w:eastAsia="Times New Roman" w:hAnsi="Times New Roman"/>
          <w:sz w:val="18"/>
          <w:szCs w:val="18"/>
          <w:color w:val="auto"/>
        </w:rPr>
        <w:t xml:space="preserve"> to help establish a Rule 10b5-1 Plan, or can use the employee’s separate broker.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603885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80" w:top="688" w:right="5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2" w:lineRule="exact"/>
        <w:rPr>
          <w:sz w:val="20"/>
          <w:szCs w:val="20"/>
          <w:color w:val="auto"/>
        </w:rPr>
      </w:pPr>
    </w:p>
    <w:p>
      <w:pPr>
        <w:ind w:left="1020" w:hanging="504"/>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333-230353) of Arcturus Therapeutics Holdings Inc.,</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333-232272) pertaining to the Arcturus Therapeutics Holdings Inc. 2019 Omnibus Equity Incentive Plan,</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333-265925) pertaining to the Arcturus Therapeutics Holdings Inc. 2019 Omnibus Equity Incentive Plan, as amended,</w:t>
      </w:r>
    </w:p>
    <w:p>
      <w:pPr>
        <w:spacing w:after="0" w:line="54"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333-240397) pertaining to the Arcturus Therapeutics Holdings Inc. Amended and Restated 2019 Omnibus Equity Incentive Plan,</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333-240392) pertaining to the Arcturus Therapeutics Holdings Inc. 2020 Employee Stock Purchase Plan,</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333-260391) pertaining to the Arcturus Therapeutics Holdings Inc. 2021 Inducement Equity Incentive Plan,</w:t>
      </w:r>
    </w:p>
    <w:p>
      <w:pPr>
        <w:spacing w:after="0" w:line="54"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333-232281, 333-235475, 333-237703, 333-238139, 333-251175, and 333-269003) of Arcturus Therapeutics Holdings Inc.</w:t>
      </w:r>
    </w:p>
    <w:p>
      <w:pPr>
        <w:spacing w:after="0" w:line="16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of our reports dated March 14, 2024 with respect to the consolidated financial statements of Arcturus Therapeutics Holdings Inc. and the effectiveness of internal control over financial reporting of Arcturus Therapeutics Holdings, Inc., included in this Annual Report (Form 10-K) of Arcturus Therapeutics Holdings, Inc. for the year ended December 31, 2023.</w:t>
      </w:r>
    </w:p>
    <w:p>
      <w:pPr>
        <w:spacing w:after="0" w:line="17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1482725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Joseph E. Payne, certify that:</w:t>
      </w:r>
    </w:p>
    <w:p>
      <w:pPr>
        <w:spacing w:after="0" w:line="175" w:lineRule="exact"/>
        <w:rPr>
          <w:sz w:val="20"/>
          <w:szCs w:val="20"/>
          <w:color w:val="auto"/>
        </w:rPr>
      </w:pPr>
    </w:p>
    <w:p>
      <w:pPr>
        <w:ind w:left="400" w:hanging="392"/>
        <w:spacing w:after="0"/>
        <w:tabs>
          <w:tab w:leader="none" w:pos="4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Arcturus Therapeutics Holdings Inc.;</w:t>
      </w:r>
    </w:p>
    <w:p>
      <w:pPr>
        <w:spacing w:after="0" w:line="188" w:lineRule="exact"/>
        <w:rPr>
          <w:rFonts w:ascii="Times New Roman" w:cs="Times New Roman" w:eastAsia="Times New Roman" w:hAnsi="Times New Roman"/>
          <w:sz w:val="20"/>
          <w:szCs w:val="20"/>
          <w:color w:val="auto"/>
        </w:rPr>
      </w:pPr>
    </w:p>
    <w:p>
      <w:pPr>
        <w:ind w:left="520" w:right="100" w:hanging="512"/>
        <w:spacing w:after="0" w:line="253" w:lineRule="auto"/>
        <w:tabs>
          <w:tab w:leader="none" w:pos="40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20"/>
          <w:szCs w:val="20"/>
          <w:color w:val="auto"/>
        </w:rPr>
      </w:pPr>
    </w:p>
    <w:p>
      <w:pPr>
        <w:ind w:left="520" w:right="60" w:hanging="512"/>
        <w:spacing w:after="0" w:line="295" w:lineRule="auto"/>
        <w:tabs>
          <w:tab w:leader="none" w:pos="406"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9"/>
          <w:szCs w:val="19"/>
          <w:color w:val="auto"/>
        </w:rPr>
      </w:pPr>
    </w:p>
    <w:p>
      <w:pPr>
        <w:ind w:left="520" w:right="180" w:hanging="512"/>
        <w:spacing w:after="0" w:line="253" w:lineRule="auto"/>
        <w:tabs>
          <w:tab w:leader="none" w:pos="40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20"/>
          <w:szCs w:val="20"/>
          <w:color w:val="auto"/>
        </w:rPr>
      </w:pPr>
    </w:p>
    <w:p>
      <w:pPr>
        <w:ind w:left="1020" w:right="100" w:hanging="479"/>
        <w:spacing w:after="0" w:line="253" w:lineRule="auto"/>
        <w:tabs>
          <w:tab w:leader="none" w:pos="93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20"/>
          <w:szCs w:val="20"/>
          <w:color w:val="auto"/>
        </w:rPr>
      </w:pPr>
    </w:p>
    <w:p>
      <w:pPr>
        <w:ind w:left="1020" w:right="380" w:hanging="479"/>
        <w:spacing w:after="0" w:line="253" w:lineRule="auto"/>
        <w:tabs>
          <w:tab w:leader="none" w:pos="93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20"/>
          <w:szCs w:val="20"/>
          <w:color w:val="auto"/>
        </w:rPr>
      </w:pPr>
    </w:p>
    <w:p>
      <w:pPr>
        <w:ind w:left="1020" w:right="20" w:hanging="479"/>
        <w:spacing w:after="0" w:line="253" w:lineRule="auto"/>
        <w:tabs>
          <w:tab w:leader="none" w:pos="93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20"/>
          <w:szCs w:val="20"/>
          <w:color w:val="auto"/>
        </w:rPr>
      </w:pPr>
    </w:p>
    <w:p>
      <w:pPr>
        <w:ind w:left="1020" w:right="100" w:hanging="479"/>
        <w:spacing w:after="0" w:line="253" w:lineRule="auto"/>
        <w:tabs>
          <w:tab w:leader="none" w:pos="93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20"/>
          <w:szCs w:val="20"/>
          <w:color w:val="auto"/>
        </w:rPr>
      </w:pPr>
    </w:p>
    <w:p>
      <w:pPr>
        <w:ind w:left="520" w:right="320" w:hanging="512"/>
        <w:spacing w:after="0" w:line="253" w:lineRule="auto"/>
        <w:tabs>
          <w:tab w:leader="none" w:pos="40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20"/>
          <w:szCs w:val="20"/>
          <w:color w:val="auto"/>
        </w:rPr>
      </w:pPr>
    </w:p>
    <w:p>
      <w:pPr>
        <w:ind w:left="1020" w:right="240" w:hanging="479"/>
        <w:spacing w:after="0" w:line="253" w:lineRule="auto"/>
        <w:tabs>
          <w:tab w:leader="none" w:pos="93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20"/>
          <w:szCs w:val="20"/>
          <w:color w:val="auto"/>
        </w:rPr>
      </w:pPr>
    </w:p>
    <w:p>
      <w:pPr>
        <w:ind w:left="1020" w:right="260" w:hanging="479"/>
        <w:spacing w:after="0" w:line="268" w:lineRule="auto"/>
        <w:tabs>
          <w:tab w:leader="none" w:pos="93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20"/>
        <w:spacing w:after="0"/>
        <w:tabs>
          <w:tab w:leader="none" w:pos="5480" w:val="left"/>
          <w:tab w:leader="none" w:pos="786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26035</wp:posOffset>
            </wp:positionV>
            <wp:extent cx="33909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Andrew Sassine, certify that:</w:t>
      </w:r>
    </w:p>
    <w:p>
      <w:pPr>
        <w:spacing w:after="0" w:line="175" w:lineRule="exact"/>
        <w:rPr>
          <w:sz w:val="20"/>
          <w:szCs w:val="20"/>
          <w:color w:val="auto"/>
        </w:rPr>
      </w:pPr>
    </w:p>
    <w:p>
      <w:pPr>
        <w:ind w:left="400" w:hanging="392"/>
        <w:spacing w:after="0"/>
        <w:tabs>
          <w:tab w:leader="none" w:pos="4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Arcturus Therapeutics Holdings Inc.;</w:t>
      </w:r>
    </w:p>
    <w:p>
      <w:pPr>
        <w:spacing w:after="0" w:line="188" w:lineRule="exact"/>
        <w:rPr>
          <w:rFonts w:ascii="Times New Roman" w:cs="Times New Roman" w:eastAsia="Times New Roman" w:hAnsi="Times New Roman"/>
          <w:sz w:val="20"/>
          <w:szCs w:val="20"/>
          <w:color w:val="auto"/>
        </w:rPr>
      </w:pPr>
    </w:p>
    <w:p>
      <w:pPr>
        <w:ind w:left="520" w:right="100" w:hanging="512"/>
        <w:spacing w:after="0" w:line="253" w:lineRule="auto"/>
        <w:tabs>
          <w:tab w:leader="none" w:pos="40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20"/>
          <w:szCs w:val="20"/>
          <w:color w:val="auto"/>
        </w:rPr>
      </w:pPr>
    </w:p>
    <w:p>
      <w:pPr>
        <w:ind w:left="520" w:right="60" w:hanging="512"/>
        <w:spacing w:after="0" w:line="295" w:lineRule="auto"/>
        <w:tabs>
          <w:tab w:leader="none" w:pos="406"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9"/>
          <w:szCs w:val="19"/>
          <w:color w:val="auto"/>
        </w:rPr>
      </w:pPr>
    </w:p>
    <w:p>
      <w:pPr>
        <w:ind w:left="520" w:right="180" w:hanging="512"/>
        <w:spacing w:after="0" w:line="253" w:lineRule="auto"/>
        <w:tabs>
          <w:tab w:leader="none" w:pos="40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20"/>
          <w:szCs w:val="20"/>
          <w:color w:val="auto"/>
        </w:rPr>
      </w:pPr>
    </w:p>
    <w:p>
      <w:pPr>
        <w:ind w:left="1020" w:right="100" w:hanging="479"/>
        <w:spacing w:after="0" w:line="253" w:lineRule="auto"/>
        <w:tabs>
          <w:tab w:leader="none" w:pos="93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20"/>
          <w:szCs w:val="20"/>
          <w:color w:val="auto"/>
        </w:rPr>
      </w:pPr>
    </w:p>
    <w:p>
      <w:pPr>
        <w:ind w:left="1020" w:right="380" w:hanging="479"/>
        <w:spacing w:after="0" w:line="253" w:lineRule="auto"/>
        <w:tabs>
          <w:tab w:leader="none" w:pos="93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20"/>
          <w:szCs w:val="20"/>
          <w:color w:val="auto"/>
        </w:rPr>
      </w:pPr>
    </w:p>
    <w:p>
      <w:pPr>
        <w:ind w:left="1020" w:right="20" w:hanging="479"/>
        <w:spacing w:after="0" w:line="253" w:lineRule="auto"/>
        <w:tabs>
          <w:tab w:leader="none" w:pos="93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20"/>
          <w:szCs w:val="20"/>
          <w:color w:val="auto"/>
        </w:rPr>
      </w:pPr>
    </w:p>
    <w:p>
      <w:pPr>
        <w:ind w:left="1020" w:right="100" w:hanging="479"/>
        <w:spacing w:after="0" w:line="253" w:lineRule="auto"/>
        <w:tabs>
          <w:tab w:leader="none" w:pos="93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20"/>
          <w:szCs w:val="20"/>
          <w:color w:val="auto"/>
        </w:rPr>
      </w:pPr>
    </w:p>
    <w:p>
      <w:pPr>
        <w:ind w:left="520" w:right="320" w:hanging="512"/>
        <w:spacing w:after="0" w:line="253" w:lineRule="auto"/>
        <w:tabs>
          <w:tab w:leader="none" w:pos="40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20"/>
          <w:szCs w:val="20"/>
          <w:color w:val="auto"/>
        </w:rPr>
      </w:pPr>
    </w:p>
    <w:p>
      <w:pPr>
        <w:ind w:left="1020" w:right="240" w:hanging="479"/>
        <w:spacing w:after="0" w:line="253" w:lineRule="auto"/>
        <w:tabs>
          <w:tab w:leader="none" w:pos="93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20"/>
          <w:szCs w:val="20"/>
          <w:color w:val="auto"/>
        </w:rPr>
      </w:pPr>
    </w:p>
    <w:p>
      <w:pPr>
        <w:ind w:left="1020" w:right="260" w:hanging="479"/>
        <w:spacing w:after="0" w:line="268" w:lineRule="auto"/>
        <w:tabs>
          <w:tab w:leader="none" w:pos="93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5480" w:val="left"/>
          <w:tab w:leader="none" w:pos="786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26035</wp:posOffset>
            </wp:positionV>
            <wp:extent cx="33909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5"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Andrew Sassine</w:t>
      </w:r>
    </w:p>
    <w:p>
      <w:pPr>
        <w:spacing w:after="0" w:line="3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Director and Chief Financial Officer</w:t>
      </w:r>
    </w:p>
    <w:p>
      <w:pPr>
        <w:spacing w:after="0" w:line="3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Keith C. Kummerfeld, certify that:</w:t>
      </w:r>
    </w:p>
    <w:p>
      <w:pPr>
        <w:spacing w:after="0" w:line="175" w:lineRule="exact"/>
        <w:rPr>
          <w:sz w:val="20"/>
          <w:szCs w:val="20"/>
          <w:color w:val="auto"/>
        </w:rPr>
      </w:pPr>
    </w:p>
    <w:p>
      <w:pPr>
        <w:ind w:left="400" w:hanging="392"/>
        <w:spacing w:after="0"/>
        <w:tabs>
          <w:tab w:leader="none" w:pos="4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Arcturus Therapeutics Holdings Inc.;</w:t>
      </w:r>
    </w:p>
    <w:p>
      <w:pPr>
        <w:spacing w:after="0" w:line="188" w:lineRule="exact"/>
        <w:rPr>
          <w:rFonts w:ascii="Times New Roman" w:cs="Times New Roman" w:eastAsia="Times New Roman" w:hAnsi="Times New Roman"/>
          <w:sz w:val="20"/>
          <w:szCs w:val="20"/>
          <w:color w:val="auto"/>
        </w:rPr>
      </w:pPr>
    </w:p>
    <w:p>
      <w:pPr>
        <w:ind w:left="520" w:right="100" w:hanging="512"/>
        <w:spacing w:after="0" w:line="253" w:lineRule="auto"/>
        <w:tabs>
          <w:tab w:leader="none" w:pos="40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20"/>
          <w:szCs w:val="20"/>
          <w:color w:val="auto"/>
        </w:rPr>
      </w:pPr>
    </w:p>
    <w:p>
      <w:pPr>
        <w:ind w:left="520" w:right="60" w:hanging="512"/>
        <w:spacing w:after="0" w:line="295" w:lineRule="auto"/>
        <w:tabs>
          <w:tab w:leader="none" w:pos="406"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9"/>
          <w:szCs w:val="19"/>
          <w:color w:val="auto"/>
        </w:rPr>
      </w:pPr>
    </w:p>
    <w:p>
      <w:pPr>
        <w:ind w:left="520" w:right="180" w:hanging="512"/>
        <w:spacing w:after="0" w:line="253" w:lineRule="auto"/>
        <w:tabs>
          <w:tab w:leader="none" w:pos="40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20"/>
          <w:szCs w:val="20"/>
          <w:color w:val="auto"/>
        </w:rPr>
      </w:pPr>
    </w:p>
    <w:p>
      <w:pPr>
        <w:ind w:left="1020" w:right="100" w:hanging="479"/>
        <w:spacing w:after="0" w:line="253" w:lineRule="auto"/>
        <w:tabs>
          <w:tab w:leader="none" w:pos="93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20"/>
          <w:szCs w:val="20"/>
          <w:color w:val="auto"/>
        </w:rPr>
      </w:pPr>
    </w:p>
    <w:p>
      <w:pPr>
        <w:ind w:left="1020" w:right="380" w:hanging="479"/>
        <w:spacing w:after="0" w:line="253" w:lineRule="auto"/>
        <w:tabs>
          <w:tab w:leader="none" w:pos="93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20"/>
          <w:szCs w:val="20"/>
          <w:color w:val="auto"/>
        </w:rPr>
      </w:pPr>
    </w:p>
    <w:p>
      <w:pPr>
        <w:ind w:left="1020" w:right="20" w:hanging="479"/>
        <w:spacing w:after="0" w:line="253" w:lineRule="auto"/>
        <w:tabs>
          <w:tab w:leader="none" w:pos="93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20"/>
          <w:szCs w:val="20"/>
          <w:color w:val="auto"/>
        </w:rPr>
      </w:pPr>
    </w:p>
    <w:p>
      <w:pPr>
        <w:ind w:left="1020" w:right="100" w:hanging="479"/>
        <w:spacing w:after="0" w:line="253" w:lineRule="auto"/>
        <w:tabs>
          <w:tab w:leader="none" w:pos="93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20"/>
          <w:szCs w:val="20"/>
          <w:color w:val="auto"/>
        </w:rPr>
      </w:pPr>
    </w:p>
    <w:p>
      <w:pPr>
        <w:ind w:left="520" w:right="320" w:hanging="512"/>
        <w:spacing w:after="0" w:line="253" w:lineRule="auto"/>
        <w:tabs>
          <w:tab w:leader="none" w:pos="40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20"/>
          <w:szCs w:val="20"/>
          <w:color w:val="auto"/>
        </w:rPr>
      </w:pPr>
    </w:p>
    <w:p>
      <w:pPr>
        <w:ind w:left="1020" w:right="240" w:hanging="479"/>
        <w:spacing w:after="0" w:line="253" w:lineRule="auto"/>
        <w:tabs>
          <w:tab w:leader="none" w:pos="93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20"/>
          <w:szCs w:val="20"/>
          <w:color w:val="auto"/>
        </w:rPr>
      </w:pPr>
    </w:p>
    <w:p>
      <w:pPr>
        <w:ind w:left="1020" w:right="260" w:hanging="479"/>
        <w:spacing w:after="0" w:line="268" w:lineRule="auto"/>
        <w:tabs>
          <w:tab w:leader="none" w:pos="93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5480" w:val="left"/>
          <w:tab w:leader="none" w:pos="766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Keith C. Kummerfeld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26035</wp:posOffset>
            </wp:positionV>
            <wp:extent cx="33909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Keith C. Kummerfeld</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Vice President of Finance and Corporate Controller</w:t>
      </w:r>
    </w:p>
    <w:p>
      <w:pPr>
        <w:spacing w:after="0" w:line="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7" w:name="page148"/>
    <w:bookmarkEnd w:id="147"/>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9" w:lineRule="exact"/>
        <w:rPr>
          <w:sz w:val="20"/>
          <w:szCs w:val="20"/>
          <w:color w:val="auto"/>
        </w:rPr>
      </w:pPr>
    </w:p>
    <w:p>
      <w:pPr>
        <w:ind w:right="280" w:firstLine="250"/>
        <w:spacing w:after="0" w:line="273" w:lineRule="auto"/>
        <w:rPr>
          <w:sz w:val="20"/>
          <w:szCs w:val="20"/>
          <w:color w:val="auto"/>
        </w:rPr>
      </w:pPr>
      <w:r>
        <w:rPr>
          <w:rFonts w:ascii="Times New Roman" w:cs="Times New Roman" w:eastAsia="Times New Roman" w:hAnsi="Times New Roman"/>
          <w:sz w:val="19"/>
          <w:szCs w:val="19"/>
          <w:color w:val="auto"/>
        </w:rPr>
        <w:t>In connection with the Annual Report of Arcturus Therapeutics Holdings Inc. (the “Company”) on Form 10-K for the fiscal year ended December 31, 2023 (the “Report”), I, Joseph E. Payne, President, Chief Executive Officer and Director of the Company, hereby certify, pursuant to 18 U.S.C. Section 1350, as adopted pursuant to Section 906 of the Sarbanes-Oxley Act of 2002, that, to my knowledge:</w:t>
      </w:r>
    </w:p>
    <w:p>
      <w:pPr>
        <w:spacing w:after="0" w:line="171" w:lineRule="exact"/>
        <w:rPr>
          <w:sz w:val="20"/>
          <w:szCs w:val="20"/>
          <w:color w:val="auto"/>
        </w:rPr>
      </w:pPr>
    </w:p>
    <w:p>
      <w:pPr>
        <w:ind w:left="780" w:hanging="273"/>
        <w:spacing w:after="0"/>
        <w:tabs>
          <w:tab w:leader="none" w:pos="7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20"/>
          <w:szCs w:val="20"/>
          <w:color w:val="auto"/>
        </w:rPr>
      </w:pPr>
    </w:p>
    <w:p>
      <w:pPr>
        <w:ind w:right="140" w:firstLine="507"/>
        <w:spacing w:after="0" w:line="268" w:lineRule="auto"/>
        <w:tabs>
          <w:tab w:leader="none" w:pos="77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20"/>
        <w:spacing w:after="0"/>
        <w:tabs>
          <w:tab w:leader="none" w:pos="5580" w:val="left"/>
          <w:tab w:leader="none" w:pos="792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26035</wp:posOffset>
            </wp:positionV>
            <wp:extent cx="33909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3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In connection with the Annual Report of Arcturus Therapeutics Holdings Inc. (the “Company”) on Form 10-K for the fiscal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(the “Report”), I, Andrew Sassine, Chief Financial Officer and Director of the Company, hereby certify, pursuant to 18</w:t>
      </w:r>
    </w:p>
    <w:p>
      <w:pPr>
        <w:spacing w:after="0"/>
        <w:rPr>
          <w:sz w:val="20"/>
          <w:szCs w:val="20"/>
          <w:color w:val="auto"/>
        </w:rPr>
      </w:pPr>
      <w:r>
        <w:rPr>
          <w:rFonts w:ascii="Times New Roman" w:cs="Times New Roman" w:eastAsia="Times New Roman" w:hAnsi="Times New Roman"/>
          <w:sz w:val="20"/>
          <w:szCs w:val="20"/>
          <w:color w:val="auto"/>
        </w:rPr>
        <w:t>U.S.C. Section 1350, as adopted pursuant to Section 906 of the Sarbanes-Oxley Act of 2002, that, to my knowledge:</w:t>
      </w:r>
    </w:p>
    <w:p>
      <w:pPr>
        <w:spacing w:after="0" w:line="206" w:lineRule="exact"/>
        <w:rPr>
          <w:sz w:val="20"/>
          <w:szCs w:val="20"/>
          <w:color w:val="auto"/>
        </w:rPr>
      </w:pPr>
    </w:p>
    <w:p>
      <w:pPr>
        <w:ind w:left="780" w:hanging="273"/>
        <w:spacing w:after="0"/>
        <w:tabs>
          <w:tab w:leader="none" w:pos="7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20"/>
          <w:szCs w:val="20"/>
          <w:color w:val="auto"/>
        </w:rPr>
      </w:pPr>
    </w:p>
    <w:p>
      <w:pPr>
        <w:ind w:right="140" w:firstLine="507"/>
        <w:spacing w:after="0" w:line="268" w:lineRule="auto"/>
        <w:tabs>
          <w:tab w:leader="none" w:pos="77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20"/>
        <w:spacing w:after="0"/>
        <w:tabs>
          <w:tab w:leader="none" w:pos="5580" w:val="left"/>
          <w:tab w:leader="none" w:pos="792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26035</wp:posOffset>
            </wp:positionV>
            <wp:extent cx="33909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Andrew Sassine</w:t>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Director and Chief Financial Officer</w:t>
      </w:r>
    </w:p>
    <w:p>
      <w:pPr>
        <w:spacing w:after="0" w:line="2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9" w:lineRule="exact"/>
        <w:rPr>
          <w:sz w:val="20"/>
          <w:szCs w:val="20"/>
          <w:color w:val="auto"/>
        </w:rPr>
      </w:pPr>
    </w:p>
    <w:p>
      <w:pPr>
        <w:ind w:right="240" w:firstLine="250"/>
        <w:spacing w:after="0" w:line="273" w:lineRule="auto"/>
        <w:rPr>
          <w:sz w:val="20"/>
          <w:szCs w:val="20"/>
          <w:color w:val="auto"/>
        </w:rPr>
      </w:pPr>
      <w:r>
        <w:rPr>
          <w:rFonts w:ascii="Times New Roman" w:cs="Times New Roman" w:eastAsia="Times New Roman" w:hAnsi="Times New Roman"/>
          <w:sz w:val="19"/>
          <w:szCs w:val="19"/>
          <w:color w:val="auto"/>
        </w:rPr>
        <w:t>In connection with the Annual Report of Arcturus Therapeutics Holdings Inc. (the “Company”) on Form 10-K for the fiscal year ended December 31, 2023 (the “Report”), I, Keith C. Kummerfeld, Vice President of Finance and Corporate Controller of the Company, hereby certify, pursuant to 18 U.S.C. Section 1350, as adopted pursuant to Section 906 of the Sarbanes-Oxley Act of 2002, that, to my knowledge:</w:t>
      </w:r>
    </w:p>
    <w:p>
      <w:pPr>
        <w:spacing w:after="0" w:line="171" w:lineRule="exact"/>
        <w:rPr>
          <w:sz w:val="20"/>
          <w:szCs w:val="20"/>
          <w:color w:val="auto"/>
        </w:rPr>
      </w:pPr>
    </w:p>
    <w:p>
      <w:pPr>
        <w:ind w:left="780" w:hanging="273"/>
        <w:spacing w:after="0"/>
        <w:tabs>
          <w:tab w:leader="none" w:pos="7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20"/>
          <w:szCs w:val="20"/>
          <w:color w:val="auto"/>
        </w:rPr>
      </w:pPr>
    </w:p>
    <w:p>
      <w:pPr>
        <w:ind w:right="140" w:firstLine="507"/>
        <w:spacing w:after="0" w:line="268" w:lineRule="auto"/>
        <w:tabs>
          <w:tab w:leader="none" w:pos="77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20"/>
        <w:spacing w:after="0"/>
        <w:tabs>
          <w:tab w:leader="none" w:pos="5580" w:val="left"/>
          <w:tab w:leader="none" w:pos="772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Keith C. Kummerfeld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26035</wp:posOffset>
            </wp:positionV>
            <wp:extent cx="33909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Keith C. Kummerfeld</w:t>
      </w:r>
    </w:p>
    <w:p>
      <w:pPr>
        <w:spacing w:after="0" w:line="3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Vice President of Finance and Corporate Controller</w:t>
      </w:r>
    </w:p>
    <w:p>
      <w:pPr>
        <w:spacing w:after="0" w:line="2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ind w:left="10013"/>
        <w:spacing w:after="0"/>
        <w:rPr>
          <w:sz w:val="20"/>
          <w:szCs w:val="20"/>
          <w:color w:val="auto"/>
        </w:rPr>
      </w:pPr>
      <w:r>
        <w:rPr>
          <w:rFonts w:ascii="Times New Roman" w:cs="Times New Roman" w:eastAsia="Times New Roman" w:hAnsi="Times New Roman"/>
          <w:sz w:val="19"/>
          <w:szCs w:val="19"/>
          <w:color w:val="auto"/>
        </w:rPr>
        <w:t>Exhibit 97.1</w:t>
      </w:r>
    </w:p>
    <w:p>
      <w:pPr>
        <w:spacing w:after="0" w:line="236" w:lineRule="exact"/>
        <w:rPr>
          <w:sz w:val="20"/>
          <w:szCs w:val="20"/>
          <w:color w:val="auto"/>
        </w:rPr>
      </w:pPr>
    </w:p>
    <w:p>
      <w:pPr>
        <w:ind w:left="2573"/>
        <w:spacing w:after="0"/>
        <w:rPr>
          <w:sz w:val="20"/>
          <w:szCs w:val="20"/>
          <w:color w:val="auto"/>
        </w:rPr>
      </w:pPr>
      <w:r>
        <w:rPr>
          <w:rFonts w:ascii="Times New Roman" w:cs="Times New Roman" w:eastAsia="Times New Roman" w:hAnsi="Times New Roman"/>
          <w:sz w:val="20"/>
          <w:szCs w:val="20"/>
          <w:b w:val="1"/>
          <w:bCs w:val="1"/>
          <w:color w:val="auto"/>
        </w:rPr>
        <w:t>ARCTURUS THERAPEUTICS HOLDINGS INC. CLAWBACK POLICY</w:t>
      </w:r>
    </w:p>
    <w:p>
      <w:pPr>
        <w:spacing w:after="0" w:line="215" w:lineRule="exact"/>
        <w:rPr>
          <w:sz w:val="20"/>
          <w:szCs w:val="20"/>
          <w:color w:val="auto"/>
        </w:rPr>
      </w:pPr>
    </w:p>
    <w:p>
      <w:pPr>
        <w:ind w:left="753" w:hanging="753"/>
        <w:spacing w:after="0"/>
        <w:tabs>
          <w:tab w:leader="none" w:pos="75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Introduction</w:t>
      </w:r>
    </w:p>
    <w:p>
      <w:pPr>
        <w:spacing w:after="0" w:line="219" w:lineRule="exact"/>
        <w:rPr>
          <w:sz w:val="20"/>
          <w:szCs w:val="20"/>
          <w:color w:val="auto"/>
        </w:rPr>
      </w:pPr>
    </w:p>
    <w:p>
      <w:pPr>
        <w:jc w:val="both"/>
        <w:ind w:left="13"/>
        <w:spacing w:after="0" w:line="253" w:lineRule="auto"/>
        <w:rPr>
          <w:sz w:val="20"/>
          <w:szCs w:val="20"/>
          <w:color w:val="auto"/>
        </w:rPr>
      </w:pPr>
      <w:r>
        <w:rPr>
          <w:rFonts w:ascii="Times New Roman" w:cs="Times New Roman" w:eastAsia="Times New Roman" w:hAnsi="Times New Roman"/>
          <w:sz w:val="20"/>
          <w:szCs w:val="20"/>
          <w:color w:val="auto"/>
        </w:rPr>
        <w:t>Arcturus Therapeutics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believes that it is in the best interests of the Company and its stockholders to create and foster a culture of business ethics, integrity and accountability, and that, among other purposes, reinforces the Company’s incentive compensation philosophy.</w:t>
      </w:r>
    </w:p>
    <w:p>
      <w:pPr>
        <w:spacing w:after="0" w:line="176" w:lineRule="exact"/>
        <w:rPr>
          <w:sz w:val="20"/>
          <w:szCs w:val="20"/>
          <w:color w:val="auto"/>
        </w:rPr>
      </w:pPr>
    </w:p>
    <w:p>
      <w:pPr>
        <w:jc w:val="both"/>
        <w:ind w:left="13"/>
        <w:spacing w:after="0" w:line="253"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therefore adopts this policy to provide for the Company’s recovery of certain compensation in the event of an accounting restatement of the Company’s financial statements resulting from material noncompliance with applicable financial reporting requirements under the federal securities laws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13" w:right="260"/>
        <w:spacing w:after="0" w:line="268" w:lineRule="auto"/>
        <w:rPr>
          <w:sz w:val="20"/>
          <w:szCs w:val="20"/>
          <w:color w:val="auto"/>
        </w:rPr>
      </w:pPr>
      <w:r>
        <w:rPr>
          <w:rFonts w:ascii="Times New Roman" w:cs="Times New Roman" w:eastAsia="Times New Roman" w:hAnsi="Times New Roman"/>
          <w:sz w:val="20"/>
          <w:szCs w:val="20"/>
          <w:color w:val="auto"/>
        </w:rPr>
        <w:t>This Policy is designed to comply with Section 10D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and regulations promulgated thereunder.</w:t>
      </w:r>
    </w:p>
    <w:p>
      <w:pPr>
        <w:spacing w:after="0" w:line="143" w:lineRule="exact"/>
        <w:rPr>
          <w:sz w:val="20"/>
          <w:szCs w:val="20"/>
          <w:color w:val="auto"/>
        </w:rPr>
      </w:pPr>
    </w:p>
    <w:p>
      <w:pPr>
        <w:ind w:left="753" w:hanging="753"/>
        <w:spacing w:after="0"/>
        <w:tabs>
          <w:tab w:leader="none" w:pos="7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General Administration</w:t>
      </w:r>
    </w:p>
    <w:p>
      <w:pPr>
        <w:spacing w:after="0" w:line="219" w:lineRule="exact"/>
        <w:rPr>
          <w:sz w:val="20"/>
          <w:szCs w:val="20"/>
          <w:color w:val="auto"/>
        </w:rPr>
      </w:pPr>
    </w:p>
    <w:p>
      <w:pPr>
        <w:jc w:val="both"/>
        <w:ind w:left="13"/>
        <w:spacing w:after="0" w:line="246" w:lineRule="auto"/>
        <w:rPr>
          <w:sz w:val="20"/>
          <w:szCs w:val="20"/>
          <w:color w:val="auto"/>
        </w:rPr>
      </w:pPr>
      <w:r>
        <w:rPr>
          <w:rFonts w:ascii="Times New Roman" w:cs="Times New Roman" w:eastAsia="Times New Roman" w:hAnsi="Times New Roman"/>
          <w:sz w:val="20"/>
          <w:szCs w:val="20"/>
          <w:color w:val="auto"/>
        </w:rPr>
        <w:t>This Policy shall be administered by the Board or, if so designated by the Board, the Compensation Committee of the Board, in which case references herein to the Board shall be deemed to be references to the Compensation Committee of the Board. Any determinations made by the Board in respect of this Policy, or to matters as to this Policy’s amendment, enforcement, or otherwise, shall be final and binding on all individuals governed under this Policy as well as any related actions or procedures carried out by the Company’s Executive Officers (as defined herein) that are deemed necessary, appropriate, or advisable to effectuate the purposes of this Policy.</w:t>
      </w:r>
    </w:p>
    <w:p>
      <w:pPr>
        <w:spacing w:after="0" w:line="179" w:lineRule="exact"/>
        <w:rPr>
          <w:sz w:val="20"/>
          <w:szCs w:val="20"/>
          <w:color w:val="auto"/>
        </w:rPr>
      </w:pPr>
    </w:p>
    <w:p>
      <w:pPr>
        <w:ind w:left="753" w:hanging="753"/>
        <w:spacing w:after="0"/>
        <w:tabs>
          <w:tab w:leader="none" w:pos="7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Applicability</w:t>
      </w:r>
    </w:p>
    <w:p>
      <w:pPr>
        <w:spacing w:after="0" w:line="219" w:lineRule="exact"/>
        <w:rPr>
          <w:sz w:val="20"/>
          <w:szCs w:val="20"/>
          <w:color w:val="auto"/>
        </w:rPr>
      </w:pPr>
    </w:p>
    <w:p>
      <w:pPr>
        <w:jc w:val="both"/>
        <w:ind w:left="13"/>
        <w:spacing w:after="0" w:line="266" w:lineRule="auto"/>
        <w:rPr>
          <w:sz w:val="20"/>
          <w:szCs w:val="20"/>
          <w:color w:val="auto"/>
        </w:rPr>
      </w:pPr>
      <w:r>
        <w:rPr>
          <w:rFonts w:ascii="Times New Roman" w:cs="Times New Roman" w:eastAsia="Times New Roman" w:hAnsi="Times New Roman"/>
          <w:sz w:val="19"/>
          <w:szCs w:val="19"/>
          <w:color w:val="auto"/>
        </w:rPr>
        <w:t>This Policy applies to the Company’s current and former Executive Officers, as determined by the Board in accordance with Section 10D of the Exchange Act and the listing standards of the national securities exchange on which the Company’s securities are listed (such as Section 303A.14 of the New York Stock Exchange’s listing standards or Rule 5608 of Nasdaq’s listing rules, which are each approved by the U.S. Securities and Exchange Commission (the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to implement Rule 10D-1 promulgated under the Exchange Act).</w:t>
      </w:r>
    </w:p>
    <w:p>
      <w:pPr>
        <w:spacing w:after="0" w:line="164" w:lineRule="exact"/>
        <w:rPr>
          <w:sz w:val="20"/>
          <w:szCs w:val="20"/>
          <w:color w:val="auto"/>
        </w:rPr>
      </w:pPr>
    </w:p>
    <w:p>
      <w:pPr>
        <w:jc w:val="both"/>
        <w:ind w:left="13"/>
        <w:spacing w:after="0" w:line="245"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and any other person who performs a function similar to a policy-making function on behalf of the Company. Executive officers of the Company’s parent(s) or subsidiaries are deemed Executive Officers of the Company if they perform such policy-making or similar functions for or on behalf of the Company.</w:t>
      </w:r>
    </w:p>
    <w:p>
      <w:pPr>
        <w:spacing w:after="0" w:line="183" w:lineRule="exact"/>
        <w:rPr>
          <w:sz w:val="20"/>
          <w:szCs w:val="20"/>
          <w:color w:val="auto"/>
        </w:rPr>
      </w:pPr>
    </w:p>
    <w:p>
      <w:pPr>
        <w:jc w:val="both"/>
        <w:ind w:left="13"/>
        <w:spacing w:after="0" w:line="268" w:lineRule="auto"/>
        <w:rPr>
          <w:sz w:val="20"/>
          <w:szCs w:val="20"/>
          <w:color w:val="auto"/>
        </w:rPr>
      </w:pPr>
      <w:r>
        <w:rPr>
          <w:rFonts w:ascii="Times New Roman" w:cs="Times New Roman" w:eastAsia="Times New Roman" w:hAnsi="Times New Roman"/>
          <w:sz w:val="20"/>
          <w:szCs w:val="20"/>
          <w:color w:val="auto"/>
        </w:rPr>
        <w:t>This Policy also applies to other senior executives, employees, or classes of employees of the Company as may be determined by the Board in its sole discretion from time to time (together with Executive Officers, “</w:t>
      </w:r>
      <w:r>
        <w:rPr>
          <w:rFonts w:ascii="Times New Roman" w:cs="Times New Roman" w:eastAsia="Times New Roman" w:hAnsi="Times New Roman"/>
          <w:sz w:val="20"/>
          <w:szCs w:val="20"/>
          <w:u w:val="single" w:color="auto"/>
          <w:color w:val="auto"/>
        </w:rPr>
        <w:t>Covered Persons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583565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3"/>
          </w:cols>
          <w:pgMar w:left="447" w:top="751" w:right="459" w:bottom="1440" w:gutter="0" w:footer="0" w:header="0"/>
        </w:sectPr>
      </w:pPr>
    </w:p>
    <w:bookmarkStart w:id="151" w:name="page152"/>
    <w:bookmarkEnd w:id="151"/>
    <w:p>
      <w:pPr>
        <w:ind w:left="820" w:hanging="753"/>
        <w:spacing w:after="0"/>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Recoupment</w:t>
      </w:r>
    </w:p>
    <w:p>
      <w:pPr>
        <w:spacing w:after="0" w:line="206"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20"/>
          <w:szCs w:val="20"/>
          <w:color w:val="auto"/>
        </w:rPr>
        <w:t>If the Company is required to prepare an accounting restatement of its financial statements due to the Company’s material noncompliance with financial reporting requirements under the applicable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20"/>
          <w:szCs w:val="20"/>
          <w:u w:val="single" w:color="auto"/>
          <w:color w:val="auto"/>
        </w:rPr>
        <w:t>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Restatement</w:t>
      </w:r>
      <w:r>
        <w:rPr>
          <w:rFonts w:ascii="Times New Roman" w:cs="Times New Roman" w:eastAsia="Times New Roman" w:hAnsi="Times New Roman"/>
          <w:sz w:val="20"/>
          <w:szCs w:val="20"/>
          <w:color w:val="auto"/>
        </w:rPr>
        <w:t>”), without regard to any fault or misconduct of a Covered Person, then, the Board shall mandate the Company’s recovery, in the form of reimbursement, or forfeiture, as applicable (“</w:t>
      </w:r>
      <w:r>
        <w:rPr>
          <w:rFonts w:ascii="Times New Roman" w:cs="Times New Roman" w:eastAsia="Times New Roman" w:hAnsi="Times New Roman"/>
          <w:sz w:val="20"/>
          <w:szCs w:val="20"/>
          <w:u w:val="single" w:color="auto"/>
          <w:color w:val="auto"/>
        </w:rPr>
        <w:t>Recoupment</w:t>
      </w:r>
      <w:r>
        <w:rPr>
          <w:rFonts w:ascii="Times New Roman" w:cs="Times New Roman" w:eastAsia="Times New Roman" w:hAnsi="Times New Roman"/>
          <w:sz w:val="20"/>
          <w:szCs w:val="20"/>
          <w:color w:val="auto"/>
        </w:rPr>
        <w:t xml:space="preserve">”), of any Excess Incentive Compensation (as defined herein) received by a Covered Person,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1560" w:hanging="744"/>
        <w:spacing w:after="0" w:line="268" w:lineRule="auto"/>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receipt of any such Excess Incentive Compensation by a Covered Person occurred after the Covered Person became a Covered Person;</w:t>
      </w:r>
    </w:p>
    <w:p>
      <w:pPr>
        <w:spacing w:after="0" w:line="160" w:lineRule="exact"/>
        <w:rPr>
          <w:rFonts w:ascii="Times New Roman" w:cs="Times New Roman" w:eastAsia="Times New Roman" w:hAnsi="Times New Roman"/>
          <w:sz w:val="18"/>
          <w:szCs w:val="18"/>
          <w:color w:val="auto"/>
        </w:rPr>
      </w:pPr>
    </w:p>
    <w:p>
      <w:pPr>
        <w:ind w:left="1560" w:hanging="744"/>
        <w:spacing w:after="0" w:line="268" w:lineRule="auto"/>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Covered Person served as a Covered Person at any time during the performance period applicable to the Covered Person’s Incentive Compensation (as defined herein);</w:t>
      </w:r>
    </w:p>
    <w:p>
      <w:pPr>
        <w:spacing w:after="0" w:line="160" w:lineRule="exact"/>
        <w:rPr>
          <w:rFonts w:ascii="Times New Roman" w:cs="Times New Roman" w:eastAsia="Times New Roman" w:hAnsi="Times New Roman"/>
          <w:sz w:val="18"/>
          <w:szCs w:val="18"/>
          <w:color w:val="auto"/>
        </w:rPr>
      </w:pPr>
    </w:p>
    <w:p>
      <w:pPr>
        <w:jc w:val="both"/>
        <w:ind w:left="1560" w:hanging="744"/>
        <w:spacing w:after="0" w:line="253" w:lineRule="auto"/>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had a class of securities listed on a national securities exchange or a national securities association during the Covered Person’s service as a Covered Person and during the performance period applicable to the Covered Person’s Incentive Compensation; and</w:t>
      </w:r>
    </w:p>
    <w:p>
      <w:pPr>
        <w:spacing w:after="0" w:line="176" w:lineRule="exact"/>
        <w:rPr>
          <w:rFonts w:ascii="Times New Roman" w:cs="Times New Roman" w:eastAsia="Times New Roman" w:hAnsi="Times New Roman"/>
          <w:sz w:val="18"/>
          <w:szCs w:val="18"/>
          <w:color w:val="auto"/>
        </w:rPr>
      </w:pPr>
    </w:p>
    <w:p>
      <w:pPr>
        <w:jc w:val="both"/>
        <w:ind w:left="1560" w:hanging="744"/>
        <w:spacing w:after="0" w:line="249" w:lineRule="auto"/>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receipt of the Excess Incentive Compensation by the Covered Person occurred during the three completed fiscal years immediately preceding the date that the Company is required to prepare an Accounting Restatement, or during any transition period (that results from a change in the Company’s fiscal year) within or immediately following such three completed fiscal years.</w:t>
      </w:r>
    </w:p>
    <w:p>
      <w:pPr>
        <w:spacing w:after="0" w:line="178"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20"/>
          <w:szCs w:val="20"/>
          <w:color w:val="auto"/>
        </w:rPr>
        <w:t>For purposes of this Policy, a transition period between the last day of the Company’s previous fiscal year end and the first day of its new fiscal year that comprises a period of nine to 12 months is a completed fiscal year.</w:t>
      </w:r>
    </w:p>
    <w:p>
      <w:pPr>
        <w:spacing w:after="0" w:line="143" w:lineRule="exact"/>
        <w:rPr>
          <w:sz w:val="20"/>
          <w:szCs w:val="20"/>
          <w:color w:val="auto"/>
        </w:rPr>
      </w:pPr>
    </w:p>
    <w:p>
      <w:pPr>
        <w:jc w:val="both"/>
        <w:ind w:left="80"/>
        <w:spacing w:after="0" w:line="250" w:lineRule="auto"/>
        <w:rPr>
          <w:sz w:val="20"/>
          <w:szCs w:val="20"/>
          <w:color w:val="auto"/>
        </w:rPr>
      </w:pPr>
      <w:r>
        <w:rPr>
          <w:rFonts w:ascii="Times New Roman" w:cs="Times New Roman" w:eastAsia="Times New Roman" w:hAnsi="Times New Roman"/>
          <w:sz w:val="20"/>
          <w:szCs w:val="20"/>
          <w:color w:val="auto"/>
        </w:rPr>
        <w:t>For purposes of this Policy, any Incentive Compensation is deemed to be “</w:t>
      </w:r>
      <w:r>
        <w:rPr>
          <w:rFonts w:ascii="Times New Roman" w:cs="Times New Roman" w:eastAsia="Times New Roman" w:hAnsi="Times New Roman"/>
          <w:sz w:val="20"/>
          <w:szCs w:val="20"/>
          <w:u w:val="single" w:color="auto"/>
          <w:color w:val="auto"/>
        </w:rPr>
        <w:t>received</w:t>
      </w:r>
      <w:r>
        <w:rPr>
          <w:rFonts w:ascii="Times New Roman" w:cs="Times New Roman" w:eastAsia="Times New Roman" w:hAnsi="Times New Roman"/>
          <w:sz w:val="20"/>
          <w:szCs w:val="20"/>
          <w:color w:val="auto"/>
        </w:rPr>
        <w:t xml:space="preserve">” by a Covered Person </w:t>
      </w:r>
      <w:r>
        <w:rPr>
          <w:rFonts w:ascii="Times New Roman" w:cs="Times New Roman" w:eastAsia="Times New Roman" w:hAnsi="Times New Roman"/>
          <w:sz w:val="20"/>
          <w:szCs w:val="20"/>
          <w:i w:val="1"/>
          <w:iCs w:val="1"/>
          <w:color w:val="auto"/>
        </w:rPr>
        <w:t>at the point in time when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Financial Reporting Measure </w:t>
      </w:r>
      <w:r>
        <w:rPr>
          <w:rFonts w:ascii="Times New Roman" w:cs="Times New Roman" w:eastAsia="Times New Roman" w:hAnsi="Times New Roman"/>
          <w:sz w:val="20"/>
          <w:szCs w:val="20"/>
          <w:color w:val="auto"/>
        </w:rPr>
        <w:t>(as defined herein), as specified in a Covered Person’s incentive compensation agreement (or other equity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incentive compensation plan of the Company) providing for a Covered Person’s compensation that is contingent upon or tied to the attainment of such Financial Reporting Measure, </w:t>
      </w:r>
      <w:r>
        <w:rPr>
          <w:rFonts w:ascii="Times New Roman" w:cs="Times New Roman" w:eastAsia="Times New Roman" w:hAnsi="Times New Roman"/>
          <w:sz w:val="20"/>
          <w:szCs w:val="20"/>
          <w:i w:val="1"/>
          <w:iCs w:val="1"/>
          <w:color w:val="auto"/>
        </w:rPr>
        <w:t>is attained during the relevant fiscal period of the Company</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20"/>
          <w:szCs w:val="20"/>
          <w:color w:val="auto"/>
        </w:rPr>
        <w:t>Therefore, under this Policy, a Covered Person is deemed to receive Incentive Compensation even if, for instance, the payment or grant of Incentive Compensation occurs after the end of the relevant fiscal period of the Company.</w:t>
      </w:r>
    </w:p>
    <w:p>
      <w:pPr>
        <w:spacing w:after="0" w:line="161"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For purposes of this Policy, the date on which the Company is required to prepare an Accounting Restatement is deemed to have occurred on the earlier of (i) the date the Board concludes, or reasonably should have concluded, that the Company’s previously issued financial statements contain a material error and (ii) the date a court, regulator, or other legally authorized body directs the Company to restate its previously issued financial statements to correct a material error.</w:t>
      </w:r>
    </w:p>
    <w:p>
      <w:pPr>
        <w:spacing w:after="0" w:line="178" w:lineRule="exact"/>
        <w:rPr>
          <w:sz w:val="20"/>
          <w:szCs w:val="20"/>
          <w:color w:val="auto"/>
        </w:rPr>
      </w:pPr>
    </w:p>
    <w:p>
      <w:pPr>
        <w:ind w:left="80" w:right="2680"/>
        <w:spacing w:after="0" w:line="268" w:lineRule="auto"/>
        <w:rPr>
          <w:sz w:val="20"/>
          <w:szCs w:val="20"/>
          <w:color w:val="auto"/>
        </w:rPr>
      </w:pPr>
      <w:r>
        <w:rPr>
          <w:rFonts w:ascii="Times New Roman" w:cs="Times New Roman" w:eastAsia="Times New Roman" w:hAnsi="Times New Roman"/>
          <w:sz w:val="20"/>
          <w:szCs w:val="20"/>
          <w:color w:val="auto"/>
        </w:rPr>
        <w:t xml:space="preserve">The Company’s obligation to seek Recoupment of a Covered Person’s Excess Incentive Compensation is </w:t>
      </w:r>
      <w:r>
        <w:rPr>
          <w:rFonts w:ascii="Times New Roman" w:cs="Times New Roman" w:eastAsia="Times New Roman" w:hAnsi="Times New Roman"/>
          <w:sz w:val="20"/>
          <w:szCs w:val="20"/>
          <w:i w:val="1"/>
          <w:iCs w:val="1"/>
          <w:color w:val="auto"/>
        </w:rPr>
        <w:t xml:space="preserve">not </w:t>
      </w:r>
      <w:r>
        <w:rPr>
          <w:rFonts w:ascii="Times New Roman" w:cs="Times New Roman" w:eastAsia="Times New Roman" w:hAnsi="Times New Roman"/>
          <w:sz w:val="20"/>
          <w:szCs w:val="20"/>
          <w:color w:val="auto"/>
        </w:rPr>
        <w:t>dependent on whether or when the restated financial statements are filed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617855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07" w:right="459" w:bottom="1440" w:gutter="0" w:footer="0" w:header="0"/>
        </w:sectPr>
      </w:pPr>
    </w:p>
    <w:bookmarkStart w:id="152" w:name="page153"/>
    <w:bookmarkEnd w:id="152"/>
    <w:p>
      <w:pPr>
        <w:ind w:left="820" w:hanging="753"/>
        <w:spacing w:after="0"/>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Incentive Compensation; Financial Reporting Measures</w:t>
      </w:r>
    </w:p>
    <w:p>
      <w:pPr>
        <w:spacing w:after="0" w:line="206" w:lineRule="exact"/>
        <w:rPr>
          <w:sz w:val="20"/>
          <w:szCs w:val="20"/>
          <w:color w:val="auto"/>
        </w:rPr>
      </w:pPr>
    </w:p>
    <w:p>
      <w:pPr>
        <w:ind w:left="80"/>
        <w:spacing w:after="0" w:line="268"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Incentive Compensation may include (but is not limited to):</w:t>
      </w:r>
    </w:p>
    <w:p>
      <w:pPr>
        <w:spacing w:after="0" w:line="215" w:lineRule="exact"/>
        <w:rPr>
          <w:sz w:val="20"/>
          <w:szCs w:val="20"/>
          <w:color w:val="auto"/>
        </w:rPr>
      </w:pPr>
    </w:p>
    <w:p>
      <w:pPr>
        <w:ind w:left="820" w:hanging="378"/>
        <w:spacing w:after="0"/>
        <w:tabs>
          <w:tab w:leader="none" w:pos="8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Annual bonuses and other short- and long-term cash incentives;</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Stock options;</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Stock appreciation rights;</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Restricted stock;</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Restricted stock units;</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Performance shares; and</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Performance units.</w:t>
      </w:r>
    </w:p>
    <w:p>
      <w:pPr>
        <w:spacing w:after="0" w:line="202"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20"/>
          <w:szCs w:val="20"/>
          <w:color w:val="auto"/>
        </w:rPr>
        <w:t>” means a measure that is determined and presented in accordance with the generally accepted accounting principles used in preparing the Company’s financial statements, or any measure that is derived wholly or in part therefrom. For avoidance of doubt, a Financial Reporting Measure need not be presented within the Company’s financial statements or included in a filing with the SEC.</w:t>
      </w:r>
    </w:p>
    <w:p>
      <w:pPr>
        <w:spacing w:after="0" w:line="1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Financial Reporting Measures may include (but are not limited to):</w:t>
      </w:r>
    </w:p>
    <w:p>
      <w:pPr>
        <w:spacing w:after="0" w:line="202" w:lineRule="exact"/>
        <w:rPr>
          <w:sz w:val="20"/>
          <w:szCs w:val="20"/>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Company stock price;</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shareholder return;</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Revenues;</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Net income;</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Earnings before interest, taxes, depreciation and amortization, EBITDA, or adjusted EBITDA;</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Funds from operations;</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Liquidity measures, such as working capital or operating cash flow;</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Return measures, such as return on invested capital or return on assets; and</w:t>
      </w:r>
    </w:p>
    <w:p>
      <w:pPr>
        <w:spacing w:after="0" w:line="214" w:lineRule="exact"/>
        <w:rPr>
          <w:rFonts w:ascii="Times New Roman" w:cs="Times New Roman" w:eastAsia="Times New Roman" w:hAnsi="Times New Roman"/>
          <w:sz w:val="20"/>
          <w:szCs w:val="20"/>
          <w:b w:val="1"/>
          <w:bCs w:val="1"/>
          <w:color w:val="auto"/>
        </w:rPr>
      </w:pPr>
    </w:p>
    <w:p>
      <w:pPr>
        <w:ind w:left="820" w:hanging="378"/>
        <w:spacing w:after="0"/>
        <w:tabs>
          <w:tab w:leader="none" w:pos="820"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Earnings measures, such as earnings per share.</w:t>
      </w:r>
    </w:p>
    <w:p>
      <w:pPr>
        <w:spacing w:after="0" w:line="210" w:lineRule="exact"/>
        <w:rPr>
          <w:rFonts w:ascii="Times New Roman" w:cs="Times New Roman" w:eastAsia="Times New Roman" w:hAnsi="Times New Roman"/>
          <w:sz w:val="20"/>
          <w:szCs w:val="20"/>
          <w:b w:val="1"/>
          <w:bCs w:val="1"/>
          <w:color w:val="auto"/>
        </w:rPr>
      </w:pPr>
    </w:p>
    <w:p>
      <w:pPr>
        <w:ind w:left="820" w:hanging="753"/>
        <w:spacing w:after="0"/>
        <w:tabs>
          <w:tab w:leader="none" w:pos="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Excess Incentive Compensation</w:t>
      </w:r>
    </w:p>
    <w:p>
      <w:pPr>
        <w:spacing w:after="0" w:line="215" w:lineRule="exact"/>
        <w:rPr>
          <w:sz w:val="20"/>
          <w:szCs w:val="20"/>
          <w:color w:val="auto"/>
        </w:rPr>
      </w:pPr>
    </w:p>
    <w:p>
      <w:pPr>
        <w:ind w:left="80" w:right="80"/>
        <w:spacing w:after="0" w:line="272" w:lineRule="auto"/>
        <w:rPr>
          <w:sz w:val="20"/>
          <w:szCs w:val="20"/>
          <w:color w:val="auto"/>
        </w:rPr>
      </w:pPr>
      <w:r>
        <w:rPr>
          <w:rFonts w:ascii="Times New Roman" w:cs="Times New Roman" w:eastAsia="Times New Roman" w:hAnsi="Times New Roman"/>
          <w:sz w:val="20"/>
          <w:szCs w:val="20"/>
          <w:i w:val="1"/>
          <w:iCs w:val="1"/>
          <w:color w:val="auto"/>
        </w:rPr>
        <w:t xml:space="preserve">The amount subject to Recoupment </w:t>
      </w:r>
      <w:r>
        <w:rPr>
          <w:rFonts w:ascii="Times New Roman" w:cs="Times New Roman" w:eastAsia="Times New Roman" w:hAnsi="Times New Roman"/>
          <w:sz w:val="20"/>
          <w:szCs w:val="20"/>
          <w:color w:val="auto"/>
        </w:rPr>
        <w:t>is any Incentive Compensation received by a Covered Person that is determined by the Board, in good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faith and upon the exercise of due care, to have been based on erroneous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617855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07" w:right="459" w:bottom="1440" w:gutter="0" w:footer="0" w:header="0"/>
        </w:sectPr>
      </w:pPr>
    </w:p>
    <w:bookmarkStart w:id="153" w:name="page154"/>
    <w:bookmarkEnd w:id="153"/>
    <w:p>
      <w:pPr>
        <w:jc w:val="both"/>
        <w:ind w:left="80"/>
        <w:spacing w:after="0" w:line="273" w:lineRule="auto"/>
        <w:rPr>
          <w:sz w:val="20"/>
          <w:szCs w:val="20"/>
          <w:color w:val="auto"/>
        </w:rPr>
      </w:pPr>
      <w:r>
        <w:rPr>
          <w:rFonts w:ascii="Times New Roman" w:cs="Times New Roman" w:eastAsia="Times New Roman" w:hAnsi="Times New Roman"/>
          <w:sz w:val="19"/>
          <w:szCs w:val="19"/>
          <w:color w:val="auto"/>
        </w:rPr>
        <w:t>information that caused the Company’s material noncompliance with financial reporting requirements under the federal securities laws (without regard to any fault or misconduct of a Covered Person), which would not have been received by a Covered Person had the Incentive Compensation of a Covered Person been based on the restated financial statements’ results (“</w:t>
      </w:r>
      <w:r>
        <w:rPr>
          <w:rFonts w:ascii="Times New Roman" w:cs="Times New Roman" w:eastAsia="Times New Roman" w:hAnsi="Times New Roman"/>
          <w:sz w:val="19"/>
          <w:szCs w:val="19"/>
          <w:u w:val="single" w:color="auto"/>
          <w:color w:val="auto"/>
        </w:rPr>
        <w:t>Excess Incentive Compensation</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If the Board cannot calculate Excess Incentive Compensation received by a Covered Person from the information in an Accounting Restatement (i.e., the amount of Excess Incentive Compensation is not subject to mathematical recalculation directly from the information in an Accounting Restatement), then, the Board shall determine such Excess Incentive Compensation based on a reasonable estimate of the effect of such Accounting Restatement on the applicable Financial Reporting Measures upon which the Excess Incentive Compensation was received and in consideration of all facts relevant to the Company’s Recoupment of Excess Incentive Compensation received by a Covered Person in the circumstances.</w:t>
      </w:r>
    </w:p>
    <w:p>
      <w:pPr>
        <w:spacing w:after="0" w:line="183"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20"/>
          <w:szCs w:val="20"/>
          <w:color w:val="auto"/>
        </w:rPr>
        <w:t>The Company shall maintain documentation of any such reasonable estimates and provide such documentation, when and if reasonably requested, to the applicable national securities exchange on which the Company’s securities are listed in accordance with the applicable standards or rules of the national securities exchange.</w:t>
      </w:r>
    </w:p>
    <w:p>
      <w:pPr>
        <w:spacing w:after="0" w:line="176"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20"/>
          <w:szCs w:val="20"/>
          <w:color w:val="auto"/>
        </w:rPr>
        <w:t>With respect to Incentive Compensation based in part or whole on stock price or measures of shareholder return, the Board shall calculate Excess Incentive Compensation relating thereto in such manner as the Board deems appropriate or reasonable.</w:t>
      </w:r>
    </w:p>
    <w:p>
      <w:pPr>
        <w:spacing w:after="0" w:line="161"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20"/>
          <w:szCs w:val="20"/>
          <w:color w:val="auto"/>
        </w:rPr>
        <w:t>In no event shall the Company be required to award a Covered Person additional Incentive Compensation if the restated financial statements’ results would have resulted in the provision of Incentive Compensation that is higher in monetary value relative to the monetary value received by a Covered Person prior to the Accounting Restatement.</w:t>
      </w:r>
    </w:p>
    <w:p>
      <w:pPr>
        <w:spacing w:after="0" w:line="159" w:lineRule="exact"/>
        <w:rPr>
          <w:sz w:val="20"/>
          <w:szCs w:val="20"/>
          <w:color w:val="auto"/>
        </w:rPr>
      </w:pPr>
    </w:p>
    <w:p>
      <w:pPr>
        <w:ind w:left="820" w:hanging="753"/>
        <w:spacing w:after="0"/>
        <w:tabs>
          <w:tab w:leader="none" w:pos="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Recoupment Method</w:t>
      </w:r>
    </w:p>
    <w:p>
      <w:pPr>
        <w:spacing w:after="0" w:line="219" w:lineRule="exact"/>
        <w:rPr>
          <w:sz w:val="20"/>
          <w:szCs w:val="20"/>
          <w:color w:val="auto"/>
        </w:rPr>
      </w:pPr>
    </w:p>
    <w:p>
      <w:pPr>
        <w:ind w:left="80" w:right="120"/>
        <w:spacing w:after="0" w:line="246" w:lineRule="auto"/>
        <w:rPr>
          <w:sz w:val="20"/>
          <w:szCs w:val="20"/>
          <w:color w:val="auto"/>
        </w:rPr>
      </w:pPr>
      <w:r>
        <w:rPr>
          <w:rFonts w:ascii="Times New Roman" w:cs="Times New Roman" w:eastAsia="Times New Roman" w:hAnsi="Times New Roman"/>
          <w:sz w:val="20"/>
          <w:szCs w:val="20"/>
          <w:color w:val="auto"/>
        </w:rPr>
        <w:t>The Board shall determine in its sole discretion, to be exercised in good faith, and not inconsistent with applicable law, the method for Recoupment of a Covered Person’s Excess Incentive Compensation, which may include, without limitation, one or more of the following acts:</w:t>
      </w:r>
    </w:p>
    <w:p>
      <w:pPr>
        <w:spacing w:after="0" w:line="3" w:lineRule="exact"/>
        <w:rPr>
          <w:sz w:val="20"/>
          <w:szCs w:val="20"/>
          <w:color w:val="auto"/>
        </w:rPr>
      </w:pPr>
    </w:p>
    <w:p>
      <w:pPr>
        <w:ind w:left="1560" w:hanging="744"/>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mandating reimbursement of cash-based Incentive Compensation previously paid to a Covered Person;</w:t>
      </w:r>
    </w:p>
    <w:p>
      <w:pPr>
        <w:spacing w:after="0" w:line="192" w:lineRule="exact"/>
        <w:rPr>
          <w:rFonts w:ascii="Times New Roman" w:cs="Times New Roman" w:eastAsia="Times New Roman" w:hAnsi="Times New Roman"/>
          <w:sz w:val="18"/>
          <w:szCs w:val="18"/>
          <w:color w:val="auto"/>
        </w:rPr>
      </w:pPr>
    </w:p>
    <w:p>
      <w:pPr>
        <w:ind w:left="1560" w:right="440" w:hanging="744"/>
        <w:spacing w:after="0" w:line="268" w:lineRule="auto"/>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Incentive Compensation of a Covered Person;</w:t>
      </w:r>
    </w:p>
    <w:p>
      <w:pPr>
        <w:spacing w:after="0" w:line="160"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offsetting the recouped amount from any compensation otherwise owed by the Company to a Covered Person;</w:t>
      </w:r>
    </w:p>
    <w:p>
      <w:pPr>
        <w:spacing w:after="0" w:line="214" w:lineRule="exact"/>
        <w:rPr>
          <w:rFonts w:ascii="Times New Roman" w:cs="Times New Roman" w:eastAsia="Times New Roman" w:hAnsi="Times New Roman"/>
          <w:sz w:val="18"/>
          <w:szCs w:val="18"/>
          <w:color w:val="auto"/>
        </w:rPr>
      </w:pPr>
    </w:p>
    <w:p>
      <w:pPr>
        <w:ind w:left="1560" w:hanging="744"/>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cancelling outstanding vested or unvested equity-based Incentive Compensation of a Covered Person; and</w:t>
      </w:r>
    </w:p>
    <w:p>
      <w:pPr>
        <w:spacing w:after="0" w:line="201" w:lineRule="exact"/>
        <w:rPr>
          <w:rFonts w:ascii="Times New Roman" w:cs="Times New Roman" w:eastAsia="Times New Roman" w:hAnsi="Times New Roman"/>
          <w:sz w:val="18"/>
          <w:szCs w:val="18"/>
          <w:color w:val="auto"/>
        </w:rPr>
      </w:pPr>
    </w:p>
    <w:p>
      <w:pPr>
        <w:ind w:left="1560" w:right="80" w:hanging="744"/>
        <w:spacing w:after="0" w:line="268" w:lineRule="auto"/>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taking any other remedial and recovery action not disallowed by applicable law, as determined by the Board, consistent with Sections 4, 6, 10, and 13 under this Policy.</w:t>
      </w:r>
    </w:p>
    <w:p>
      <w:pPr>
        <w:spacing w:after="0" w:line="161"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20"/>
          <w:szCs w:val="20"/>
          <w:color w:val="auto"/>
        </w:rPr>
        <w:t>The Board shall, in the exercise of its fiduciary duty to safeguard the assets of the Company (including the time value of any potentially recoverable Incentive Compensation), and, in the light of the particular facts and circumstances of a Covered Person who is determined by the Board to owe Excess Incentive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617855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8" w:right="459" w:bottom="1440" w:gutter="0" w:footer="0" w:header="0"/>
        </w:sectPr>
      </w:pPr>
    </w:p>
    <w:bookmarkStart w:id="154" w:name="page155"/>
    <w:bookmarkEnd w:id="154"/>
    <w:p>
      <w:pPr>
        <w:jc w:val="both"/>
        <w:ind w:left="80"/>
        <w:spacing w:after="0" w:line="268" w:lineRule="auto"/>
        <w:rPr>
          <w:sz w:val="20"/>
          <w:szCs w:val="20"/>
          <w:color w:val="auto"/>
        </w:rPr>
      </w:pPr>
      <w:r>
        <w:rPr>
          <w:rFonts w:ascii="Times New Roman" w:cs="Times New Roman" w:eastAsia="Times New Roman" w:hAnsi="Times New Roman"/>
          <w:sz w:val="20"/>
          <w:szCs w:val="20"/>
          <w:color w:val="auto"/>
        </w:rPr>
        <w:t>Compensation to the Company, pursue the most appropriate balance of cost and speed in determining the means to seek Recoupment of a Covered Person’s Excess Incentive Compensation.</w:t>
      </w:r>
    </w:p>
    <w:p>
      <w:pPr>
        <w:spacing w:after="0" w:line="161"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Consistent with this Section 7 and Rule 10D-1 of the Exchange Act, regardless of the means of Recoupment used, the Board intends that Recoupment of a Covered Person’s Excess Incentive Compensation shall be effected by the Company reasonably promptly. The Board further intends that the administration of this Policy shall abide by the Company’s recognition that what is reasonable may depend on the additional cost incident to Recoupment.</w:t>
      </w:r>
    </w:p>
    <w:p>
      <w:pPr>
        <w:spacing w:after="0" w:line="188" w:lineRule="exact"/>
        <w:rPr>
          <w:sz w:val="20"/>
          <w:szCs w:val="20"/>
          <w:color w:val="auto"/>
        </w:rPr>
      </w:pPr>
    </w:p>
    <w:p>
      <w:pPr>
        <w:ind w:left="820" w:hanging="753"/>
        <w:spacing w:after="0"/>
        <w:tabs>
          <w:tab w:leader="none" w:pos="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No Indemnification</w:t>
      </w:r>
    </w:p>
    <w:p>
      <w:pPr>
        <w:spacing w:after="0" w:line="206" w:lineRule="exact"/>
        <w:rPr>
          <w:sz w:val="20"/>
          <w:szCs w:val="20"/>
          <w:color w:val="auto"/>
        </w:rPr>
      </w:pPr>
    </w:p>
    <w:p>
      <w:pPr>
        <w:ind w:left="80" w:right="580"/>
        <w:spacing w:after="0" w:line="268" w:lineRule="auto"/>
        <w:rPr>
          <w:sz w:val="20"/>
          <w:szCs w:val="20"/>
          <w:color w:val="auto"/>
        </w:rPr>
      </w:pPr>
      <w:r>
        <w:rPr>
          <w:rFonts w:ascii="Times New Roman" w:cs="Times New Roman" w:eastAsia="Times New Roman" w:hAnsi="Times New Roman"/>
          <w:sz w:val="20"/>
          <w:szCs w:val="20"/>
          <w:color w:val="auto"/>
        </w:rPr>
        <w:t>In no event shall the Company indemnify any Covered Persons against the loss of any incorrectly awarded Incentive Compensation pursuant to Rule 10D-1 and applicable stock exchange listing rules.</w:t>
      </w:r>
    </w:p>
    <w:p>
      <w:pPr>
        <w:spacing w:after="0" w:line="157" w:lineRule="exact"/>
        <w:rPr>
          <w:sz w:val="20"/>
          <w:szCs w:val="20"/>
          <w:color w:val="auto"/>
        </w:rPr>
      </w:pPr>
    </w:p>
    <w:p>
      <w:pPr>
        <w:ind w:left="820" w:hanging="753"/>
        <w:spacing w:after="0"/>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Cooperation</w:t>
      </w:r>
    </w:p>
    <w:p>
      <w:pPr>
        <w:spacing w:after="0" w:line="219" w:lineRule="exact"/>
        <w:rPr>
          <w:sz w:val="20"/>
          <w:szCs w:val="20"/>
          <w:color w:val="auto"/>
        </w:rPr>
      </w:pPr>
    </w:p>
    <w:p>
      <w:pPr>
        <w:ind w:left="80"/>
        <w:spacing w:after="0" w:line="268" w:lineRule="auto"/>
        <w:rPr>
          <w:sz w:val="20"/>
          <w:szCs w:val="20"/>
          <w:color w:val="auto"/>
        </w:rPr>
      </w:pPr>
      <w:r>
        <w:rPr>
          <w:rFonts w:ascii="Times New Roman" w:cs="Times New Roman" w:eastAsia="Times New Roman" w:hAnsi="Times New Roman"/>
          <w:sz w:val="20"/>
          <w:szCs w:val="20"/>
          <w:color w:val="auto"/>
        </w:rPr>
        <w:t>Covered Persons shall facilitate the Company’s compliance with its disclosure obligations relating to this Policy in accordance with the requirements of the federal securities laws and applicable stock exchange listing rules.</w:t>
      </w:r>
    </w:p>
    <w:p>
      <w:pPr>
        <w:spacing w:after="0" w:line="157" w:lineRule="exact"/>
        <w:rPr>
          <w:sz w:val="20"/>
          <w:szCs w:val="20"/>
          <w:color w:val="auto"/>
        </w:rPr>
      </w:pPr>
    </w:p>
    <w:p>
      <w:pPr>
        <w:ind w:left="820" w:hanging="753"/>
        <w:spacing w:after="0"/>
        <w:tabs>
          <w:tab w:leader="none" w:pos="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Interpretation</w:t>
      </w:r>
    </w:p>
    <w:p>
      <w:pPr>
        <w:spacing w:after="0" w:line="219" w:lineRule="exact"/>
        <w:rPr>
          <w:sz w:val="20"/>
          <w:szCs w:val="20"/>
          <w:color w:val="auto"/>
        </w:rPr>
      </w:pPr>
    </w:p>
    <w:p>
      <w:pPr>
        <w:jc w:val="both"/>
        <w:ind w:left="80" w:right="20"/>
        <w:spacing w:after="0" w:line="295" w:lineRule="auto"/>
        <w:rPr>
          <w:sz w:val="20"/>
          <w:szCs w:val="20"/>
          <w:color w:val="auto"/>
        </w:rPr>
      </w:pPr>
      <w:r>
        <w:rPr>
          <w:rFonts w:ascii="Times New Roman" w:cs="Times New Roman" w:eastAsia="Times New Roman" w:hAnsi="Times New Roman"/>
          <w:sz w:val="19"/>
          <w:szCs w:val="19"/>
          <w:color w:val="auto"/>
        </w:rPr>
        <w:t>Consistent with Section 2 of this Policy, the Board shall be authorized to construe and interpret this Policy and to make all determinations necessary, appropriate, or advisable for the administration of this Policy in accordance with the Company’s constitutional documents.</w:t>
      </w:r>
    </w:p>
    <w:p>
      <w:pPr>
        <w:spacing w:after="0" w:line="137"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This Policy memorializes the Board’s intention that this Policy be interpreted in a manner that is consistent with Section 10D of the Exchange Act and any applicable rules, regulations, or standards adopted by the SEC (such as Rule 10D-1) and those adopted by the national securities exchange on which the Company’s securities are listed as well as any other relevant law, in each case as in effect from time to time (the “</w:t>
      </w:r>
      <w:r>
        <w:rPr>
          <w:rFonts w:ascii="Times New Roman" w:cs="Times New Roman" w:eastAsia="Times New Roman" w:hAnsi="Times New Roman"/>
          <w:sz w:val="20"/>
          <w:szCs w:val="20"/>
          <w:u w:val="single" w:color="auto"/>
          <w:color w:val="auto"/>
        </w:rPr>
        <w:t>Applicable Rules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20"/>
          <w:szCs w:val="20"/>
          <w:color w:val="auto"/>
        </w:rPr>
        <w:t>To the extent the Applicable Rules require recovery of Incentive Compensation in additional circumstances beyond those specified above, nothing in this Policy shall be deemed to limit or restrict the right or obligation of the Company to recover Incentive Compensation to the fullest extent required by the Applicable Rules.</w:t>
      </w:r>
    </w:p>
    <w:p>
      <w:pPr>
        <w:spacing w:after="0" w:line="159" w:lineRule="exact"/>
        <w:rPr>
          <w:sz w:val="20"/>
          <w:szCs w:val="20"/>
          <w:color w:val="auto"/>
        </w:rPr>
      </w:pPr>
    </w:p>
    <w:p>
      <w:pPr>
        <w:ind w:left="820" w:hanging="753"/>
        <w:spacing w:after="0"/>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Effective Date</w:t>
      </w:r>
    </w:p>
    <w:p>
      <w:pPr>
        <w:spacing w:after="0" w:line="219"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20"/>
          <w:szCs w:val="20"/>
          <w:color w:val="auto"/>
        </w:rPr>
        <w:t>This Policy is effective as of October 2,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and shall be duly adopted by the Board in accordance with the Company’s constitutional documents. This Policy shall apply to all Incentive Compensation that is received by Covered Persons on or after the Effective Date.</w:t>
      </w:r>
    </w:p>
    <w:p>
      <w:pPr>
        <w:spacing w:after="0" w:line="172" w:lineRule="exact"/>
        <w:rPr>
          <w:sz w:val="20"/>
          <w:szCs w:val="20"/>
          <w:color w:val="auto"/>
        </w:rPr>
      </w:pPr>
    </w:p>
    <w:p>
      <w:pPr>
        <w:ind w:left="820" w:hanging="753"/>
        <w:spacing w:after="0"/>
        <w:tabs>
          <w:tab w:leader="none" w:pos="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Amendment; Termination</w:t>
      </w:r>
    </w:p>
    <w:p>
      <w:pPr>
        <w:spacing w:after="0" w:line="219" w:lineRule="exact"/>
        <w:rPr>
          <w:sz w:val="20"/>
          <w:szCs w:val="20"/>
          <w:color w:val="auto"/>
        </w:rPr>
      </w:pPr>
    </w:p>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Consistent with Section 2 of this Policy, the Board may amend this Policy from time to time in its sole discretion and shall amend this Policy as the Board deems necessary or proper to (i) reflect any modification to the rules and regulations adopted by the SEC interpreting Section 954 of the Dodd-Frank Wall Street Reform and Consumer Protection Act of 2010 and the rules and regulations adopted by the SEC under Section 10D of the Exchange Act and to (ii) comply with any rules or standards adopted by a national securities exchange on which the Company’s securities are listed.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608965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8" w:right="459" w:bottom="1440" w:gutter="0" w:footer="0" w:header="0"/>
        </w:sectPr>
      </w:pPr>
    </w:p>
    <w:bookmarkStart w:id="155" w:name="page156"/>
    <w:bookmarkEnd w:id="155"/>
    <w:p>
      <w:pPr>
        <w:ind w:left="80" w:right="200"/>
        <w:spacing w:after="0" w:line="268" w:lineRule="auto"/>
        <w:rPr>
          <w:sz w:val="20"/>
          <w:szCs w:val="20"/>
          <w:color w:val="auto"/>
        </w:rPr>
      </w:pPr>
      <w:r>
        <w:rPr>
          <w:rFonts w:ascii="Times New Roman" w:cs="Times New Roman" w:eastAsia="Times New Roman" w:hAnsi="Times New Roman"/>
          <w:sz w:val="20"/>
          <w:szCs w:val="20"/>
          <w:color w:val="auto"/>
        </w:rPr>
        <w:t>The Board may, but is not required to, reassess the contents of this Policy on a yearly basis as part of the Company’s analysis of material risks.</w:t>
      </w:r>
    </w:p>
    <w:p>
      <w:pPr>
        <w:spacing w:after="0" w:line="1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Board may terminate this Policy at any time.</w:t>
      </w:r>
    </w:p>
    <w:p>
      <w:pPr>
        <w:spacing w:after="0" w:line="211" w:lineRule="exact"/>
        <w:rPr>
          <w:sz w:val="20"/>
          <w:szCs w:val="20"/>
          <w:color w:val="auto"/>
        </w:rPr>
      </w:pPr>
    </w:p>
    <w:p>
      <w:pPr>
        <w:ind w:left="820" w:hanging="753"/>
        <w:spacing w:after="0"/>
        <w:tabs>
          <w:tab w:leader="none" w:pos="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Other Recoupment Rights</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Board intends that this Policy shall be applied to the fullest extent of the law.</w:t>
      </w:r>
    </w:p>
    <w:p>
      <w:pPr>
        <w:spacing w:after="0" w:line="282"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In the Board’s good-faith determination, the Board may require that any employment agreement, equity award agreement, or similar enforceable agreement by and between the Company and a Covered Person entered into on or after the Effective Date shall, as a condition to the grant of any benefit thereunder, be amended and restated, or otherwise validly modified or supplemented, under the governing law of any such agreement, to require a Covered Person to agree to abide by the terms of this Policy.</w:t>
      </w:r>
    </w:p>
    <w:p>
      <w:pPr>
        <w:spacing w:after="0" w:line="178" w:lineRule="exact"/>
        <w:rPr>
          <w:sz w:val="20"/>
          <w:szCs w:val="20"/>
          <w:color w:val="auto"/>
        </w:rPr>
      </w:pPr>
    </w:p>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All of the Company’s actions or powers associated with Recoupment contemplated by this Policy are in addition to, and not in lieu of, any contract or other rights of a compensation-recovery nature that may be available to the Company (including, without limitation, any right of repayment, forfeiture, or right of offset against any employees that is required pursuant to any statutory repayment requirement (regardless of whether implemented at any time prior to or following the adoption or amendment of this Policy), including Section 304 of the Sarbanes-Oxley Act of 2002 (“</w:t>
      </w:r>
      <w:r>
        <w:rPr>
          <w:rFonts w:ascii="Times New Roman" w:cs="Times New Roman" w:eastAsia="Times New Roman" w:hAnsi="Times New Roman"/>
          <w:sz w:val="20"/>
          <w:szCs w:val="20"/>
          <w:u w:val="single" w:color="auto"/>
          <w:color w:val="auto"/>
        </w:rPr>
        <w:t>SOX</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20"/>
          <w:szCs w:val="20"/>
          <w:color w:val="auto"/>
        </w:rPr>
        <w:t>Any amounts paid to the Company in accordance with Section 304 of SOX shall be considered by the Company in determining any amounts recovered under this Policy.</w:t>
      </w:r>
    </w:p>
    <w:p>
      <w:pPr>
        <w:spacing w:after="0" w:line="147"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The application and enforcement of this Policy does not preclude the Company from taking any other action to enforce a Covered Person’s obligations to the Company, including termination of employment or institution of legal proceedings. Nothing in this Policy restricts the Company from seeking Recoupment under any other compensation recoupment-based policy or any applicable provisions in plans, agreements, awards, or other arrangements that contemplate the recovery of compensation from a Covered Person.</w:t>
      </w:r>
    </w:p>
    <w:p>
      <w:pPr>
        <w:spacing w:after="0" w:line="178"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If a Covered Person fails to repay Excess Incentive Compensation that is owed to the Company under this Policy, then, the Company shall take all appropriate action to recover such Excess Incentive Compensation from the Covered Person, and the Covered Person shall be required to reimburse the Company for all expenses (including legal expenses) incurred by the Company in recovering such Excess Incentive Compensation.</w:t>
      </w:r>
    </w:p>
    <w:p>
      <w:pPr>
        <w:spacing w:after="0" w:line="188" w:lineRule="exact"/>
        <w:rPr>
          <w:sz w:val="20"/>
          <w:szCs w:val="20"/>
          <w:color w:val="auto"/>
        </w:rPr>
      </w:pPr>
    </w:p>
    <w:p>
      <w:pPr>
        <w:ind w:left="820" w:hanging="753"/>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Impracticability</w:t>
      </w:r>
    </w:p>
    <w:p>
      <w:pPr>
        <w:spacing w:after="0" w:line="202" w:lineRule="exact"/>
        <w:rPr>
          <w:sz w:val="20"/>
          <w:szCs w:val="20"/>
          <w:color w:val="auto"/>
        </w:rPr>
      </w:pPr>
    </w:p>
    <w:p>
      <w:pPr>
        <w:jc w:val="both"/>
        <w:ind w:left="80"/>
        <w:spacing w:after="0" w:line="250" w:lineRule="auto"/>
        <w:rPr>
          <w:sz w:val="20"/>
          <w:szCs w:val="20"/>
          <w:color w:val="auto"/>
        </w:rPr>
      </w:pPr>
      <w:r>
        <w:rPr>
          <w:rFonts w:ascii="Times New Roman" w:cs="Times New Roman" w:eastAsia="Times New Roman" w:hAnsi="Times New Roman"/>
          <w:sz w:val="20"/>
          <w:szCs w:val="20"/>
          <w:color w:val="auto"/>
        </w:rPr>
        <w:t xml:space="preserve">The Board shall mandate Recoupment of any Excess Incentive Compensation of a Covered Person in accordance with this Policy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 xml:space="preserve"> effecting Recoupment would be impracticable, as the Compensation Committee of the Board may so determine (i) in consistence with its fiduciary duties owed to the Company’s shareholders and (ii) in accordance with Rule 10D-1 of the Exchange Act and the applicable listing standards of the national securities exchange on which the Company’s securities are traded.</w:t>
      </w:r>
    </w:p>
    <w:p>
      <w:pPr>
        <w:spacing w:after="0" w:line="178"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20"/>
          <w:szCs w:val="20"/>
          <w:color w:val="auto"/>
        </w:rPr>
        <w:t>Under Rule 10D-1 of the Exchange Act, a company’s obligation to recover any erroneously awarded compensation is subject only to the following limited instances in which recovery would be considered impracticable: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608965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98" w:right="459" w:bottom="1440" w:gutter="0" w:footer="0" w:header="0"/>
        </w:sectPr>
      </w:pPr>
    </w:p>
    <w:bookmarkStart w:id="156" w:name="page157"/>
    <w:bookmarkEnd w:id="156"/>
    <w:p>
      <w:pPr>
        <w:ind w:left="1500" w:hanging="744"/>
        <w:spacing w:after="0" w:line="268" w:lineRule="auto"/>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after a company has made and documented a reasonable attempt to recover;</w:t>
      </w:r>
    </w:p>
    <w:p>
      <w:pPr>
        <w:spacing w:after="0" w:line="160" w:lineRule="exact"/>
        <w:rPr>
          <w:rFonts w:ascii="Times New Roman" w:cs="Times New Roman" w:eastAsia="Times New Roman" w:hAnsi="Times New Roman"/>
          <w:sz w:val="18"/>
          <w:szCs w:val="18"/>
          <w:color w:val="auto"/>
        </w:rPr>
      </w:pPr>
    </w:p>
    <w:p>
      <w:pPr>
        <w:ind w:left="1500" w:hanging="744"/>
        <w:spacing w:after="0" w:line="268" w:lineRule="auto"/>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Recovery would violate home country law where that law was adopted prior to November 28, 2022, and the issuer provides an opinion of home country counsel to the exchange; or</w:t>
      </w:r>
    </w:p>
    <w:p>
      <w:pPr>
        <w:spacing w:after="0" w:line="147" w:lineRule="exact"/>
        <w:rPr>
          <w:rFonts w:ascii="Times New Roman" w:cs="Times New Roman" w:eastAsia="Times New Roman" w:hAnsi="Times New Roman"/>
          <w:sz w:val="18"/>
          <w:szCs w:val="18"/>
          <w:color w:val="auto"/>
        </w:rPr>
      </w:pPr>
    </w:p>
    <w:p>
      <w:pPr>
        <w:ind w:left="1500" w:hanging="744"/>
        <w:spacing w:after="0" w:line="268" w:lineRule="auto"/>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Recovery would likely cause an otherwise tax-qualified retirement plan to fail to meet the requirements of the Internal Revenue Code of 1986, as amended.</w:t>
      </w:r>
    </w:p>
    <w:p>
      <w:pPr>
        <w:spacing w:after="0" w:line="161"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20"/>
          <w:szCs w:val="20"/>
          <w:color w:val="auto"/>
        </w:rPr>
        <w:t>Therefore, the Board intends that this Policy shall be implemented in a manner that follows the aforementioned exceptions (as applicable to the Company), and that Recoupment of any Excess Incentive Compensation of a Covered Person under this Policy shall be mandatory unless one of the exceptions under Rule 10D-1 apply.</w:t>
      </w:r>
    </w:p>
    <w:p>
      <w:pPr>
        <w:spacing w:after="0" w:line="172" w:lineRule="exact"/>
        <w:rPr>
          <w:sz w:val="20"/>
          <w:szCs w:val="20"/>
          <w:color w:val="auto"/>
        </w:rPr>
      </w:pPr>
    </w:p>
    <w:p>
      <w:pPr>
        <w:ind w:left="760" w:hanging="753"/>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Severability</w:t>
      </w:r>
    </w:p>
    <w:p>
      <w:pPr>
        <w:spacing w:after="0" w:line="21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such provision to any Covered Person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spacing w:after="0" w:line="174" w:lineRule="exact"/>
        <w:rPr>
          <w:sz w:val="20"/>
          <w:szCs w:val="20"/>
          <w:color w:val="auto"/>
        </w:rPr>
      </w:pPr>
    </w:p>
    <w:p>
      <w:pPr>
        <w:ind w:left="760" w:hanging="753"/>
        <w:spacing w:after="0"/>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Successors</w:t>
      </w:r>
    </w:p>
    <w:p>
      <w:pPr>
        <w:spacing w:after="0" w:line="219" w:lineRule="exact"/>
        <w:rPr>
          <w:sz w:val="20"/>
          <w:szCs w:val="20"/>
          <w:color w:val="auto"/>
        </w:rPr>
      </w:pPr>
    </w:p>
    <w:p>
      <w:pPr>
        <w:ind w:left="20" w:right="140"/>
        <w:spacing w:after="0" w:line="268"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Persons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566420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8" w:right="45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b w:val="1"/>
          <w:bCs w:val="1"/>
          <w:color w:val="auto"/>
        </w:rPr>
        <w:t>ARCTURUS THERAPEUTICS HOLDINGS INC. CLAWBACK POLICY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ACKNOWLEDGEMENT AND AGREEMENT FORM</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Arcturus Therapeutics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Clawback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By signing this Acknowledgement and Agreement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Excess Incentive Compensation (as defined in the Policy) reasonably promptly to the Company to the extent required by, and in a manner consistent with, the Policy.</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by signing below, the undersigned acknowledges that the Policy applies to all Incentive Compensation (as defined in the Policy); agrees to waive any legal right that might conflict or otherwise interfere with the Company’s Recoupment (as defined in the Policy) of any Excess Incentive Compensation in consistence with the terms of the Policy; and acknowledges that the Company may seek Recoupment of any Excess Incentive Compensation through any method of recovery it deems appropriate or necessary under the circumstances (which may include offsetting against any compensation payable to the undersigned, among other methods of recovery), as contemplated by Sections 7 and 13 under the Policy.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undersigned acknowledges and agrees that by signing below, the undersigned agrees that any and all agreements and understandings between the undersigned and the Company are hereby amended and modified by and subject to this Policy.</w:t>
      </w: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COVERED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37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0"/>
          <w:szCs w:val="20"/>
          <w:color w:val="auto"/>
        </w:rPr>
        <w:t>Printed Name</w:t>
      </w:r>
    </w:p>
    <w:p>
      <w:pPr>
        <w:spacing w:after="0" w:line="200" w:lineRule="exact"/>
        <w:rPr>
          <w:sz w:val="20"/>
          <w:szCs w:val="20"/>
          <w:color w:val="auto"/>
        </w:rPr>
      </w:pPr>
    </w:p>
    <w:p>
      <w:pPr>
        <w:spacing w:after="0" w:line="3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566420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394" w:right="45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decimal"/>
      <w:start w:val="154"/>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decimal"/>
      <w:start w:val="6"/>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lowerRoman"/>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lowerLetter"/>
      <w:start w:val="1"/>
    </w:lvl>
    <w:lvl w:ilvl="1">
      <w:lvlJc w:val="left"/>
      <w:lvlText w:val="(%2)"/>
      <w:numFmt w:val="decimal"/>
      <w:start w:val="1"/>
    </w:lvl>
  </w:abstractNum>
  <w:abstractNum w:abstractNumId="54">
    <w:nsid w:val="1EBA5D23"/>
    <w:multiLevelType w:val="hybridMultilevel"/>
    <w:lvl w:ilvl="0">
      <w:lvlJc w:val="left"/>
      <w:lvlText w:val="(%1)"/>
      <w:numFmt w:val="lowerLetter"/>
      <w:start w:val="2"/>
    </w:lvl>
    <w:lvl w:ilvl="1">
      <w:lvlJc w:val="left"/>
      <w:lvlText w:val="%2"/>
      <w:numFmt w:val="decimal"/>
      <w:start w:val="1"/>
    </w:lvl>
  </w:abstractNum>
  <w:abstractNum w:abstractNumId="55">
    <w:nsid w:val="661E3F1E"/>
    <w:multiLevelType w:val="hybridMultilevel"/>
    <w:lvl w:ilvl="0">
      <w:lvlJc w:val="left"/>
      <w:lvlText w:val="%1"/>
      <w:numFmt w:val="decimal"/>
      <w:start w:val="104"/>
    </w:lvl>
    <w:lvl w:ilvl="1">
      <w:lvlJc w:val="left"/>
      <w:lvlText w:val="*"/>
      <w:numFmt w:val="bullet"/>
      <w:start w:val="1"/>
    </w:lvl>
  </w:abstractNum>
  <w:abstractNum w:abstractNumId="56">
    <w:nsid w:val="5DC79EA8"/>
    <w:multiLevelType w:val="hybridMultilevel"/>
    <w:lvl w:ilvl="0">
      <w:lvlJc w:val="left"/>
      <w:lvlText w:val="%1"/>
      <w:numFmt w:val="decimal"/>
      <w:start w:val="1"/>
    </w:lvl>
    <w:lvl w:ilvl="1">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1"/>
    </w:lvl>
    <w:lvl w:ilvl="1">
      <w:lvlJc w:val="left"/>
      <w:lvlText w:val="%2)"/>
      <w:numFmt w:val="lowerLetter"/>
      <w:start w:val="1"/>
    </w:lvl>
  </w:abstractNum>
  <w:abstractNum w:abstractNumId="66">
    <w:nsid w:val="1A32234B"/>
    <w:multiLevelType w:val="hybridMultilevel"/>
    <w:lvl w:ilvl="0">
      <w:lvlJc w:val="left"/>
      <w:lvlText w:val="%1."/>
      <w:numFmt w:val="decimal"/>
      <w:start w:val="1"/>
    </w:lvl>
    <w:lvl w:ilvl="1">
      <w:lvlJc w:val="left"/>
      <w:lvlText w:val="%2)"/>
      <w:numFmt w:val="lowerLetter"/>
      <w:start w:val="1"/>
    </w:lvl>
  </w:abstractNum>
  <w:abstractNum w:abstractNumId="67">
    <w:nsid w:val="3B0FD379"/>
    <w:multiLevelType w:val="hybridMultilevel"/>
    <w:lvl w:ilvl="0">
      <w:lvlJc w:val="left"/>
      <w:lvlText w:val="%1."/>
      <w:numFmt w:val="decimal"/>
      <w:start w:val="1"/>
    </w:lvl>
    <w:lvl w:ilvl="1">
      <w:lvlJc w:val="left"/>
      <w:lvlText w:val="%2)"/>
      <w:numFmt w:val="lowerLetter"/>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2"/>
    </w:lvl>
  </w:abstractNum>
  <w:abstractNum w:abstractNumId="73">
    <w:nsid w:val="7FFFCA11"/>
    <w:multiLevelType w:val="hybridMultilevel"/>
    <w:lvl w:ilvl="0">
      <w:lvlJc w:val="left"/>
      <w:lvlText w:val="%1."/>
      <w:numFmt w:val="decimal"/>
      <w:start w:val="3"/>
    </w:lvl>
  </w:abstractNum>
  <w:abstractNum w:abstractNumId="74">
    <w:nsid w:val="1A27709E"/>
    <w:multiLevelType w:val="hybridMultilevel"/>
    <w:lvl w:ilvl="0">
      <w:lvlJc w:val="left"/>
      <w:lvlText w:val="%1."/>
      <w:numFmt w:val="decimal"/>
      <w:start w:val="4"/>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decimal"/>
      <w:start w:val="5"/>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1."/>
      <w:numFmt w:val="decimal"/>
      <w:start w:val="5"/>
    </w:lvl>
    <w:lvl w:ilvl="1">
      <w:lvlJc w:val="left"/>
      <w:lvlText w:val="•"/>
      <w:numFmt w:val="bullet"/>
      <w:start w:val="1"/>
    </w:lvl>
  </w:abstractNum>
  <w:abstractNum w:abstractNumId="79">
    <w:nsid w:val="6F6DD9AC"/>
    <w:multiLevelType w:val="hybridMultilevel"/>
    <w:lvl w:ilvl="0">
      <w:lvlJc w:val="left"/>
      <w:lvlText w:val="%1."/>
      <w:numFmt w:val="decimal"/>
      <w:start w:val="7"/>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decimal"/>
      <w:start w:val="8"/>
    </w:lvl>
  </w:abstractNum>
  <w:abstractNum w:abstractNumId="82">
    <w:nsid w:val="76272110"/>
    <w:multiLevelType w:val="hybridMultilevel"/>
    <w:lvl w:ilvl="0">
      <w:lvlJc w:val="left"/>
      <w:lvlText w:val="%1."/>
      <w:numFmt w:val="decimal"/>
      <w:start w:val="9"/>
    </w:lvl>
  </w:abstractNum>
  <w:abstractNum w:abstractNumId="83">
    <w:nsid w:val="4C04A8AF"/>
    <w:multiLevelType w:val="hybridMultilevel"/>
    <w:lvl w:ilvl="0">
      <w:lvlJc w:val="left"/>
      <w:lvlText w:val="%1."/>
      <w:numFmt w:val="decimal"/>
      <w:start w:val="10"/>
    </w:lvl>
  </w:abstractNum>
  <w:abstractNum w:abstractNumId="84">
    <w:nsid w:val="1716703B"/>
    <w:multiLevelType w:val="hybridMultilevel"/>
    <w:lvl w:ilvl="0">
      <w:lvlJc w:val="left"/>
      <w:lvlText w:val="%1."/>
      <w:numFmt w:val="decimal"/>
      <w:start w:val="11"/>
    </w:lvl>
  </w:abstractNum>
  <w:abstractNum w:abstractNumId="85">
    <w:nsid w:val="14E17E33"/>
    <w:multiLevelType w:val="hybridMultilevel"/>
    <w:lvl w:ilvl="0">
      <w:lvlJc w:val="left"/>
      <w:lvlText w:val="%1."/>
      <w:numFmt w:val="decimal"/>
      <w:start w:val="12"/>
    </w:lvl>
  </w:abstractNum>
  <w:abstractNum w:abstractNumId="86">
    <w:nsid w:val="3222E7CD"/>
    <w:multiLevelType w:val="hybridMultilevel"/>
    <w:lvl w:ilvl="0">
      <w:lvlJc w:val="left"/>
      <w:lvlText w:val="%1."/>
      <w:numFmt w:val="decimal"/>
      <w:start w:val="13"/>
    </w:lvl>
  </w:abstractNum>
  <w:abstractNum w:abstractNumId="87">
    <w:nsid w:val="74DE0EE3"/>
    <w:multiLevelType w:val="hybridMultilevel"/>
    <w:lvl w:ilvl="0">
      <w:lvlJc w:val="left"/>
      <w:lvlText w:val="%1."/>
      <w:numFmt w:val="decimal"/>
      <w:start w:val="14"/>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decimal"/>
      <w:start w:val="15"/>
    </w:lvl>
  </w:abstractNum>
  <w:abstractNum w:abstractNumId="90">
    <w:nsid w:val="46B7D447"/>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262" Type="http://schemas.openxmlformats.org/officeDocument/2006/relationships/image" Target="media/image211.png"/><Relationship Id="rId263" Type="http://schemas.openxmlformats.org/officeDocument/2006/relationships/image" Target="media/image212.png"/><Relationship Id="rId264" Type="http://schemas.openxmlformats.org/officeDocument/2006/relationships/image" Target="media/image213.png"/><Relationship Id="rId265" Type="http://schemas.openxmlformats.org/officeDocument/2006/relationships/image" Target="media/image214.png"/><Relationship Id="rId266"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png"/><Relationship Id="rId277" Type="http://schemas.openxmlformats.org/officeDocument/2006/relationships/image" Target="media/image226.png"/><Relationship Id="rId278" Type="http://schemas.openxmlformats.org/officeDocument/2006/relationships/image" Target="media/image227.png"/><Relationship Id="rId279" Type="http://schemas.openxmlformats.org/officeDocument/2006/relationships/image" Target="media/image228.png"/><Relationship Id="rId280" Type="http://schemas.openxmlformats.org/officeDocument/2006/relationships/image" Target="media/image229.png"/><Relationship Id="rId281" Type="http://schemas.openxmlformats.org/officeDocument/2006/relationships/image" Target="media/image230.pn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285" Type="http://schemas.openxmlformats.org/officeDocument/2006/relationships/image" Target="media/image234.png"/><Relationship Id="rId286" Type="http://schemas.openxmlformats.org/officeDocument/2006/relationships/image" Target="media/image235.png"/><Relationship Id="rId287" Type="http://schemas.openxmlformats.org/officeDocument/2006/relationships/image" Target="media/image236.png"/><Relationship Id="rId288" Type="http://schemas.openxmlformats.org/officeDocument/2006/relationships/image" Target="media/image237.png"/><Relationship Id="rId289" Type="http://schemas.openxmlformats.org/officeDocument/2006/relationships/image" Target="media/image238.png"/><Relationship Id="rId290" Type="http://schemas.openxmlformats.org/officeDocument/2006/relationships/image" Target="media/image239.png"/><Relationship Id="rId291" Type="http://schemas.openxmlformats.org/officeDocument/2006/relationships/image" Target="media/image240.png"/><Relationship Id="rId292" Type="http://schemas.openxmlformats.org/officeDocument/2006/relationships/image" Target="media/image241.png"/><Relationship Id="rId293" Type="http://schemas.openxmlformats.org/officeDocument/2006/relationships/image" Target="media/image242.png"/><Relationship Id="rId294" Type="http://schemas.openxmlformats.org/officeDocument/2006/relationships/image" Target="media/image243.png"/><Relationship Id="rId295" Type="http://schemas.openxmlformats.org/officeDocument/2006/relationships/image" Target="media/image244.png"/><Relationship Id="rId296" Type="http://schemas.openxmlformats.org/officeDocument/2006/relationships/image" Target="media/image245.png"/><Relationship Id="rId297" Type="http://schemas.openxmlformats.org/officeDocument/2006/relationships/image" Target="media/image246.png"/><Relationship Id="rId298" Type="http://schemas.openxmlformats.org/officeDocument/2006/relationships/image" Target="media/image247.png"/><Relationship Id="rId299" Type="http://schemas.openxmlformats.org/officeDocument/2006/relationships/image" Target="media/image248.png"/><Relationship Id="rId300"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325" Type="http://schemas.openxmlformats.org/officeDocument/2006/relationships/image" Target="media/image274.png"/><Relationship Id="rId326" Type="http://schemas.openxmlformats.org/officeDocument/2006/relationships/image" Target="media/image275.png"/><Relationship Id="rId327" Type="http://schemas.openxmlformats.org/officeDocument/2006/relationships/image" Target="media/image276.png"/><Relationship Id="rId328" Type="http://schemas.openxmlformats.org/officeDocument/2006/relationships/image" Target="media/image277.png"/><Relationship Id="rId329" Type="http://schemas.openxmlformats.org/officeDocument/2006/relationships/image" Target="media/image278.png"/><Relationship Id="rId330" Type="http://schemas.openxmlformats.org/officeDocument/2006/relationships/image" Target="media/image279.png"/><Relationship Id="rId331" Type="http://schemas.openxmlformats.org/officeDocument/2006/relationships/image" Target="media/image280.png"/><Relationship Id="rId332" Type="http://schemas.openxmlformats.org/officeDocument/2006/relationships/image" Target="media/image281.png"/><Relationship Id="rId333" Type="http://schemas.openxmlformats.org/officeDocument/2006/relationships/image" Target="media/image282.png"/><Relationship Id="rId334" Type="http://schemas.openxmlformats.org/officeDocument/2006/relationships/image" Target="media/image283.png"/><Relationship Id="rId335" Type="http://schemas.openxmlformats.org/officeDocument/2006/relationships/image" Target="media/image284.png"/><Relationship Id="rId336" Type="http://schemas.openxmlformats.org/officeDocument/2006/relationships/image" Target="media/image285.png"/><Relationship Id="rId337" Type="http://schemas.openxmlformats.org/officeDocument/2006/relationships/image" Target="media/image286.png"/><Relationship Id="rId338" Type="http://schemas.openxmlformats.org/officeDocument/2006/relationships/image" Target="media/image287.png"/><Relationship Id="rId339" Type="http://schemas.openxmlformats.org/officeDocument/2006/relationships/image" Target="media/image288.png"/><Relationship Id="rId340" Type="http://schemas.openxmlformats.org/officeDocument/2006/relationships/image" Target="media/image289.png"/><Relationship Id="rId341" Type="http://schemas.openxmlformats.org/officeDocument/2006/relationships/image" Target="media/image290.png"/><Relationship Id="rId342" Type="http://schemas.openxmlformats.org/officeDocument/2006/relationships/image" Target="media/image291.png"/><Relationship Id="rId343" Type="http://schemas.openxmlformats.org/officeDocument/2006/relationships/image" Target="media/image292.png"/><Relationship Id="rId344" Type="http://schemas.openxmlformats.org/officeDocument/2006/relationships/image" Target="media/image293.png"/><Relationship Id="rId345" Type="http://schemas.openxmlformats.org/officeDocument/2006/relationships/image" Target="media/image294.png"/><Relationship Id="rId346" Type="http://schemas.openxmlformats.org/officeDocument/2006/relationships/image" Target="media/image295.png"/><Relationship Id="rId347"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png"/><Relationship Id="rId390" Type="http://schemas.openxmlformats.org/officeDocument/2006/relationships/image" Target="media/image339.png"/><Relationship Id="rId391" Type="http://schemas.openxmlformats.org/officeDocument/2006/relationships/image" Target="media/image340.png"/><Relationship Id="rId392" Type="http://schemas.openxmlformats.org/officeDocument/2006/relationships/image" Target="media/image341.png"/><Relationship Id="rId393" Type="http://schemas.openxmlformats.org/officeDocument/2006/relationships/image" Target="media/image342.png"/><Relationship Id="rId161" Type="http://schemas.openxmlformats.org/officeDocument/2006/relationships/hyperlink" Target="https://www.sec.gov/Archives/edgar/data/0001768224/000119380520001508/e620125_ex1-1.htm" TargetMode="External"/><Relationship Id="rId162" Type="http://schemas.openxmlformats.org/officeDocument/2006/relationships/hyperlink" Target="https://www.sec.gov/Archives/edgar/data/1768224/000119380523001112/e618839_ex1-1.htm" TargetMode="External"/><Relationship Id="rId163" Type="http://schemas.openxmlformats.org/officeDocument/2006/relationships/hyperlink" Target="https://www.sec.gov/Archives/edgar/data/0001566049/000119312519077140/d721306ds4.htm" TargetMode="External"/><Relationship Id="rId164" Type="http://schemas.openxmlformats.org/officeDocument/2006/relationships/hyperlink" Target="https://www.sec.gov/Archives/edgar/data/0001768224/000119380520001470/e620104_ex3-1.htm" TargetMode="External"/><Relationship Id="rId165" Type="http://schemas.openxmlformats.org/officeDocument/2006/relationships/hyperlink" Target="https://www.sec.gov/Archives/edgar/data/0001768224/000119380520000569/e619613_ex3-2.htm" TargetMode="External"/><Relationship Id="rId166" Type="http://schemas.openxmlformats.org/officeDocument/2006/relationships/hyperlink" Target="https://www.sec.gov/Archives/edgar/data/0001768224/000156459020011037/arct-ex101_364.htm" TargetMode="External"/><Relationship Id="rId167" Type="http://schemas.openxmlformats.org/officeDocument/2006/relationships/hyperlink" Target="https://www.sec.gov/Archives/edgar/data/0001768224/000119312519259220/d781986ddef14a.htm" TargetMode="External"/><Relationship Id="rId168" Type="http://schemas.openxmlformats.org/officeDocument/2006/relationships/hyperlink" Target="https://www.sec.gov/Archives/edgar/data/0001566049/000119380518001024/e618195_ex99-2.htm" TargetMode="External"/><Relationship Id="rId169" Type="http://schemas.openxmlformats.org/officeDocument/2006/relationships/hyperlink" Target="https://www.sec.gov/Archives/edgar/data/0001566049/000156459018024268/arct-ex101_7.htm" TargetMode="External"/><Relationship Id="rId170" Type="http://schemas.openxmlformats.org/officeDocument/2006/relationships/hyperlink" Target="https://www.sec.gov/Archives/edgar/data/0001566049/000156459018013460/arct-ex48_879.htm" TargetMode="External"/><Relationship Id="rId171" Type="http://schemas.openxmlformats.org/officeDocument/2006/relationships/hyperlink" Target="https://www.sec.gov/Archives/edgar/data/0001566049/000156459018013460/arct-ex410_883.htm" TargetMode="External"/><Relationship Id="rId172" Type="http://schemas.openxmlformats.org/officeDocument/2006/relationships/hyperlink" Target="https://www.sec.gov/Archives/edgar/data/0001566049/000119312519176908/d721252dex102.htm" TargetMode="External"/><Relationship Id="rId173" Type="http://schemas.openxmlformats.org/officeDocument/2006/relationships/hyperlink" Target="https://www.sec.gov/Archives/edgar/data/0001566049/000156459018013460/arct-ex411_878.htm" TargetMode="External"/><Relationship Id="rId176" Type="http://schemas.openxmlformats.org/officeDocument/2006/relationships/hyperlink" Target="https://www.sec.gov/Archives/edgar/data/0001768224/000156459019032166/arct-ex1016_165.htm" TargetMode="External"/><Relationship Id="rId177" Type="http://schemas.openxmlformats.org/officeDocument/2006/relationships/hyperlink" Target="https://www.sec.gov/Archives/edgar/data/0001566049/000156459018016705/arct-ex414_7.htm" TargetMode="External"/><Relationship Id="rId178" Type="http://schemas.openxmlformats.org/officeDocument/2006/relationships/hyperlink" Target="https://www.sec.gov/Archives/edgar/data/0001566049/000156459019008092/arct-ex1014_583.htm" TargetMode="External"/><Relationship Id="rId179" Type="http://schemas.openxmlformats.org/officeDocument/2006/relationships/hyperlink" Target="https://www.sec.gov/Archives/edgar/data/0001566049/000156459018013460/arct-ex46_882.htm" TargetMode="External"/><Relationship Id="rId180" Type="http://schemas.openxmlformats.org/officeDocument/2006/relationships/hyperlink" Target="https://www.sec.gov/Archives/edgar/data/0001768224/000156459020011037/arct-ex1023_426.htm" TargetMode="External"/><Relationship Id="rId181" Type="http://schemas.openxmlformats.org/officeDocument/2006/relationships/hyperlink" Target="https://www.sec.gov/Archives/edgar/data/0001768224/000156459020011037/arct-ex1024_365.htm" TargetMode="External"/><Relationship Id="rId182" Type="http://schemas.openxmlformats.org/officeDocument/2006/relationships/hyperlink" Target="https://www.sec.gov/Archives/edgar/data/0001768224/000156459020052527/arct-ex1033_98.htm" TargetMode="External"/><Relationship Id="rId183" Type="http://schemas.openxmlformats.org/officeDocument/2006/relationships/hyperlink" Target="https://www.sec.gov/Archives/edgar/data/0001768224/000119380520001498/e620119_ex10-1.htm" TargetMode="External"/><Relationship Id="rId184" Type="http://schemas.openxmlformats.org/officeDocument/2006/relationships/hyperlink" Target="https://www.sec.gov/Archives/edgar/data/0001768224/000119380520000940/e619825_ex4-3.htm" TargetMode="External"/><Relationship Id="rId185" Type="http://schemas.openxmlformats.org/officeDocument/2006/relationships/hyperlink" Target="https://www.sec.gov/Archives/edgar/data/1768224/000156459021009872/arct-ex1029_392.htm" TargetMode="External"/><Relationship Id="rId186" Type="http://schemas.openxmlformats.org/officeDocument/2006/relationships/hyperlink" Target="https://www.sec.gov/Archives/edgar/data/1768224/000156459021009872/arct-ex1030_393.htm" TargetMode="External"/><Relationship Id="rId187" Type="http://schemas.openxmlformats.org/officeDocument/2006/relationships/hyperlink" Target="https://www.sec.gov/Archives/edgar/data/1768224/000119380521000538/e620514_ex10-1.htm" TargetMode="External"/><Relationship Id="rId188" Type="http://schemas.openxmlformats.org/officeDocument/2006/relationships/hyperlink" Target="https://www.sec.gov/Archives/edgar/data/0001768224/000119312519173808/d826633dex101.htm" TargetMode="External"/><Relationship Id="rId189" Type="http://schemas.openxmlformats.org/officeDocument/2006/relationships/hyperlink" Target="https://www.sec.gov/Archives/edgar/data/0001768224/000119312519173808/d826633dex102.htm" TargetMode="External"/><Relationship Id="rId192" Type="http://schemas.openxmlformats.org/officeDocument/2006/relationships/hyperlink" Target="https://www.sec.gov/Archives/edgar/data/0001768224/000119312519173808/d826633dex103.htm" TargetMode="External"/><Relationship Id="rId193" Type="http://schemas.openxmlformats.org/officeDocument/2006/relationships/hyperlink" Target="https://www.sec.gov/Archives/edgar/data/1768224/000119380521001468/e621018_ex4-1.htm" TargetMode="External"/><Relationship Id="rId194" Type="http://schemas.openxmlformats.org/officeDocument/2006/relationships/hyperlink" Target="https://www.sec.gov/Archives/edgar/data/0001768224/000156459021055372/arct-ex1034_76.htm" TargetMode="External"/><Relationship Id="rId195" Type="http://schemas.openxmlformats.org/officeDocument/2006/relationships/hyperlink" Target="https://www.sec.gov/Archives/edgar/data/0001768224/000156459021055372/arct-ex1035_75.htm" TargetMode="External"/><Relationship Id="rId196" Type="http://schemas.openxmlformats.org/officeDocument/2006/relationships/hyperlink" Target="https://www.sec.gov/Archives/edgar/data/0001768224/000156459021042750/arct-ex1032_47.htm" TargetMode="External"/><Relationship Id="rId197" Type="http://schemas.openxmlformats.org/officeDocument/2006/relationships/hyperlink" Target="https://www.sec.gov/Archives/edgar/data/0001768224/000156459021042750/arct-ex1033_46.htm" TargetMode="External"/><Relationship Id="rId198" Type="http://schemas.openxmlformats.org/officeDocument/2006/relationships/hyperlink" Target="https://www.sec.gov/Archives/edgar/data/1768224/000095017022008524/arct-ex10_36.htm" TargetMode="External"/><Relationship Id="rId199" Type="http://schemas.openxmlformats.org/officeDocument/2006/relationships/hyperlink" Target="https://www.sec.gov/Archives/edgar/data/1768224/000119380522001014/e621778_ex10-1.htm" TargetMode="External"/><Relationship Id="rId200" Type="http://schemas.openxmlformats.org/officeDocument/2006/relationships/hyperlink" Target="https://www.sec.gov/Archives/edgar/data/1768224/000119380522001480/e617791_ex10-1.htm" TargetMode="External"/><Relationship Id="rId201" Type="http://schemas.openxmlformats.org/officeDocument/2006/relationships/hyperlink" Target="https://www.sec.gov/Archives/edgar/data/1768224/000095017022023969/arct-ex10_36.htm" TargetMode="External"/><Relationship Id="rId202" Type="http://schemas.openxmlformats.org/officeDocument/2006/relationships/hyperlink" Target="https://www.sec.gov/Archives/edgar/data/1768224/000095017022023969/arct-ex10_38.htm" TargetMode="External"/><Relationship Id="rId203" Type="http://schemas.openxmlformats.org/officeDocument/2006/relationships/hyperlink" Target="https://www.sec.gov/Archives/edgar/data/1768224/000095017023010380/arct-ex10_41.htm" TargetMode="External"/><Relationship Id="rId204" Type="http://schemas.openxmlformats.org/officeDocument/2006/relationships/hyperlink" Target="https://www.sec.gov/Archives/edgar/data/1768224/000095017023019773/arct-ex10_28.htm" TargetMode="External"/><Relationship Id="rId207" Type="http://schemas.openxmlformats.org/officeDocument/2006/relationships/hyperlink" Target="https://www.sec.gov/Archives/edgar/data/1768224/000095017023019773/arct-ex10_29.htm" TargetMode="External"/><Relationship Id="rId208" Type="http://schemas.openxmlformats.org/officeDocument/2006/relationships/hyperlink" Target="https://www.sec.gov/Archives/edgar/data/1768224/000095017023019773/arct-ex10_30.htm" TargetMode="External"/><Relationship Id="rId209" Type="http://schemas.openxmlformats.org/officeDocument/2006/relationships/hyperlink" Target="https://www.sec.gov/Archives/edgar/data/1768224/000095017023063778/arct-ex10_31.htm" TargetMode="External"/><Relationship Id="rId210" Type="http://schemas.openxmlformats.org/officeDocument/2006/relationships/hyperlink" Target="https://www.sec.gov/Archives/edgar/data/1768224/000095017023063778/arct-ex10_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2024-03-14T08:20:15Z</dcterms:created>
  <dcterms:modified xsi:type="dcterms:W3CDTF">2024-03-14T08:20:15Z</dcterms:modified>
</cp:coreProperties>
</file>