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59"/>
        <w:spacing w:after="0"/>
        <w:rPr>
          <w:sz w:val="20"/>
          <w:szCs w:val="20"/>
          <w:color w:val="auto"/>
        </w:rPr>
      </w:pPr>
      <w:r>
        <w:rPr>
          <w:rFonts w:ascii="Arial" w:cs="Arial" w:eastAsia="Arial" w:hAnsi="Arial"/>
          <w:sz w:val="18"/>
          <w:szCs w:val="18"/>
          <w:color w:val="auto"/>
        </w:rPr>
        <w:t>UNITED STATES</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Form 6-K</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For the month of: November 2014</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ind w:left="4740"/>
        <w:spacing w:after="0"/>
        <w:rPr>
          <w:sz w:val="20"/>
          <w:szCs w:val="20"/>
          <w:color w:val="auto"/>
        </w:rPr>
      </w:pPr>
      <w:r>
        <w:rPr>
          <w:rFonts w:ascii="Arial" w:cs="Arial" w:eastAsia="Arial" w:hAnsi="Arial"/>
          <w:sz w:val="18"/>
          <w:szCs w:val="18"/>
          <w:color w:val="auto"/>
        </w:rPr>
        <w:t>Amot Investment Building</w:t>
      </w:r>
    </w:p>
    <w:p>
      <w:pPr>
        <w:ind w:left="4840"/>
        <w:spacing w:after="0" w:line="195" w:lineRule="auto"/>
        <w:rPr>
          <w:sz w:val="20"/>
          <w:szCs w:val="20"/>
          <w:color w:val="auto"/>
        </w:rPr>
      </w:pPr>
      <w:r>
        <w:rPr>
          <w:rFonts w:ascii="Arial" w:cs="Arial" w:eastAsia="Arial" w:hAnsi="Arial"/>
          <w:sz w:val="18"/>
          <w:szCs w:val="18"/>
          <w:color w:val="auto"/>
        </w:rPr>
        <w:t>2 Weizman St. 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4"/>
          <w:szCs w:val="24"/>
          <w:color w:val="auto"/>
        </w:rPr>
      </w:pPr>
    </w:p>
    <w:p>
      <w:pPr>
        <w:jc w:val="center"/>
        <w:ind w:right="-759"/>
        <w:spacing w:after="0"/>
        <w:rPr>
          <w:sz w:val="20"/>
          <w:szCs w:val="20"/>
          <w:color w:val="auto"/>
        </w:rPr>
      </w:pPr>
      <w:r>
        <w:rPr>
          <w:rFonts w:ascii="Arial" w:cs="Arial" w:eastAsia="Arial" w:hAnsi="Arial"/>
          <w:sz w:val="18"/>
          <w:szCs w:val="18"/>
          <w:u w:val="single" w:color="auto"/>
          <w:color w:val="auto"/>
        </w:rPr>
        <w:t>Tel Aviv 6423902 Israel</w:t>
      </w:r>
    </w:p>
    <w:p>
      <w:pPr>
        <w:spacing w:after="0" w:line="7"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Form 20-F x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101(b)(1):_____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101(b)(7):_____</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 </w:t>
      </w:r>
      <w:r>
        <w:rPr>
          <w:rFonts w:ascii="Arial" w:cs="Arial" w:eastAsia="Arial" w:hAnsi="Arial"/>
          <w:sz w:val="18"/>
          <w:szCs w:val="18"/>
          <w:u w:val="single" w:color="auto"/>
          <w:color w:val="auto"/>
        </w:rPr>
        <w:t>___</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Attached hereto and incorporated by reference herein is the registrant's press release issued on November 17,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80"/>
          </w:cols>
          <w:pgMar w:left="240" w:top="476" w:right="979" w:bottom="1440" w:gutter="0" w:footer="0" w:header="0"/>
        </w:sectPr>
      </w:pPr>
    </w:p>
    <w:bookmarkStart w:id="1" w:name="page2"/>
    <w:bookmarkEnd w:id="1"/>
    <w:p>
      <w:pPr>
        <w:ind w:firstLine="648"/>
        <w:spacing w:after="0" w:line="286" w:lineRule="auto"/>
        <w:rPr>
          <w:sz w:val="20"/>
          <w:szCs w:val="20"/>
          <w:color w:val="auto"/>
        </w:rPr>
      </w:pPr>
      <w:r>
        <w:rPr>
          <w:rFonts w:ascii="Arial" w:cs="Arial" w:eastAsia="Arial" w:hAnsi="Arial"/>
          <w:sz w:val="17"/>
          <w:szCs w:val="17"/>
          <w:i w:val="1"/>
          <w:iCs w:val="1"/>
          <w:color w:val="auto"/>
        </w:rPr>
        <w:t>The GAAP financial statements in this Form 6-K of ALCOBRA LTD. are incorporated by reference into the Registration Statements on Form F-3 (File No. 333-197411) and Form S-8 (File No. 333-194875) of the Company, filed with the Securities and Exchange Commission, to be a part thereof from the date on which this report is submitted, to the extent not superseded by documents or reports subsequently filed or furnished.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424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Dr. Yaron Daniely</w:t>
      </w:r>
    </w:p>
    <w:p>
      <w:pPr>
        <w:spacing w:after="0" w:line="23"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Name: Dr. Yaron Daniely</w:t>
      </w:r>
    </w:p>
    <w:p>
      <w:pPr>
        <w:spacing w:after="0" w:line="170"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Chief Executive Officer and President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5999480</wp:posOffset>
            </wp:positionH>
            <wp:positionV relativeFrom="paragraph">
              <wp:posOffset>148590</wp:posOffset>
            </wp:positionV>
            <wp:extent cx="1226185"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618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940" w:type="dxa"/>
            <w:vAlign w:val="bottom"/>
          </w:tcPr>
          <w:p>
            <w:pPr>
              <w:spacing w:after="0"/>
              <w:rPr>
                <w:sz w:val="20"/>
                <w:szCs w:val="20"/>
                <w:color w:val="auto"/>
              </w:rPr>
            </w:pPr>
            <w:r>
              <w:rPr>
                <w:rFonts w:ascii="Arial" w:cs="Arial" w:eastAsia="Arial" w:hAnsi="Arial"/>
                <w:sz w:val="18"/>
                <w:szCs w:val="18"/>
                <w:b w:val="1"/>
                <w:bCs w:val="1"/>
                <w:color w:val="auto"/>
              </w:rPr>
              <w:t>U.S. Investor Contacts</w:t>
            </w:r>
          </w:p>
        </w:tc>
        <w:tc>
          <w:tcPr>
            <w:tcW w:w="3860" w:type="dxa"/>
            <w:vAlign w:val="bottom"/>
          </w:tcPr>
          <w:p>
            <w:pPr>
              <w:ind w:left="960"/>
              <w:spacing w:after="0"/>
              <w:rPr>
                <w:sz w:val="20"/>
                <w:szCs w:val="20"/>
                <w:color w:val="auto"/>
              </w:rPr>
            </w:pPr>
            <w:r>
              <w:rPr>
                <w:rFonts w:ascii="Arial" w:cs="Arial" w:eastAsia="Arial" w:hAnsi="Arial"/>
                <w:sz w:val="18"/>
                <w:szCs w:val="18"/>
                <w:b w:val="1"/>
                <w:bCs w:val="1"/>
                <w:color w:val="auto"/>
              </w:rPr>
              <w:t>Media Inquiries</w:t>
            </w:r>
          </w:p>
        </w:tc>
        <w:tc>
          <w:tcPr>
            <w:tcW w:w="3000" w:type="dxa"/>
            <w:vAlign w:val="bottom"/>
          </w:tcPr>
          <w:p>
            <w:pPr>
              <w:ind w:left="860"/>
              <w:spacing w:after="0"/>
              <w:rPr>
                <w:sz w:val="20"/>
                <w:szCs w:val="20"/>
                <w:color w:val="auto"/>
              </w:rPr>
            </w:pPr>
            <w:r>
              <w:rPr>
                <w:rFonts w:ascii="Arial" w:cs="Arial" w:eastAsia="Arial" w:hAnsi="Arial"/>
                <w:sz w:val="18"/>
                <w:szCs w:val="18"/>
                <w:b w:val="1"/>
                <w:bCs w:val="1"/>
                <w:color w:val="auto"/>
              </w:rPr>
              <w:t>Israel Investor Contact:</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LifeSci Advisors, LLC</w:t>
            </w:r>
          </w:p>
        </w:tc>
        <w:tc>
          <w:tcPr>
            <w:tcW w:w="3860" w:type="dxa"/>
            <w:vAlign w:val="bottom"/>
          </w:tcPr>
          <w:p>
            <w:pPr>
              <w:ind w:left="960"/>
              <w:spacing w:after="0"/>
              <w:rPr>
                <w:sz w:val="20"/>
                <w:szCs w:val="20"/>
                <w:color w:val="auto"/>
              </w:rPr>
            </w:pPr>
            <w:r>
              <w:rPr>
                <w:rFonts w:ascii="Arial" w:cs="Arial" w:eastAsia="Arial" w:hAnsi="Arial"/>
                <w:sz w:val="18"/>
                <w:szCs w:val="18"/>
                <w:color w:val="auto"/>
              </w:rPr>
              <w:t>Sam Brown, Inc.</w:t>
            </w:r>
          </w:p>
        </w:tc>
        <w:tc>
          <w:tcPr>
            <w:tcW w:w="3000" w:type="dxa"/>
            <w:vAlign w:val="bottom"/>
          </w:tcPr>
          <w:p>
            <w:pPr>
              <w:ind w:left="860"/>
              <w:spacing w:after="0"/>
              <w:rPr>
                <w:sz w:val="20"/>
                <w:szCs w:val="20"/>
                <w:color w:val="auto"/>
              </w:rPr>
            </w:pPr>
            <w:r>
              <w:rPr>
                <w:rFonts w:ascii="Arial" w:cs="Arial" w:eastAsia="Arial" w:hAnsi="Arial"/>
                <w:sz w:val="18"/>
                <w:szCs w:val="18"/>
                <w:color w:val="auto"/>
              </w:rPr>
              <w:t>Alcobra Investor Relations</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Michael Rice</w:t>
            </w:r>
          </w:p>
        </w:tc>
        <w:tc>
          <w:tcPr>
            <w:tcW w:w="3860" w:type="dxa"/>
            <w:vAlign w:val="bottom"/>
          </w:tcPr>
          <w:p>
            <w:pPr>
              <w:ind w:left="960"/>
              <w:spacing w:after="0"/>
              <w:rPr>
                <w:sz w:val="20"/>
                <w:szCs w:val="20"/>
                <w:color w:val="auto"/>
              </w:rPr>
            </w:pPr>
            <w:r>
              <w:rPr>
                <w:rFonts w:ascii="Arial" w:cs="Arial" w:eastAsia="Arial" w:hAnsi="Arial"/>
                <w:sz w:val="18"/>
                <w:szCs w:val="18"/>
                <w:color w:val="auto"/>
              </w:rPr>
              <w:t>Mike Beyer</w:t>
            </w:r>
          </w:p>
        </w:tc>
        <w:tc>
          <w:tcPr>
            <w:tcW w:w="3000" w:type="dxa"/>
            <w:vAlign w:val="bottom"/>
          </w:tcPr>
          <w:p>
            <w:pPr>
              <w:ind w:left="860"/>
              <w:spacing w:after="0"/>
              <w:rPr>
                <w:sz w:val="20"/>
                <w:szCs w:val="20"/>
                <w:color w:val="auto"/>
              </w:rPr>
            </w:pPr>
            <w:r>
              <w:rPr>
                <w:rFonts w:ascii="Arial" w:cs="Arial" w:eastAsia="Arial" w:hAnsi="Arial"/>
                <w:sz w:val="18"/>
                <w:szCs w:val="18"/>
                <w:color w:val="auto"/>
              </w:rPr>
              <w:t>Debbie Kaye</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646-597-6979</w:t>
            </w:r>
          </w:p>
        </w:tc>
        <w:tc>
          <w:tcPr>
            <w:tcW w:w="3860" w:type="dxa"/>
            <w:vAlign w:val="bottom"/>
          </w:tcPr>
          <w:p>
            <w:pPr>
              <w:ind w:left="960"/>
              <w:spacing w:after="0"/>
              <w:rPr>
                <w:sz w:val="20"/>
                <w:szCs w:val="20"/>
                <w:color w:val="auto"/>
              </w:rPr>
            </w:pPr>
            <w:r>
              <w:rPr>
                <w:rFonts w:ascii="Arial" w:cs="Arial" w:eastAsia="Arial" w:hAnsi="Arial"/>
                <w:sz w:val="18"/>
                <w:szCs w:val="18"/>
                <w:color w:val="auto"/>
              </w:rPr>
              <w:t>773-463-4211</w:t>
            </w:r>
          </w:p>
        </w:tc>
        <w:tc>
          <w:tcPr>
            <w:tcW w:w="3000" w:type="dxa"/>
            <w:vAlign w:val="bottom"/>
          </w:tcPr>
          <w:p>
            <w:pPr>
              <w:ind w:left="860"/>
              <w:spacing w:after="0"/>
              <w:rPr>
                <w:sz w:val="20"/>
                <w:szCs w:val="20"/>
                <w:color w:val="auto"/>
              </w:rPr>
            </w:pPr>
            <w:r>
              <w:rPr>
                <w:rFonts w:ascii="Arial" w:cs="Arial" w:eastAsia="Arial" w:hAnsi="Arial"/>
                <w:sz w:val="18"/>
                <w:szCs w:val="18"/>
                <w:color w:val="auto"/>
              </w:rPr>
              <w:t>+972-72 2204661</w:t>
            </w: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0000FF"/>
              </w:rPr>
              <w:t>mrice@lifesciadvisors.com</w:t>
            </w:r>
          </w:p>
        </w:tc>
        <w:tc>
          <w:tcPr>
            <w:tcW w:w="3860" w:type="dxa"/>
            <w:vAlign w:val="bottom"/>
          </w:tcPr>
          <w:p>
            <w:pPr>
              <w:ind w:left="960"/>
              <w:spacing w:after="0"/>
              <w:rPr>
                <w:sz w:val="20"/>
                <w:szCs w:val="20"/>
                <w:color w:val="auto"/>
              </w:rPr>
            </w:pPr>
            <w:r>
              <w:rPr>
                <w:rFonts w:ascii="Arial" w:cs="Arial" w:eastAsia="Arial" w:hAnsi="Arial"/>
                <w:sz w:val="18"/>
                <w:szCs w:val="18"/>
                <w:color w:val="0000FF"/>
              </w:rPr>
              <w:t>mikebeyer@sambrown.com</w:t>
            </w:r>
          </w:p>
        </w:tc>
        <w:tc>
          <w:tcPr>
            <w:tcW w:w="3000" w:type="dxa"/>
            <w:vAlign w:val="bottom"/>
          </w:tcPr>
          <w:p>
            <w:pPr>
              <w:ind w:left="860"/>
              <w:spacing w:after="0"/>
              <w:rPr>
                <w:sz w:val="20"/>
                <w:szCs w:val="20"/>
                <w:color w:val="auto"/>
              </w:rPr>
            </w:pPr>
            <w:r>
              <w:rPr>
                <w:rFonts w:ascii="Arial" w:cs="Arial" w:eastAsia="Arial" w:hAnsi="Arial"/>
                <w:sz w:val="18"/>
                <w:szCs w:val="18"/>
                <w:color w:val="0000FF"/>
                <w:w w:val="89"/>
              </w:rPr>
              <w:t>debbie@alcobra-pharma.com</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ALCOBRA ANNOUNCES THIRD QUARTER FINANCIAL RESULTS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PROVIDES CORPORATE UPDATE</w:t>
      </w:r>
    </w:p>
    <w:p>
      <w:pPr>
        <w:spacing w:after="0" w:line="211" w:lineRule="exact"/>
        <w:rPr>
          <w:sz w:val="20"/>
          <w:szCs w:val="20"/>
          <w:color w:val="auto"/>
        </w:rPr>
      </w:pPr>
    </w:p>
    <w:p>
      <w:pPr>
        <w:ind w:left="2000" w:hanging="331"/>
        <w:spacing w:after="0"/>
        <w:tabs>
          <w:tab w:leader="none" w:pos="200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Conference Call &amp; Webcast at 8:30 a.m. Eastern Time/5:30 a.m. Pacific Time</w:t>
      </w:r>
    </w:p>
    <w:p>
      <w:pPr>
        <w:spacing w:after="0" w:line="221"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 xml:space="preserve">Tel Aviv, Israel –November 17, 2014 – </w:t>
      </w:r>
      <w:r>
        <w:rPr>
          <w:rFonts w:ascii="Arial" w:cs="Arial" w:eastAsia="Arial" w:hAnsi="Arial"/>
          <w:sz w:val="18"/>
          <w:szCs w:val="18"/>
          <w:color w:val="auto"/>
        </w:rPr>
        <w:t>Alcobra Ltd. (NasdaqGM: ADHD), an emerging pharmaceutical company focused on the development of new</w:t>
      </w:r>
      <w:r>
        <w:rPr>
          <w:rFonts w:ascii="Arial" w:cs="Arial" w:eastAsia="Arial" w:hAnsi="Arial"/>
          <w:sz w:val="18"/>
          <w:szCs w:val="18"/>
          <w:b w:val="1"/>
          <w:bCs w:val="1"/>
          <w:color w:val="auto"/>
        </w:rPr>
        <w:t xml:space="preserve"> </w:t>
      </w:r>
      <w:r>
        <w:rPr>
          <w:rFonts w:ascii="Arial" w:cs="Arial" w:eastAsia="Arial" w:hAnsi="Arial"/>
          <w:sz w:val="18"/>
          <w:szCs w:val="18"/>
          <w:color w:val="auto"/>
        </w:rPr>
        <w:t>medications to help patients with cognitive disorders, including Attention Deficit Hyperactivity Disorder (ADHD) and Fragile X Syndrome, today announced financial results for the third quarter ended September 30, 2014 and provided a business update.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Ended September 30, 2014 Financial Results:</w:t>
      </w:r>
    </w:p>
    <w:p>
      <w:pPr>
        <w:spacing w:after="0" w:line="27"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Total operating expenses were $10.6 million, compared with $7.8 million in the second quarter of 2014 and $3.1 million in the third quarter of 2013.</w:t>
      </w:r>
    </w:p>
    <w:p>
      <w:pPr>
        <w:spacing w:after="0" w:line="20" w:lineRule="exact"/>
        <w:rPr>
          <w:rFonts w:ascii="Arial" w:cs="Arial" w:eastAsia="Arial" w:hAnsi="Arial"/>
          <w:sz w:val="17"/>
          <w:szCs w:val="17"/>
          <w:color w:val="auto"/>
        </w:rPr>
      </w:pPr>
    </w:p>
    <w:p>
      <w:pPr>
        <w:ind w:left="340" w:right="8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operating expenses, excluding non-cash stock based compensation, were $9.6 million, compared with $6.9 million in the second quarter of 2014 and $2.8 million in the third quarter of 2013.</w:t>
      </w:r>
    </w:p>
    <w:p>
      <w:pPr>
        <w:ind w:left="340" w:right="28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Research and development (R&amp;D) expenses were $8.8 million, compared with $5.9 million in the second quarter of 2014 and $2.1 million in the third quarter of 2013. R&amp;D expenses in the third quarter of 2014 consist primarily of costs associated with the conduct of 3 advanced clinical studies, including the first Phase III study which was recently completed.</w:t>
      </w:r>
    </w:p>
    <w:p>
      <w:pPr>
        <w:spacing w:after="0" w:line="1" w:lineRule="exact"/>
        <w:rPr>
          <w:rFonts w:ascii="Arial" w:cs="Arial" w:eastAsia="Arial" w:hAnsi="Arial"/>
          <w:sz w:val="18"/>
          <w:szCs w:val="18"/>
          <w:color w:val="auto"/>
        </w:rPr>
      </w:pPr>
    </w:p>
    <w:p>
      <w:pPr>
        <w:ind w:left="340" w:right="42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Pre-commercialization expenses were $0.6 million, similar to the second quarter of 2014. Pre-commercialization expenses consist primarily of costs associated with market research and analysis as well as business development.</w:t>
      </w:r>
    </w:p>
    <w:p>
      <w:pPr>
        <w:ind w:left="340" w:hanging="332"/>
        <w:spacing w:after="0"/>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Cash, cash equivalents and short-term deposits totaled $29.4 million at September 30, 2014, compared with $38.9 million at June 30, 2014.</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and Recent Corporate Updates:</w:t>
      </w:r>
    </w:p>
    <w:p>
      <w:pPr>
        <w:spacing w:after="0" w:line="27" w:lineRule="exact"/>
        <w:rPr>
          <w:sz w:val="20"/>
          <w:szCs w:val="20"/>
          <w:color w:val="auto"/>
        </w:rPr>
      </w:pPr>
    </w:p>
    <w:p>
      <w:pPr>
        <w:ind w:left="340" w:right="8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October, the company announced topline data from its first Phase III trial of MDX in adult subjects with ADHD. The results did not show a statistically significant outcome on the Intent to Treat (ITT) population evaluated on the primary endpoint.</w:t>
      </w:r>
    </w:p>
    <w:p>
      <w:pPr>
        <w:ind w:left="340" w:right="28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collection of pre-specified as well as post-hoc analyses presented at the time and subsequently at a major conference provided a consistent signal of efficacy.</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MDX was well-tolerated in the trial, in line with the company’s prior studies.</w:t>
      </w:r>
    </w:p>
    <w:p>
      <w:pPr>
        <w:spacing w:after="0" w:line="9" w:lineRule="exact"/>
        <w:rPr>
          <w:rFonts w:ascii="Arial" w:cs="Arial" w:eastAsia="Arial" w:hAnsi="Arial"/>
          <w:sz w:val="18"/>
          <w:szCs w:val="18"/>
          <w:color w:val="auto"/>
        </w:rPr>
      </w:pPr>
    </w:p>
    <w:p>
      <w:pPr>
        <w:ind w:left="340" w:right="80" w:hanging="332"/>
        <w:spacing w:after="0" w:line="281"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 plans to meet with FDA and launch a second adult Phase III study in 2015. The company is currently evaluating changes to the design and monitoring of the second trial to control the unusually high placebo response and wide response variability observed in the first Phase III study.</w:t>
      </w:r>
    </w:p>
    <w:p>
      <w:pPr>
        <w:spacing w:after="0" w:line="1" w:lineRule="exact"/>
        <w:rPr>
          <w:rFonts w:ascii="Arial" w:cs="Arial" w:eastAsia="Arial" w:hAnsi="Arial"/>
          <w:sz w:val="16"/>
          <w:szCs w:val="16"/>
          <w:color w:val="auto"/>
        </w:rPr>
      </w:pPr>
    </w:p>
    <w:p>
      <w:pPr>
        <w:ind w:left="340" w:right="18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is currently recruiting patients into AL015, its Phase IIb study in adolescents with ADHD. Enrollment is expected to be completed by the end of 2014.</w:t>
      </w:r>
    </w:p>
    <w:p>
      <w:pPr>
        <w:ind w:left="340" w:right="120" w:hanging="332"/>
        <w:spacing w:after="0" w:line="261"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is also recruiting patients into AL014, its Phase IIb study in adolescents and adults with Fragile X Syndrome. Completion of enrollment is expected in the first quarter of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3" w:name="page4"/>
    <w:bookmarkEnd w:id="3"/>
    <w:p>
      <w:pPr>
        <w:ind w:right="400"/>
        <w:spacing w:after="0" w:line="264" w:lineRule="auto"/>
        <w:rPr>
          <w:sz w:val="20"/>
          <w:szCs w:val="20"/>
          <w:color w:val="auto"/>
        </w:rPr>
      </w:pPr>
      <w:r>
        <w:rPr>
          <w:rFonts w:ascii="Arial" w:cs="Arial" w:eastAsia="Arial" w:hAnsi="Arial"/>
          <w:sz w:val="18"/>
          <w:szCs w:val="18"/>
          <w:color w:val="auto"/>
        </w:rPr>
        <w:t>“While we obviously are disappointed with the results of the first Phase III study, we strongly believe in the potential of MDX based on our clinical experience to date," said Dr. Yaron Daniely, President and Chief Executive Officer of Alcobra. "We remain encouraged by the signals of efficacy and the safety profile of the drug, and are confident in our ability to improve the design and execution of future trials”.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&amp; Webcast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Monday, November 17 @ 8:30am Eastern Time/5:30am Pacific Time</w:t>
      </w:r>
    </w:p>
    <w:p>
      <w:pPr>
        <w:spacing w:after="0" w:line="9"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Domestic:</w:t>
      </w:r>
      <w:r>
        <w:rPr>
          <w:sz w:val="20"/>
          <w:szCs w:val="20"/>
          <w:color w:val="auto"/>
        </w:rPr>
        <w:tab/>
      </w:r>
      <w:r>
        <w:rPr>
          <w:rFonts w:ascii="Arial" w:cs="Arial" w:eastAsia="Arial" w:hAnsi="Arial"/>
          <w:sz w:val="18"/>
          <w:szCs w:val="18"/>
          <w:color w:val="auto"/>
        </w:rPr>
        <w:t>855-469-0611</w:t>
      </w:r>
    </w:p>
    <w:p>
      <w:pPr>
        <w:spacing w:after="0" w:line="9"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International:</w:t>
      </w:r>
      <w:r>
        <w:rPr>
          <w:sz w:val="20"/>
          <w:szCs w:val="20"/>
          <w:color w:val="auto"/>
        </w:rPr>
        <w:tab/>
      </w:r>
      <w:r>
        <w:rPr>
          <w:rFonts w:ascii="Arial" w:cs="Arial" w:eastAsia="Arial" w:hAnsi="Arial"/>
          <w:sz w:val="18"/>
          <w:szCs w:val="18"/>
          <w:color w:val="auto"/>
        </w:rPr>
        <w:t>484-756-4341</w:t>
      </w:r>
    </w:p>
    <w:p>
      <w:pPr>
        <w:spacing w:after="0" w:line="9"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Passcode:</w:t>
      </w:r>
      <w:r>
        <w:rPr>
          <w:sz w:val="20"/>
          <w:szCs w:val="20"/>
          <w:color w:val="auto"/>
        </w:rPr>
        <w:tab/>
      </w:r>
      <w:r>
        <w:rPr>
          <w:rFonts w:ascii="Arial" w:cs="Arial" w:eastAsia="Arial" w:hAnsi="Arial"/>
          <w:sz w:val="18"/>
          <w:szCs w:val="18"/>
          <w:color w:val="auto"/>
        </w:rPr>
        <w:t>23967565</w:t>
      </w:r>
    </w:p>
    <w:p>
      <w:pPr>
        <w:spacing w:after="0" w:line="9"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color w:val="auto"/>
        </w:rPr>
        <w:t>Webcast:</w:t>
      </w:r>
      <w:r>
        <w:rPr>
          <w:sz w:val="20"/>
          <w:szCs w:val="20"/>
          <w:color w:val="auto"/>
        </w:rPr>
        <w:tab/>
      </w:r>
      <w:r>
        <w:rPr>
          <w:rFonts w:ascii="Arial" w:cs="Arial" w:eastAsia="Arial" w:hAnsi="Arial"/>
          <w:sz w:val="18"/>
          <w:szCs w:val="18"/>
          <w:color w:val="auto"/>
        </w:rPr>
        <w:t>http://www.alcobra-pharma.com/indexInvestor.cfm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Replays</w:t>
      </w:r>
    </w:p>
    <w:p>
      <w:pPr>
        <w:spacing w:after="0" w:line="23"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Domestic:</w:t>
      </w:r>
      <w:r>
        <w:rPr>
          <w:sz w:val="20"/>
          <w:szCs w:val="20"/>
          <w:color w:val="auto"/>
        </w:rPr>
        <w:tab/>
      </w:r>
      <w:r>
        <w:rPr>
          <w:rFonts w:ascii="Arial" w:cs="Arial" w:eastAsia="Arial" w:hAnsi="Arial"/>
          <w:sz w:val="18"/>
          <w:szCs w:val="18"/>
          <w:color w:val="auto"/>
        </w:rPr>
        <w:t>855-859-2056</w:t>
      </w:r>
    </w:p>
    <w:p>
      <w:pPr>
        <w:spacing w:after="0" w:line="9"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International:</w:t>
      </w:r>
      <w:r>
        <w:rPr>
          <w:sz w:val="20"/>
          <w:szCs w:val="20"/>
          <w:color w:val="auto"/>
        </w:rPr>
        <w:tab/>
      </w:r>
      <w:r>
        <w:rPr>
          <w:rFonts w:ascii="Arial" w:cs="Arial" w:eastAsia="Arial" w:hAnsi="Arial"/>
          <w:sz w:val="18"/>
          <w:szCs w:val="18"/>
          <w:color w:val="auto"/>
        </w:rPr>
        <w:t>404-537-3406</w:t>
      </w:r>
    </w:p>
    <w:p>
      <w:pPr>
        <w:spacing w:after="0" w:line="9"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Passcode:</w:t>
      </w:r>
      <w:r>
        <w:rPr>
          <w:sz w:val="20"/>
          <w:szCs w:val="20"/>
          <w:color w:val="auto"/>
        </w:rPr>
        <w:tab/>
      </w:r>
      <w:r>
        <w:rPr>
          <w:rFonts w:ascii="Arial" w:cs="Arial" w:eastAsia="Arial" w:hAnsi="Arial"/>
          <w:sz w:val="18"/>
          <w:szCs w:val="18"/>
          <w:color w:val="auto"/>
        </w:rPr>
        <w:t>23967565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Alcobra Ltd.</w:t>
      </w:r>
    </w:p>
    <w:p>
      <w:pPr>
        <w:spacing w:after="0" w:line="23"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Alcobra Ltd. is an emerging pharmaceutical company primarily focused on the development and commercialization of a proprietary drug candidate, MDX, to treat cognitive disorders including Attention Deficit Hyperactivity Disorder (ADHD) and Fragile X Syndrome. MDX has completed multiple Phase II studies and a Phase III study in adults with ADHD. The company is conducting separate Phase IIb trials in pediatric ADHD and Fragile X Syndrome. For more information please visit the Company's website, www.alcobra-pharma.com, the content of which is not incorporated herein by reference.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press release contains forward-looking statements within the meaning of the "safe harbor" provisions of the Private Securities Litigation Reform Act of 1995 and other Federal securities laws. Because such statements deal with future events and are based on Alcobra's current expectations, they are subject to various risks and uncertainties and actual results, performance or achievements of Alcobra could differ materially from those described in or implied by the statements in this press release. For example, forward-looking statements include statements regarding expected enrollment and completion of clinical studies, as well as timing of providing data analysis, timing of meeting with the FDA and launch of a second Phase III study, if such meeting and launch actually occur, and our ability to better design future studies and reduce high placebo response. In addition, historic results of scientific research do not guarantee that the conclusions of future research would not suggest different conclusions or that historic results referred to in this press release would be interpreted differently in light of additional research or otherwise. The forward-looking statements contained or implied in this press release are subject to other risks and uncertainties, including those discussed under the heading "Risk Factors" in Alcobra Ltd.'s Annual Report on Form 20-F for the fiscal year ended December 31, 2013 filed with the Securities and Exchange Commission (SEC) and in subsequent filings with the SEC. Except as otherwise required by law, Alcobra disclaims any intention or obligation to update or revise any forward-looking statements, which speak only as of the date hereof, whether as a result of new information, future events or circumstances or otherwise.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Alcobra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0" w:type="dxa"/>
            <w:vAlign w:val="bottom"/>
            <w:gridSpan w:val="6"/>
          </w:tcPr>
          <w:p>
            <w:pPr>
              <w:jc w:val="right"/>
              <w:ind w:right="1000"/>
              <w:spacing w:after="0"/>
              <w:rPr>
                <w:sz w:val="20"/>
                <w:szCs w:val="20"/>
                <w:color w:val="auto"/>
              </w:rPr>
            </w:pPr>
            <w:r>
              <w:rPr>
                <w:rFonts w:ascii="Arial" w:cs="Arial" w:eastAsia="Arial" w:hAnsi="Arial"/>
                <w:sz w:val="18"/>
                <w:szCs w:val="18"/>
                <w:color w:val="auto"/>
              </w:rPr>
              <w:t>Three Months Ended</w:t>
            </w:r>
          </w:p>
        </w:tc>
        <w:tc>
          <w:tcPr>
            <w:tcW w:w="2660" w:type="dxa"/>
            <w:vAlign w:val="bottom"/>
            <w:gridSpan w:val="5"/>
          </w:tcPr>
          <w:p>
            <w:pPr>
              <w:jc w:val="right"/>
              <w:ind w:right="74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640" w:type="dxa"/>
            <w:vAlign w:val="bottom"/>
            <w:tcBorders>
              <w:top w:val="single" w:sz="8" w:color="auto"/>
              <w:bottom w:val="single" w:sz="8" w:color="auto"/>
            </w:tcBorders>
            <w:gridSpan w:val="4"/>
          </w:tcPr>
          <w:p>
            <w:pPr>
              <w:jc w:val="right"/>
              <w:ind w:right="790"/>
              <w:spacing w:after="0"/>
              <w:rPr>
                <w:sz w:val="20"/>
                <w:szCs w:val="20"/>
                <w:color w:val="auto"/>
              </w:rPr>
            </w:pPr>
            <w:r>
              <w:rPr>
                <w:rFonts w:ascii="Arial" w:cs="Arial" w:eastAsia="Arial" w:hAnsi="Arial"/>
                <w:sz w:val="18"/>
                <w:szCs w:val="18"/>
                <w:color w:val="auto"/>
              </w:rPr>
              <w:t>September 30,</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560" w:type="dxa"/>
            <w:vAlign w:val="bottom"/>
            <w:tcBorders>
              <w:top w:val="single" w:sz="8" w:color="auto"/>
              <w:bottom w:val="single" w:sz="8" w:color="auto"/>
            </w:tcBorders>
            <w:gridSpan w:val="4"/>
          </w:tcPr>
          <w:p>
            <w:pPr>
              <w:jc w:val="right"/>
              <w:ind w:right="750"/>
              <w:spacing w:after="0"/>
              <w:rPr>
                <w:sz w:val="20"/>
                <w:szCs w:val="20"/>
                <w:color w:val="auto"/>
              </w:rPr>
            </w:pPr>
            <w:r>
              <w:rPr>
                <w:rFonts w:ascii="Arial" w:cs="Arial" w:eastAsia="Arial" w:hAnsi="Arial"/>
                <w:sz w:val="18"/>
                <w:szCs w:val="18"/>
                <w:color w:val="auto"/>
              </w:rPr>
              <w:t>September 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2014</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2014</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w w:val="96"/>
              </w:rPr>
              <w:t>(unaudited)</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w w:val="96"/>
              </w:rPr>
              <w:t>(unaudited)</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w w:val="94"/>
              </w:rPr>
              <w:t>(unaudited)</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w w:val="94"/>
              </w:rPr>
              <w:t>(unaudited)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2,067</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20,197</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Pre commercialization expenses</w:t>
            </w:r>
          </w:p>
        </w:tc>
        <w:tc>
          <w:tcPr>
            <w:tcW w:w="1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562</w:t>
            </w:r>
          </w:p>
        </w:tc>
        <w:tc>
          <w:tcPr>
            <w:tcW w:w="1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1,651</w:t>
            </w: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1,069</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4,403</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10,585</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3,136</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26,251</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 (income), net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Loss before taxes on income</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10,526</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3,128</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26,057</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Taxes on income</w:t>
            </w: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loss attributable to holders of Ordinary shares</w:t>
            </w:r>
          </w:p>
        </w:tc>
        <w:tc>
          <w:tcPr>
            <w:tcW w:w="140" w:type="dxa"/>
            <w:vAlign w:val="bottom"/>
          </w:tcPr>
          <w:p>
            <w:pPr>
              <w:spacing w:after="0"/>
              <w:rPr>
                <w:sz w:val="24"/>
                <w:szCs w:val="24"/>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10,486</w:t>
            </w:r>
          </w:p>
        </w:tc>
        <w:tc>
          <w:tcPr>
            <w:tcW w:w="16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3,128</w:t>
            </w:r>
          </w:p>
        </w:tc>
        <w:tc>
          <w:tcPr>
            <w:tcW w:w="14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26,032</w:t>
            </w:r>
          </w:p>
        </w:tc>
        <w:tc>
          <w:tcPr>
            <w:tcW w:w="160" w:type="dxa"/>
            <w:vAlign w:val="bottom"/>
          </w:tcPr>
          <w:p>
            <w:pPr>
              <w:spacing w:after="0"/>
              <w:rPr>
                <w:sz w:val="24"/>
                <w:szCs w:val="2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4,844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basic and diluted loss per share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3"/>
          </w:tcPr>
          <w:p>
            <w:pPr>
              <w:jc w:val="right"/>
              <w:ind w:right="60"/>
              <w:spacing w:after="0"/>
              <w:rPr>
                <w:sz w:val="20"/>
                <w:szCs w:val="20"/>
                <w:color w:val="auto"/>
              </w:rPr>
            </w:pPr>
            <w:r>
              <w:rPr>
                <w:rFonts w:ascii="Arial" w:cs="Arial" w:eastAsia="Arial" w:hAnsi="Arial"/>
                <w:sz w:val="18"/>
                <w:szCs w:val="18"/>
                <w:color w:val="auto"/>
              </w:rPr>
              <w:t>(0.77)  $</w:t>
            </w:r>
          </w:p>
        </w:tc>
        <w:tc>
          <w:tcPr>
            <w:tcW w:w="1480" w:type="dxa"/>
            <w:vAlign w:val="bottom"/>
            <w:gridSpan w:val="3"/>
          </w:tcPr>
          <w:p>
            <w:pPr>
              <w:jc w:val="right"/>
              <w:ind w:right="60"/>
              <w:spacing w:after="0"/>
              <w:rPr>
                <w:sz w:val="20"/>
                <w:szCs w:val="20"/>
                <w:color w:val="auto"/>
              </w:rPr>
            </w:pPr>
            <w:r>
              <w:rPr>
                <w:rFonts w:ascii="Arial" w:cs="Arial" w:eastAsia="Arial" w:hAnsi="Arial"/>
                <w:sz w:val="18"/>
                <w:szCs w:val="18"/>
                <w:color w:val="auto"/>
              </w:rPr>
              <w:t>(0.28)  $</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(1.90)  $</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0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w w:val="93"/>
              </w:rPr>
              <w:t>Weighted average number of Ordinary shares used in computing basic and</w:t>
            </w:r>
          </w:p>
        </w:tc>
        <w:tc>
          <w:tcPr>
            <w:tcW w:w="1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diluted net loss per share</w:t>
            </w:r>
          </w:p>
        </w:tc>
        <w:tc>
          <w:tcPr>
            <w:tcW w:w="14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13,696,525</w:t>
            </w:r>
          </w:p>
        </w:tc>
        <w:tc>
          <w:tcPr>
            <w:tcW w:w="16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11,128,001</w:t>
            </w:r>
          </w:p>
        </w:tc>
        <w:tc>
          <w:tcPr>
            <w:tcW w:w="14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13,665,459</w:t>
            </w:r>
          </w:p>
        </w:tc>
        <w:tc>
          <w:tcPr>
            <w:tcW w:w="1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9,320,696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Alcobra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4760" w:type="dxa"/>
            <w:vAlign w:val="bottom"/>
            <w:gridSpan w:val="2"/>
          </w:tcPr>
          <w:p>
            <w:pPr>
              <w:jc w:val="right"/>
              <w:ind w:right="2640"/>
              <w:spacing w:after="0"/>
              <w:rPr>
                <w:sz w:val="20"/>
                <w:szCs w:val="20"/>
                <w:color w:val="auto"/>
              </w:rPr>
            </w:pPr>
            <w:r>
              <w:rPr>
                <w:rFonts w:ascii="Arial" w:cs="Arial" w:eastAsia="Arial" w:hAnsi="Arial"/>
                <w:sz w:val="18"/>
                <w:szCs w:val="18"/>
                <w:b w:val="1"/>
                <w:bCs w:val="1"/>
                <w:color w:val="auto"/>
              </w:rPr>
              <w:t>ASSETS</w:t>
            </w:r>
          </w:p>
        </w:tc>
        <w:tc>
          <w:tcPr>
            <w:tcW w:w="128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88"/>
              </w:rPr>
              <w:t>September 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color w:val="auto"/>
                <w:w w:val="92"/>
              </w:rPr>
              <w:t>(unaudited)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4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2,714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Short-term bank deposits</w:t>
            </w:r>
          </w:p>
        </w:tc>
        <w:tc>
          <w:tcPr>
            <w:tcW w:w="4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Receivables and prepaid expenses</w:t>
            </w:r>
          </w:p>
        </w:tc>
        <w:tc>
          <w:tcPr>
            <w:tcW w:w="46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4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30,652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4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Other long-term assets</w:t>
            </w: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4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assets</w:t>
            </w:r>
          </w:p>
        </w:tc>
        <w:tc>
          <w:tcPr>
            <w:tcW w:w="4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30,863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5240" w:type="dxa"/>
            <w:vAlign w:val="bottom"/>
            <w:gridSpan w:val="2"/>
          </w:tcPr>
          <w:p>
            <w:pPr>
              <w:jc w:val="right"/>
              <w:ind w:right="2500"/>
              <w:spacing w:after="0"/>
              <w:rPr>
                <w:sz w:val="20"/>
                <w:szCs w:val="20"/>
                <w:color w:val="auto"/>
              </w:rPr>
            </w:pPr>
            <w:r>
              <w:rPr>
                <w:rFonts w:ascii="Arial" w:cs="Arial" w:eastAsia="Arial" w:hAnsi="Arial"/>
                <w:sz w:val="18"/>
                <w:szCs w:val="18"/>
                <w:b w:val="1"/>
                <w:bCs w:val="1"/>
                <w:color w:val="auto"/>
              </w:rPr>
              <w:t>LIABILITIES AND</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40" w:type="dxa"/>
            <w:vAlign w:val="bottom"/>
            <w:gridSpan w:val="2"/>
            <w:vMerge w:val="restart"/>
          </w:tcPr>
          <w:p>
            <w:pPr>
              <w:spacing w:after="0"/>
              <w:rPr>
                <w:sz w:val="20"/>
                <w:szCs w:val="20"/>
                <w:color w:val="auto"/>
              </w:rPr>
            </w:pPr>
            <w:r>
              <w:rPr>
                <w:rFonts w:ascii="Arial" w:cs="Arial" w:eastAsia="Arial" w:hAnsi="Arial"/>
                <w:sz w:val="18"/>
                <w:szCs w:val="18"/>
                <w:color w:val="auto"/>
              </w:rPr>
              <w:t>Current liabilities:</w:t>
            </w:r>
          </w:p>
        </w:tc>
        <w:tc>
          <w:tcPr>
            <w:tcW w:w="5240" w:type="dxa"/>
            <w:vAlign w:val="bottom"/>
            <w:gridSpan w:val="2"/>
          </w:tcPr>
          <w:p>
            <w:pPr>
              <w:jc w:val="right"/>
              <w:ind w:right="2100"/>
              <w:spacing w:after="0"/>
              <w:rPr>
                <w:sz w:val="20"/>
                <w:szCs w:val="20"/>
                <w:color w:val="auto"/>
              </w:rPr>
            </w:pPr>
            <w:r>
              <w:rPr>
                <w:rFonts w:ascii="Arial" w:cs="Arial" w:eastAsia="Arial" w:hAnsi="Arial"/>
                <w:sz w:val="18"/>
                <w:szCs w:val="18"/>
                <w:b w:val="1"/>
                <w:bCs w:val="1"/>
                <w:color w:val="auto"/>
              </w:rPr>
              <w:t>SHAREHOLDERS’ EQUITY</w:t>
            </w: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40" w:type="dxa"/>
            <w:vAlign w:val="bottom"/>
            <w:gridSpan w:val="2"/>
            <w:vMerge w:val="continue"/>
          </w:tcPr>
          <w:p>
            <w:pPr>
              <w:spacing w:after="0"/>
              <w:rPr>
                <w:sz w:val="18"/>
                <w:szCs w:val="18"/>
                <w:color w:val="auto"/>
              </w:rPr>
            </w:pPr>
          </w:p>
        </w:tc>
        <w:tc>
          <w:tcPr>
            <w:tcW w:w="4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5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1,532</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Accrued expenses and other liabilities</w:t>
            </w:r>
          </w:p>
        </w:tc>
        <w:tc>
          <w:tcPr>
            <w:tcW w:w="48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3,373</w:t>
            </w:r>
          </w:p>
        </w:tc>
        <w:tc>
          <w:tcPr>
            <w:tcW w:w="2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48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4,905</w:t>
            </w: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4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Ordinary shares</w:t>
            </w:r>
          </w:p>
        </w:tc>
        <w:tc>
          <w:tcPr>
            <w:tcW w:w="4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4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70,685</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Accumulated deficit</w:t>
            </w:r>
          </w:p>
        </w:tc>
        <w:tc>
          <w:tcPr>
            <w:tcW w:w="4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(44,766)</w:t>
            </w:r>
          </w:p>
        </w:tc>
        <w:tc>
          <w:tcPr>
            <w:tcW w:w="4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(18,734)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20" w:type="dxa"/>
            <w:vAlign w:val="bottom"/>
            <w:tcBorders>
              <w:top w:val="single" w:sz="8" w:color="CCEEFF"/>
            </w:tcBorders>
            <w:shd w:val="clear" w:color="auto" w:fill="CCEEFF"/>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4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25,958</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48,688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20" w:type="dxa"/>
            <w:vAlign w:val="bottom"/>
            <w:tcBorders>
              <w:top w:val="single" w:sz="8" w:color="CCEEFF"/>
            </w:tcBorders>
            <w:shd w:val="clear" w:color="auto" w:fill="CCEEFF"/>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5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30,863</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50,324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Alcobra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Cash Flow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gridSpan w:val="6"/>
          </w:tcPr>
          <w:p>
            <w:pPr>
              <w:jc w:val="right"/>
              <w:ind w:right="780"/>
              <w:spacing w:after="0"/>
              <w:rPr>
                <w:sz w:val="20"/>
                <w:szCs w:val="20"/>
                <w:color w:val="auto"/>
              </w:rPr>
            </w:pPr>
            <w:r>
              <w:rPr>
                <w:rFonts w:ascii="Arial" w:cs="Arial" w:eastAsia="Arial" w:hAnsi="Arial"/>
                <w:sz w:val="18"/>
                <w:szCs w:val="18"/>
                <w:color w:val="auto"/>
              </w:rPr>
              <w:t>Three Months Ended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60" w:type="dxa"/>
            <w:vAlign w:val="bottom"/>
            <w:gridSpan w:val="7"/>
          </w:tcPr>
          <w:p>
            <w:pPr>
              <w:jc w:val="right"/>
              <w:ind w:right="74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640" w:type="dxa"/>
            <w:vAlign w:val="bottom"/>
            <w:tcBorders>
              <w:top w:val="single" w:sz="8" w:color="auto"/>
              <w:bottom w:val="single" w:sz="8" w:color="auto"/>
            </w:tcBorders>
            <w:gridSpan w:val="5"/>
          </w:tcPr>
          <w:p>
            <w:pPr>
              <w:jc w:val="right"/>
              <w:ind w:right="790"/>
              <w:spacing w:after="0"/>
              <w:rPr>
                <w:sz w:val="20"/>
                <w:szCs w:val="20"/>
                <w:color w:val="auto"/>
              </w:rPr>
            </w:pPr>
            <w:r>
              <w:rPr>
                <w:rFonts w:ascii="Arial" w:cs="Arial" w:eastAsia="Arial" w:hAnsi="Arial"/>
                <w:sz w:val="18"/>
                <w:szCs w:val="18"/>
                <w:color w:val="auto"/>
              </w:rPr>
              <w:t>September 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560" w:type="dxa"/>
            <w:vAlign w:val="bottom"/>
            <w:tcBorders>
              <w:top w:val="single" w:sz="8" w:color="auto"/>
              <w:bottom w:val="single" w:sz="8" w:color="auto"/>
            </w:tcBorders>
            <w:gridSpan w:val="5"/>
          </w:tcPr>
          <w:p>
            <w:pPr>
              <w:jc w:val="right"/>
              <w:ind w:right="750"/>
              <w:spacing w:after="0"/>
              <w:rPr>
                <w:sz w:val="20"/>
                <w:szCs w:val="20"/>
                <w:color w:val="auto"/>
              </w:rPr>
            </w:pPr>
            <w:r>
              <w:rPr>
                <w:rFonts w:ascii="Arial" w:cs="Arial" w:eastAsia="Arial" w:hAnsi="Arial"/>
                <w:sz w:val="18"/>
                <w:szCs w:val="18"/>
                <w:color w:val="auto"/>
              </w:rPr>
              <w:t>September 30,</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620" w:type="dxa"/>
            <w:vAlign w:val="bottom"/>
            <w:gridSpan w:val="5"/>
            <w:vMerge w:val="restart"/>
          </w:tcPr>
          <w:p>
            <w:pPr>
              <w:spacing w:after="0"/>
              <w:rPr>
                <w:sz w:val="20"/>
                <w:szCs w:val="20"/>
                <w:color w:val="auto"/>
              </w:rPr>
            </w:pPr>
            <w:r>
              <w:rPr>
                <w:rFonts w:ascii="Arial" w:cs="Arial" w:eastAsia="Arial" w:hAnsi="Arial"/>
                <w:sz w:val="18"/>
                <w:szCs w:val="18"/>
                <w:color w:val="auto"/>
              </w:rPr>
              <w:t>Cash flow from operating activities:</w:t>
            </w:r>
          </w:p>
        </w:tc>
        <w:tc>
          <w:tcPr>
            <w:tcW w:w="14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w w:val="96"/>
              </w:rPr>
              <w:t>(unaudited)</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w w:val="96"/>
              </w:rPr>
              <w:t>(unaudited)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w w:val="94"/>
              </w:rPr>
              <w:t>(unaudited)</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w w:val="94"/>
              </w:rPr>
              <w:t>(unaudited)</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562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25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(10,486)</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(3,128)</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(26,032)</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gridSpan w:val="4"/>
          </w:tcPr>
          <w:p>
            <w:pPr>
              <w:spacing w:after="0" w:line="201" w:lineRule="exact"/>
              <w:rPr>
                <w:sz w:val="20"/>
                <w:szCs w:val="20"/>
                <w:color w:val="auto"/>
              </w:rPr>
            </w:pPr>
            <w:r>
              <w:rPr>
                <w:rFonts w:ascii="Arial" w:cs="Arial" w:eastAsia="Arial" w:hAnsi="Arial"/>
                <w:sz w:val="18"/>
                <w:szCs w:val="18"/>
                <w:color w:val="auto"/>
              </w:rPr>
              <w:t>Adjustments to reconcile net income to net cash used in operating</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gridSpan w:val="5"/>
          </w:tcPr>
          <w:p>
            <w:pPr>
              <w:spacing w:after="0"/>
              <w:rPr>
                <w:sz w:val="20"/>
                <w:szCs w:val="20"/>
                <w:color w:val="auto"/>
              </w:rPr>
            </w:pPr>
            <w:r>
              <w:rPr>
                <w:rFonts w:ascii="Arial" w:cs="Arial" w:eastAsia="Arial" w:hAnsi="Arial"/>
                <w:sz w:val="18"/>
                <w:szCs w:val="18"/>
                <w:color w:val="auto"/>
              </w:rPr>
              <w:t>activities:</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Depreciation</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4"/>
          </w:tcPr>
          <w:p>
            <w:pPr>
              <w:spacing w:after="0"/>
              <w:rPr>
                <w:sz w:val="20"/>
                <w:szCs w:val="20"/>
                <w:color w:val="auto"/>
              </w:rPr>
            </w:pPr>
            <w:r>
              <w:rPr>
                <w:rFonts w:ascii="Arial" w:cs="Arial" w:eastAsia="Arial" w:hAnsi="Arial"/>
                <w:sz w:val="18"/>
                <w:szCs w:val="18"/>
                <w:color w:val="auto"/>
              </w:rPr>
              <w:t>Interest on convertible notes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3,302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4"/>
          </w:tcPr>
          <w:p>
            <w:pPr>
              <w:spacing w:after="0"/>
              <w:rPr>
                <w:sz w:val="20"/>
                <w:szCs w:val="20"/>
                <w:color w:val="auto"/>
              </w:rPr>
            </w:pPr>
            <w:r>
              <w:rPr>
                <w:rFonts w:ascii="Arial" w:cs="Arial" w:eastAsia="Arial" w:hAnsi="Arial"/>
                <w:sz w:val="18"/>
                <w:szCs w:val="18"/>
                <w:color w:val="auto"/>
              </w:rPr>
              <w:t>Gain from sale of property and equipment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Change in operating assets and liabilities: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4"/>
          </w:tcPr>
          <w:p>
            <w:pPr>
              <w:ind w:left="80"/>
              <w:spacing w:after="0"/>
              <w:rPr>
                <w:sz w:val="20"/>
                <w:szCs w:val="20"/>
                <w:color w:val="auto"/>
              </w:rPr>
            </w:pPr>
            <w:r>
              <w:rPr>
                <w:rFonts w:ascii="Arial" w:cs="Arial" w:eastAsia="Arial" w:hAnsi="Arial"/>
                <w:sz w:val="18"/>
                <w:szCs w:val="18"/>
                <w:color w:val="auto"/>
              </w:rPr>
              <w:t>Receivables and prepaid expenses</w:t>
            </w: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(1,099)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Other long-term assets</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4"/>
          </w:tcPr>
          <w:p>
            <w:pPr>
              <w:ind w:left="80"/>
              <w:spacing w:after="0"/>
              <w:rPr>
                <w:sz w:val="20"/>
                <w:szCs w:val="20"/>
                <w:color w:val="auto"/>
              </w:rPr>
            </w:pPr>
            <w:r>
              <w:rPr>
                <w:rFonts w:ascii="Arial" w:cs="Arial" w:eastAsia="Arial" w:hAnsi="Arial"/>
                <w:sz w:val="18"/>
                <w:szCs w:val="18"/>
                <w:color w:val="auto"/>
              </w:rPr>
              <w:t>Trade payables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1,485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Accrued expenses and other liabilities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1,784</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(1,992)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(20,585)</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6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Cash flow from investing activities:</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5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4"/>
          </w:tcPr>
          <w:p>
            <w:pPr>
              <w:spacing w:after="0"/>
              <w:rPr>
                <w:sz w:val="20"/>
                <w:szCs w:val="20"/>
                <w:color w:val="auto"/>
              </w:rPr>
            </w:pPr>
            <w:r>
              <w:rPr>
                <w:rFonts w:ascii="Arial" w:cs="Arial" w:eastAsia="Arial" w:hAnsi="Arial"/>
                <w:sz w:val="18"/>
                <w:szCs w:val="18"/>
                <w:color w:val="auto"/>
              </w:rPr>
              <w:t>Purchase of property and equipment</w:t>
            </w: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Decrease in long-term deposit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4"/>
          </w:tcPr>
          <w:p>
            <w:pPr>
              <w:spacing w:after="0"/>
              <w:rPr>
                <w:sz w:val="20"/>
                <w:szCs w:val="20"/>
                <w:color w:val="auto"/>
              </w:rPr>
            </w:pPr>
            <w:r>
              <w:rPr>
                <w:rFonts w:ascii="Arial" w:cs="Arial" w:eastAsia="Arial" w:hAnsi="Arial"/>
                <w:sz w:val="18"/>
                <w:szCs w:val="18"/>
                <w:color w:val="auto"/>
              </w:rPr>
              <w:t>Investment in (proceeds from) short-term bank deposit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5,301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(11,000)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1,284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4"/>
          </w:tcPr>
          <w:p>
            <w:pPr>
              <w:spacing w:after="0"/>
              <w:rPr>
                <w:sz w:val="20"/>
                <w:szCs w:val="20"/>
                <w:color w:val="auto"/>
              </w:rPr>
            </w:pPr>
            <w:r>
              <w:rPr>
                <w:rFonts w:ascii="Arial" w:cs="Arial" w:eastAsia="Arial" w:hAnsi="Arial"/>
                <w:sz w:val="18"/>
                <w:szCs w:val="18"/>
                <w:color w:val="auto"/>
              </w:rPr>
              <w:t>Net cash (used in) provided by investing activities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5,293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(11,061)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1,204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(15,068)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600" w:type="dxa"/>
            <w:vAlign w:val="bottom"/>
            <w:gridSpan w:val="4"/>
          </w:tcPr>
          <w:p>
            <w:pPr>
              <w:spacing w:after="0" w:line="176" w:lineRule="exact"/>
              <w:rPr>
                <w:sz w:val="20"/>
                <w:szCs w:val="20"/>
                <w:color w:val="auto"/>
              </w:rPr>
            </w:pPr>
            <w:r>
              <w:rPr>
                <w:rFonts w:ascii="Arial" w:cs="Arial" w:eastAsia="Arial" w:hAnsi="Arial"/>
                <w:sz w:val="18"/>
                <w:szCs w:val="18"/>
                <w:color w:val="auto"/>
              </w:rPr>
              <w:t>Cash flow from financing activities:</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5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Issuance of share capital upon initial public offering</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Proceeds from issuance of convertible notes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5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22,035</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(13,053)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(19,381)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6,912</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17,593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22,095</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w:t>
            </w:r>
          </w:p>
        </w:tc>
        <w:tc>
          <w:tcPr>
            <w:tcW w:w="16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4,540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2,714</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4,540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6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Supplemental disclosure of non-cash activities:</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5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gridSpan w:val="4"/>
          </w:tcPr>
          <w:p>
            <w:pPr>
              <w:spacing w:after="0"/>
              <w:rPr>
                <w:sz w:val="20"/>
                <w:szCs w:val="20"/>
                <w:color w:val="auto"/>
              </w:rPr>
            </w:pPr>
            <w:r>
              <w:rPr>
                <w:rFonts w:ascii="Arial" w:cs="Arial" w:eastAsia="Arial" w:hAnsi="Arial"/>
                <w:sz w:val="18"/>
                <w:szCs w:val="18"/>
                <w:color w:val="auto"/>
              </w:rPr>
              <w:t>Issuance of ordinary shares upon conversion of convertible notes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979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2019-12-08T06:01:56Z</dcterms:created>
  <dcterms:modified xsi:type="dcterms:W3CDTF">2019-12-08T06:01:56Z</dcterms:modified>
</cp:coreProperties>
</file>