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18874_8k-arct.htm"/>
      <w:bookmarkStart w:id="1" w:name="kse618874_8karc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Washington, D.C. 20549</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 </w:t>
      </w:r>
      <w:bookmarkStart w:id="2" w:name="xdx_901_edei--DocumentType_c20230810__20"/>
      <w:bookmarkEnd w:id="2"/>
      <w:r>
        <w:rPr>
          <w:rFonts w:ascii="Times New Roman;Times;Serif" w:hAnsi="Times New Roman;Times;Serif"/>
          <w:b/>
          <w:i w:val="false"/>
          <w:caps w:val="false"/>
          <w:smallCaps w:val="false"/>
          <w:color w:val="212529"/>
          <w:sz w:val="20"/>
        </w:rPr>
        <w:t>8-K</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of the Securities Exchange Act of 1934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Date of Report (Date of earliest event reported): </w:t>
      </w:r>
      <w:bookmarkStart w:id="3" w:name="xdx_906_edei--DocumentPeriodEndDate_c202"/>
      <w:bookmarkEnd w:id="3"/>
      <w:r>
        <w:rPr>
          <w:rFonts w:ascii="Times New Roman;Times;Serif" w:hAnsi="Times New Roman;Times;Serif"/>
          <w:b/>
          <w:i w:val="false"/>
          <w:caps w:val="false"/>
          <w:smallCaps w:val="false"/>
          <w:color w:val="212529"/>
          <w:sz w:val="20"/>
        </w:rPr>
        <w:t>August 10, 2023</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36"/>
        </w:rPr>
      </w:pPr>
      <w:bookmarkStart w:id="4" w:name="xdx_900_edei--EntityRegistrantName_c2023"/>
      <w:bookmarkEnd w:id="4"/>
      <w:r>
        <w:rPr>
          <w:rFonts w:ascii="Times New Roman;Times;Serif" w:hAnsi="Times New Roman;Times;Serif"/>
          <w:b/>
          <w:i w:val="false"/>
          <w:caps w:val="false"/>
          <w:smallCaps w:val="false"/>
          <w:color w:val="212529"/>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(Exact name of registrant as specified in its charter)</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rPr>
            </w:pPr>
            <w:bookmarkStart w:id="5" w:name="xdx_908_edei--EntityIncorporationStateCo"/>
            <w:bookmarkEnd w:id="5"/>
            <w:r>
              <w:rPr>
                <w:rFonts w:ascii="Times New Roman;Times;Serif" w:hAnsi="Times New Roman;Times;Serif"/>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rPr>
            </w:pPr>
            <w:bookmarkStart w:id="6" w:name="xdx_909_edei--EntityFileNumber_c20230810"/>
            <w:bookmarkEnd w:id="6"/>
            <w:r>
              <w:rPr>
                <w:rFonts w:ascii="Times New Roman;Times;Serif" w:hAnsi="Times New Roman;Times;Serif"/>
                <w:b/>
              </w:rPr>
              <w:t>001-38942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rPr>
            </w:pPr>
            <w:bookmarkStart w:id="7" w:name="xdx_901_edei--EntityTaxIdentificationNum"/>
            <w:bookmarkEnd w:id="7"/>
            <w:r>
              <w:rPr>
                <w:rFonts w:ascii="Times New Roman;Times;Serif" w:hAnsi="Times New Roman;Times;Serif"/>
                <w:b/>
              </w:rPr>
              <w:t>32-0595345</w:t>
            </w:r>
          </w:p>
        </w:tc>
      </w:tr>
      <w:tr>
        <w:trPr/>
        <w:tc>
          <w:tcPr>
            <w:tcW w:w="272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(I.R.S. Employer</w:t>
              <w:br/>
              <w:t>Identification No.)</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8" w:name="xdx_90B_edei--EntityAddressAddressLine1_"/>
      <w:bookmarkEnd w:id="8"/>
      <w:r>
        <w:rPr>
          <w:rFonts w:ascii="Times New Roman;Times;Serif" w:hAnsi="Times New Roman;Times;Serif"/>
          <w:b/>
          <w:i w:val="false"/>
          <w:caps w:val="false"/>
          <w:smallCaps w:val="false"/>
          <w:color w:val="212529"/>
          <w:sz w:val="20"/>
        </w:rPr>
        <w:t>10628 Science Center Drive,</w:t>
      </w:r>
      <w:bookmarkStart w:id="9" w:name="xdx_908_edei--EntityAddressAddressLine2_"/>
      <w:bookmarkEnd w:id="9"/>
      <w:r>
        <w:rPr>
          <w:rFonts w:ascii="Times New Roman;Times;Serif" w:hAnsi="Times New Roman;Times;Serif"/>
          <w:b/>
          <w:i w:val="false"/>
          <w:caps w:val="false"/>
          <w:smallCaps w:val="false"/>
          <w:color w:val="212529"/>
          <w:sz w:val="20"/>
        </w:rPr>
        <w:t> Suite 250</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10" w:name="xdx_90A_edei--EntityAddressCityOrTown_c2"/>
      <w:bookmarkEnd w:id="10"/>
      <w:r>
        <w:rPr>
          <w:rFonts w:ascii="Times New Roman;Times;Serif" w:hAnsi="Times New Roman;Times;Serif"/>
          <w:b/>
          <w:i w:val="false"/>
          <w:caps w:val="false"/>
          <w:smallCaps w:val="false"/>
          <w:color w:val="212529"/>
          <w:sz w:val="20"/>
        </w:rPr>
        <w:t>San Diego, </w:t>
      </w:r>
      <w:bookmarkStart w:id="11" w:name="xdx_901_edei--EntityAddressStateOrProvin"/>
      <w:bookmarkEnd w:id="11"/>
      <w:r>
        <w:rPr>
          <w:rFonts w:ascii="Times New Roman;Times;Serif" w:hAnsi="Times New Roman;Times;Serif"/>
          <w:b/>
          <w:i w:val="false"/>
          <w:caps w:val="false"/>
          <w:smallCaps w:val="false"/>
          <w:color w:val="212529"/>
          <w:sz w:val="20"/>
        </w:rPr>
        <w:t>California </w:t>
      </w:r>
      <w:bookmarkStart w:id="12" w:name="xdx_904_edei--EntityAddressPostalZipCode"/>
      <w:bookmarkEnd w:id="12"/>
      <w:r>
        <w:rPr>
          <w:rFonts w:ascii="Times New Roman;Times;Serif" w:hAnsi="Times New Roman;Times;Serif"/>
          <w:b/>
          <w:i w:val="false"/>
          <w:caps w:val="false"/>
          <w:smallCaps w:val="false"/>
          <w:color w:val="212529"/>
          <w:sz w:val="20"/>
        </w:rPr>
        <w:t>92121</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(Address of principal executive offices)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Registrant’s telephone number, including area code: </w:t>
      </w:r>
      <w:bookmarkStart w:id="13" w:name="xdx_90E_edei--CityAreaCode_c20230810__20"/>
      <w:bookmarkEnd w:id="13"/>
      <w:r>
        <w:rPr>
          <w:rFonts w:ascii="Times New Roman;Times;Serif" w:hAnsi="Times New Roman;Times;Serif"/>
          <w:b/>
          <w:i w:val="false"/>
          <w:caps w:val="false"/>
          <w:smallCaps w:val="false"/>
          <w:color w:val="212529"/>
          <w:sz w:val="20"/>
        </w:rPr>
        <w:t>(858) </w:t>
      </w:r>
      <w:bookmarkStart w:id="14" w:name="xdx_90E_edei--LocalPhoneNumber_c20230810"/>
      <w:bookmarkEnd w:id="14"/>
      <w:r>
        <w:rPr>
          <w:rFonts w:ascii="Times New Roman;Times;Serif" w:hAnsi="Times New Roman;Times;Serif"/>
          <w:b/>
          <w:i w:val="false"/>
          <w:caps w:val="false"/>
          <w:smallCaps w:val="false"/>
          <w:color w:val="212529"/>
          <w:sz w:val="20"/>
        </w:rPr>
        <w:t>900-2660</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(Former name or former address, if changed since last report)</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C_edei--SolicitingMaterial_c202308"/>
            <w:bookmarkEnd w:id="16"/>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8925" w:type="dxa"/>
        <w:jc w:val="left"/>
        <w:tblInd w:w="0" w:type="dxa"/>
        <w:tblLayout w:type="fixed"/>
        <w:tblCellMar>
          <w:top w:w="0" w:type="dxa"/>
          <w:left w:w="0" w:type="dxa"/>
          <w:bottom w:w="28" w:type="dxa"/>
          <w:right w:w="0" w:type="dxa"/>
        </w:tblCellMar>
      </w:tblPr>
      <w:tblGrid>
        <w:gridCol w:w="4385"/>
        <w:gridCol w:w="60"/>
        <w:gridCol w:w="860"/>
        <w:gridCol w:w="60"/>
        <w:gridCol w:w="3560"/>
      </w:tblGrid>
      <w:tr>
        <w:trPr/>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w:t>
              <w:br/>
              <w:t>on which registered</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rPr>
            </w:pPr>
            <w:bookmarkStart w:id="19" w:name="xdx_908_edei--Security12bTitle_c20230810"/>
            <w:bookmarkEnd w:id="19"/>
            <w:r>
              <w:rPr>
                <w:rFonts w:ascii="Times New Roman;Times;Serif" w:hAnsi="Times New Roman;Times;Serif"/>
                <w:b/>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0" w:name="xdx_906_edei--TradingSymbol_c20230810__2"/>
            <w:bookmarkEnd w:id="20"/>
            <w:r>
              <w:rPr>
                <w:rFonts w:ascii="Times New Roman;Times;Serif" w:hAnsi="Times New Roman;Times;Serif"/>
                <w:b/>
              </w:rPr>
              <w:t>ARCT</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1" w:name="xdx_904_edei--SecurityExchangeName_c2023"/>
            <w:bookmarkEnd w:id="21"/>
            <w:r>
              <w:rPr>
                <w:rFonts w:ascii="Times New Roman;Times;Serif" w:hAnsi="Times New Roman;Times;Serif"/>
                <w:b/>
              </w:rPr>
              <w:t>The NASDAQ Stock Market LLC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bookmarkStart w:id="22" w:name="xdx_905_edei--EntityEmergingGrowthCompan"/>
      <w:bookmarkEnd w:id="22"/>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2023, Arcturus Therapeutics, Inc. (“Arcturus”), a subsidiary of Arcturus Therapeutics Holdings Inc. (the “Company”), entered into an amendment (the “Amendment”) to its Collaboration and License Agreement (as amended, the “CSL Collaboration Agreement”) with Seqirus, Inc., a part of CSL Seqirus (“CSL Seqirus”), pursuant to which the Company and CSL Seqirus agreed to a $17.5 million milestone payment from CSL Seqirus to the Company related to a development milestone for the LUNAR-FLU program under the collaboration. The Company has met the relevant milestone pursuant to the terms of the CSL Collaboration Agreement. The milestone payment will be used to fund the Company’s conduct of development activities under the LUNAR-FLU program.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in November 2022, the Company entered into the CSL Collaboration Agreement with CSL Seqirus for the global exclusive rights to research, develop, manufacture and commercialize Arcturus’ self-amplifying mRNA vaccines against COVID-19, influenza and three other respiratory infectious diseases with nonexclusive rights to pandemic pathogens. The CSL Collaboration Agreement became effective on December 8, 2022.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a copy of which the Company intends to file with the Securities and Exchange Commission as an exhibit to its Quarterly Report on Form 10-Q for the quarter ending September 30, 2023.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2023, the Company issued a press release regarding the transactions described under Item 1.01 of this Current Report on Form 8-K. A copy of the press release is attached hereto as Exhibit 99.1 and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28" w:type="dxa"/>
          <w:right w:w="0" w:type="dxa"/>
        </w:tblCellMar>
      </w:tblPr>
      <w:tblGrid>
        <w:gridCol w:w="1205"/>
        <w:gridCol w:w="60"/>
        <w:gridCol w:w="3545"/>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354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both"/>
              <w:rPr/>
            </w:pPr>
            <w:hyperlink w:anchor="e618874_ex99-1.htm">
              <w:r>
                <w:rPr>
                  <w:rStyle w:val="InternetLink"/>
                  <w:rFonts w:ascii="Times New Roman;Times;Serif" w:hAnsi="Times New Roman;Times;Serif"/>
                </w:rPr>
                <w:t>Press Release dated August 14, 2023</w:t>
              </w:r>
            </w:hyperlink>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964" w:type="dxa"/>
        <w:jc w:val="left"/>
        <w:tblInd w:w="0" w:type="dxa"/>
        <w:tblLayout w:type="fixed"/>
        <w:tblCellMar>
          <w:top w:w="0" w:type="dxa"/>
          <w:left w:w="0" w:type="dxa"/>
          <w:bottom w:w="0" w:type="dxa"/>
          <w:right w:w="0" w:type="dxa"/>
        </w:tblCellMar>
      </w:tblPr>
      <w:tblGrid>
        <w:gridCol w:w="2195"/>
        <w:gridCol w:w="830"/>
        <w:gridCol w:w="2939"/>
      </w:tblGrid>
      <w:tr>
        <w:trPr/>
        <w:tc>
          <w:tcPr>
            <w:tcW w:w="219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Arcturus Therapeutics Holdings Inc.</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14, 2023</w:t>
            </w:r>
          </w:p>
        </w:tc>
        <w:tc>
          <w:tcPr>
            <w:tcW w:w="3769"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939"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2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E. Payne</w:t>
            </w:r>
          </w:p>
        </w:tc>
      </w:tr>
      <w:tr>
        <w:trPr/>
        <w:tc>
          <w:tcPr>
            <w:tcW w:w="2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23" w:name="e618874_ex99-1.htm"/>
      <w:bookmarkStart w:id="24" w:name="kse618874_ex991"/>
      <w:bookmarkEnd w:id="23"/>
      <w:bookmarkEnd w:id="24"/>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Joint Venture mRNA Manufacturing Partner, ARCALIS, Awarded $115 Million in Grants from the Japanese Government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LUNAR-FLU collaboration with CSL Seqirus achieves additional $17.5 million development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 WIRE)--Aug. 14, 2023-- Arcturus Therapeutics Holdings Inc. (the “Company”, “Arcturus”, Nasdaq: ARCT), a global late-stage clinical messenger RNA medicines company focused on the development of infectious disease vaccines and opportunities within liver and respiratory rare diseases, today announced that ARCALIS Co., Ltd., its manufacturing joint venture in Japan to support the production of mRNA vaccines and therapeutics, has been awarded $115 million in two separate grants from the Japanese government. The grants will be used to fund the construction of a factory and the purchase of capital equipment to support current Good Manufacturing Practice (cGMP) production of mRNA drug substance and mRNA drug product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ARCALIS is a joint venture between Axcelead and Arcturus, wherein Arcturus holds a 49% equity position that is subject to dilution. The factory, located in Minamisoma City, Japan, is designed to provide cGMP integrated vaccine manufacturing, from mRNA drug substance to bulk nanoparticle-formulated drug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was an honor to welcome senior Japanese government officials and dignitaries to the opening ceremonies for ARCALIS’ state-of-the-art factory which will support the cGMP manufacturing of Arcturus’ next-generation STARR® mRNA vaccines,” said Pad Chivukula, Ph.D., Chief Scientific Officer of Arcturus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also announced today that the LUNAR-FLU program continues to progress with funding and operational support from CSL-Seqirus, including an additional $17.5 million milestone which will be used to fund flu program development activities. The LUNAR-FLU program utilizes Arcturus’ clinically validated next-generation STARR® mRNA platform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with the progress of the LUNAR-FLU program with CSL Seqirus, our exclusive global licensee for the development of novel mRNA vaccines, and the significant role that Arcturus is playing in the development activities,” said Joseph Payne, President and CEO of Arcturus Therapeutics. “The LUNAR-FLU program could represent a major advance in vaccination efforts against flu, potentially providing higher levels of efficacy and greater durability compared to current flu vaccine approaches. We look forward to advancing this promising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Arcturus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The Company has ongoing collaborations with CSL Seqirus and Meiji Seika Pharma, and a joint venture with ARCALIS.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(patents and patent applications issued in the U.S., Europe, Japan, China, and other countries). For more information, visit www.ArcturusRx.com. In addition, please connect with us on Twitter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issuance of funds by the Japanese government to ARCALIS, the anticipated use of the funds by ARCALIS, the potential manufacture by ARCALIS of Arcturus vaccines, the continued progress of the LUNAR-FLU program,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 and Media Contacts</w:t>
      </w:r>
      <w:r>
        <w:rPr>
          <w:rFonts w:ascii="Times New Roman;Times;Serif" w:hAnsi="Times New Roman;Times;Serif"/>
          <w:b w:val="false"/>
          <w:i w:val="false"/>
          <w:caps w:val="false"/>
          <w:smallCaps w:val="false"/>
          <w:sz w:val="20"/>
        </w:rPr>
        <w:br/>
        <w:t>Arcturus Therapeutics</w:t>
        <w:br/>
        <w:t>Neda Safarzadeh</w:t>
        <w:br/>
        <w:t>VP, Head of IR/PR/Marketing</w:t>
        <w:br/>
        <w:t>(858) 900-2682</w:t>
        <w:br/>
        <w:t>IR@ArcturusRx.com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Kendall Investor Relations</w:t>
        <w:br/>
        <w:t>Carlo Tanzi, Ph.D.</w:t>
        <w:br/>
        <w:t>(617) 914-0008</w:t>
        <w:br/>
        <w:t>ctanzi@kendallir.com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Arcturus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1455</Words>
  <Characters>8589</Characters>
  <CharactersWithSpaces>10044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