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17, 2024</w:t>
      </w:r>
    </w:p>
    <w:p>
      <w:pPr>
        <w:spacing w:after="0" w:line="225"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32-0595345</w:t>
            </w:r>
          </w:p>
        </w:tc>
      </w:tr>
      <w:tr>
        <w:trPr>
          <w:trHeight w:val="216"/>
        </w:trPr>
        <w:tc>
          <w:tcPr>
            <w:tcW w:w="41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ARCTURUS THERAPEUTICS HOLDINGS INC. 2019 OMNIBUS EQUITY INCENTIVE PLAN, as amended</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Dentons US LLP</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Jeffrey A. Baumel, Esq.</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Grant Levine, Esq.</w:t>
      </w:r>
    </w:p>
    <w:p>
      <w:pPr>
        <w:spacing w:after="0" w:line="207"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18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684" w:right="49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Arcturus Therapeutics Holdings Inc., a Delaware corporation (the “Registrant”) is filing this Registration Statement on Form S-8 for the purpose of registering an additional 2,000,000 shares of its common stock, issuable to eligible persons under the Amended and Restated 2019 Omnibus Equity Incentive Plan (as amended, the “2019 Plan”), which shares are in addition to the shares registered on the Registrant’s registration statement on Form S-8 filed with the Securities and Exchange Commission (the “Commission”) on </w:t>
      </w:r>
      <w:hyperlink r:id="rId9">
        <w:r>
          <w:rPr>
            <w:rFonts w:ascii="Times New Roman" w:cs="Times New Roman" w:eastAsia="Times New Roman" w:hAnsi="Times New Roman"/>
            <w:sz w:val="18"/>
            <w:szCs w:val="18"/>
            <w:u w:val="single" w:color="auto"/>
            <w:color w:val="0000EE"/>
          </w:rPr>
          <w:t>June 21,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333-232272), the registration statement on Form S-8 </w:t>
      </w:r>
      <w:hyperlink r:id="rId10">
        <w:r>
          <w:rPr>
            <w:rFonts w:ascii="Times New Roman" w:cs="Times New Roman" w:eastAsia="Times New Roman" w:hAnsi="Times New Roman"/>
            <w:sz w:val="18"/>
            <w:szCs w:val="18"/>
            <w:color w:val="auto"/>
          </w:rPr>
          <w:t xml:space="preserve">filed with the Commission on </w:t>
        </w:r>
        <w:r>
          <w:rPr>
            <w:rFonts w:ascii="Times New Roman" w:cs="Times New Roman" w:eastAsia="Times New Roman" w:hAnsi="Times New Roman"/>
            <w:sz w:val="18"/>
            <w:szCs w:val="18"/>
            <w:u w:val="single" w:color="auto"/>
            <w:color w:val="0000EE"/>
          </w:rPr>
          <w:t>August 5, 2020</w:t>
        </w:r>
        <w:r>
          <w:rPr>
            <w:rFonts w:ascii="Times New Roman" w:cs="Times New Roman" w:eastAsia="Times New Roman" w:hAnsi="Times New Roman"/>
            <w:sz w:val="18"/>
            <w:szCs w:val="18"/>
            <w:color w:val="auto"/>
          </w:rPr>
          <w:t xml:space="preserve"> (File No. 333-240397), and the registration statement on Form S-8 filed with the Commission on </w:t>
        </w:r>
        <w:r>
          <w:rPr>
            <w:rFonts w:ascii="Times New Roman" w:cs="Times New Roman" w:eastAsia="Times New Roman" w:hAnsi="Times New Roman"/>
            <w:sz w:val="18"/>
            <w:szCs w:val="18"/>
            <w:u w:val="single" w:color="auto"/>
            <w:color w:val="0000EE"/>
          </w:rPr>
          <w:t>June 30,</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333-265925) (together, the “Prior Registration Statements”).</w:t>
        </w:r>
      </w:hyperlink>
    </w:p>
    <w:p>
      <w:pPr>
        <w:spacing w:after="0" w:line="187" w:lineRule="exact"/>
        <w:rPr>
          <w:rFonts w:ascii="Times New Roman" w:cs="Times New Roman" w:eastAsia="Times New Roman" w:hAnsi="Times New Roman"/>
          <w:sz w:val="18"/>
          <w:szCs w:val="18"/>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that to which the Prior Registration Statements relate, and is submitted in accordance with General Instruction E (“General Instruction E”) to Form S-8 under the Securities Act of 1933, as amended (the “Securities Act”), regarding Registration of Additional Securities. Pursuant to General Instruction E, the contents of the Prior Registration Statements, to the extent relating to the registration of common stock issuable under the 2019 Plan, are incorporated herein by reference and made part of this Registration Statement, except to the extent supplemented, amended and superseded by the information set forth herein.</w:t>
      </w:r>
    </w:p>
    <w:p>
      <w:pPr>
        <w:spacing w:after="0" w:line="17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9" w:lineRule="exact"/>
        <w:rPr>
          <w:rFonts w:ascii="Times New Roman" w:cs="Times New Roman" w:eastAsia="Times New Roman" w:hAnsi="Times New Roman"/>
          <w:sz w:val="18"/>
          <w:szCs w:val="18"/>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documents filed with the Commission by the Registrant pursuant to the Securities Act and the Securities Exchange Act of 1934, as amended (the “Exchange Act”), are hereby incorporated by reference in this registration statement:</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for the fiscal year ended December 31, 2023 filed with the Commission on March 14, 2024;</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Quarterly Report on Form 10-Q for the period ended March 31, 2024 filed with the Commission on May 8, 2024;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February 23, 2024, April 5, 2024, June 14, 2024, and June 24, 2024; 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Registrant’s common stock in the Current Report on Form 8-K12B filed with the SEC on June 14, 2019.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 w:name="page3"/>
    <w:bookmarkEnd w:id="2"/>
    <w:p>
      <w:pPr>
        <w:ind w:right="60"/>
        <w:spacing w:after="0" w:line="258" w:lineRule="auto"/>
        <w:rPr>
          <w:sz w:val="20"/>
          <w:szCs w:val="20"/>
          <w:color w:val="auto"/>
        </w:rPr>
      </w:pPr>
      <w:r>
        <w:rPr>
          <w:rFonts w:ascii="Times New Roman" w:cs="Times New Roman" w:eastAsia="Times New Roman" w:hAnsi="Times New Roman"/>
          <w:sz w:val="18"/>
          <w:szCs w:val="18"/>
          <w:color w:val="auto"/>
        </w:rPr>
        <w:t>All documents that the Registrant subsequently files pursuant to Sections 13(a), 13(c), 14 and 15(d) of the Exchange Act after the date of this registration statement (except for any portions of the Registrant’s current reports on Form 8-K furnished pursuant to Item 2.02 or Item 7.01 thereof and any corresponding exhibits thereto not filed with the Commission)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Documents</w:t>
            </w: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40" w:type="dxa"/>
            <w:vAlign w:val="bottom"/>
            <w:tcBorders>
              <w:bottom w:val="single" w:sz="8" w:color="0000EE"/>
            </w:tcBorders>
            <w:gridSpan w:val="9"/>
          </w:tcPr>
          <w:p>
            <w:pPr>
              <w:spacing w:after="0" w:line="169" w:lineRule="exact"/>
              <w:rPr>
                <w:rFonts w:ascii="Times New Roman" w:cs="Times New Roman" w:eastAsia="Times New Roman" w:hAnsi="Times New Roman"/>
                <w:sz w:val="18"/>
                <w:szCs w:val="18"/>
                <w:color w:val="0000EE"/>
                <w:w w:val="99"/>
              </w:rPr>
            </w:pPr>
            <w:hyperlink r:id="rId12">
              <w:r>
                <w:rPr>
                  <w:rFonts w:ascii="Times New Roman" w:cs="Times New Roman" w:eastAsia="Times New Roman" w:hAnsi="Times New Roman"/>
                  <w:sz w:val="18"/>
                  <w:szCs w:val="18"/>
                  <w:color w:val="0000EE"/>
                  <w:w w:val="99"/>
                </w:rPr>
                <w:t>Certificate of Incorporation of Arcturus Therapeutics Holdings Inc. (incorporated by reference to Exhibit 3.1 to the Company’s Registration</w:t>
              </w:r>
            </w:hyperlink>
          </w:p>
        </w:tc>
        <w:tc>
          <w:tcPr>
            <w:tcW w:w="340" w:type="dxa"/>
            <w:vAlign w:val="bottom"/>
            <w:gridSpan w:val="2"/>
          </w:tcPr>
          <w:p>
            <w:pPr>
              <w:spacing w:after="0"/>
              <w:rPr>
                <w:sz w:val="14"/>
                <w:szCs w:val="14"/>
                <w:color w:val="auto"/>
              </w:rPr>
            </w:pPr>
          </w:p>
        </w:tc>
      </w:tr>
      <w:tr>
        <w:trPr>
          <w:trHeight w:val="196"/>
        </w:trPr>
        <w:tc>
          <w:tcPr>
            <w:tcW w:w="860" w:type="dxa"/>
            <w:vAlign w:val="bottom"/>
          </w:tcPr>
          <w:p>
            <w:pPr>
              <w:spacing w:after="0"/>
              <w:rPr>
                <w:sz w:val="17"/>
                <w:szCs w:val="17"/>
                <w:color w:val="auto"/>
              </w:rPr>
            </w:pPr>
          </w:p>
        </w:tc>
        <w:tc>
          <w:tcPr>
            <w:tcW w:w="10380" w:type="dxa"/>
            <w:vAlign w:val="bottom"/>
            <w:gridSpan w:val="11"/>
          </w:tcPr>
          <w:p>
            <w:pPr>
              <w:spacing w:after="0" w:line="196" w:lineRule="exact"/>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Statement on Form S-3 (File No. 333-238139), filed with the SEC on May 8, 2020)</w:t>
              </w:r>
            </w:hyperlink>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380" w:type="dxa"/>
            <w:vAlign w:val="bottom"/>
            <w:gridSpan w:val="11"/>
          </w:tcPr>
          <w:p>
            <w:pPr>
              <w:spacing w:after="0" w:line="196"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Bylaws of Arcturus Therapeutics Holdings Inc. (incorporated by reference to Exhibit 3.2 to the Company’s Registration Statement on Form S-3</w:t>
              </w:r>
            </w:hyperlink>
          </w:p>
        </w:tc>
      </w:tr>
      <w:tr>
        <w:trPr>
          <w:trHeight w:val="196"/>
        </w:trPr>
        <w:tc>
          <w:tcPr>
            <w:tcW w:w="860" w:type="dxa"/>
            <w:vAlign w:val="bottom"/>
          </w:tcPr>
          <w:p>
            <w:pPr>
              <w:spacing w:after="0"/>
              <w:rPr>
                <w:sz w:val="17"/>
                <w:szCs w:val="17"/>
                <w:color w:val="auto"/>
              </w:rPr>
            </w:pPr>
          </w:p>
        </w:tc>
        <w:tc>
          <w:tcPr>
            <w:tcW w:w="10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(File No. 333-238139), filed with the SEC on May 8, 2020)</w:t>
              </w:r>
            </w:hyperlink>
          </w:p>
        </w:tc>
        <w:tc>
          <w:tcPr>
            <w:tcW w:w="60" w:type="dxa"/>
            <w:vAlign w:val="bottom"/>
          </w:tcPr>
          <w:p>
            <w:pPr>
              <w:spacing w:after="0"/>
              <w:rPr>
                <w:sz w:val="17"/>
                <w:szCs w:val="17"/>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42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Opinion of Dentons US LLP</w:t>
            </w:r>
          </w:p>
        </w:tc>
        <w:tc>
          <w:tcPr>
            <w:tcW w:w="6120" w:type="dxa"/>
            <w:vAlign w:val="bottom"/>
            <w:gridSpan w:val="7"/>
          </w:tcPr>
          <w:p>
            <w:pPr>
              <w:spacing w:after="0"/>
              <w:rPr>
                <w:sz w:val="17"/>
                <w:szCs w:val="17"/>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3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3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Dentons US LLP is contained in Exhibit 5.1 to this Registration Statement.</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62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is contained on the signature page.</w:t>
            </w:r>
          </w:p>
        </w:tc>
        <w:tc>
          <w:tcPr>
            <w:tcW w:w="4180" w:type="dxa"/>
            <w:vAlign w:val="bottom"/>
            <w:gridSpan w:val="3"/>
          </w:tcPr>
          <w:p>
            <w:pPr>
              <w:spacing w:after="0"/>
              <w:rPr>
                <w:sz w:val="17"/>
                <w:szCs w:val="17"/>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3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Amended and Restated 2019 Omnibus Equity Incentive Plan, as amended</w:t>
            </w: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52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Filing Fee Table</w:t>
            </w:r>
          </w:p>
        </w:tc>
        <w:tc>
          <w:tcPr>
            <w:tcW w:w="5100" w:type="dxa"/>
            <w:vAlign w:val="bottom"/>
            <w:gridSpan w:val="5"/>
          </w:tcPr>
          <w:p>
            <w:pPr>
              <w:spacing w:after="0"/>
              <w:rPr>
                <w:sz w:val="17"/>
                <w:szCs w:val="17"/>
                <w:color w:val="auto"/>
              </w:rPr>
            </w:pPr>
          </w:p>
        </w:tc>
      </w:tr>
      <w:tr>
        <w:trPr>
          <w:trHeight w:val="20"/>
        </w:trPr>
        <w:tc>
          <w:tcPr>
            <w:tcW w:w="860" w:type="dxa"/>
            <w:vAlign w:val="bottom"/>
            <w:tcBorders>
              <w:right w:val="single" w:sz="8" w:color="0000EE"/>
            </w:tcBorders>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July 17, 2024.</w:t>
      </w:r>
    </w:p>
    <w:p>
      <w:pPr>
        <w:spacing w:after="0" w:line="17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tbl>
      <w:tblPr>
        <w:tblLayout w:type="fixed"/>
        <w:tblInd w:w="608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8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Arcturus Therapeutics Holdings Inc.,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Securities and Exchange Commission,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Joseph E. Payne</w:t>
            </w:r>
          </w:p>
        </w:tc>
        <w:tc>
          <w:tcPr>
            <w:tcW w:w="220" w:type="dxa"/>
            <w:vAlign w:val="bottom"/>
          </w:tcPr>
          <w:p>
            <w:pPr>
              <w:spacing w:after="0"/>
              <w:rPr>
                <w:sz w:val="19"/>
                <w:szCs w:val="19"/>
                <w:color w:val="auto"/>
              </w:rPr>
            </w:pPr>
          </w:p>
        </w:tc>
        <w:tc>
          <w:tcPr>
            <w:tcW w:w="5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Padmanabh Chivukula</w:t>
            </w:r>
          </w:p>
        </w:tc>
        <w:tc>
          <w:tcPr>
            <w:tcW w:w="220" w:type="dxa"/>
            <w:vAlign w:val="bottom"/>
          </w:tcPr>
          <w:p>
            <w:pPr>
              <w:spacing w:after="0"/>
              <w:rPr>
                <w:sz w:val="24"/>
                <w:szCs w:val="24"/>
                <w:color w:val="auto"/>
              </w:rPr>
            </w:pPr>
          </w:p>
        </w:tc>
        <w:tc>
          <w:tcPr>
            <w:tcW w:w="5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Scientific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Padmanabh Chivukula</w:t>
            </w:r>
          </w:p>
        </w:tc>
        <w:tc>
          <w:tcPr>
            <w:tcW w:w="220" w:type="dxa"/>
            <w:vAlign w:val="bottom"/>
          </w:tcPr>
          <w:p>
            <w:pPr>
              <w:spacing w:after="0"/>
              <w:rPr>
                <w:sz w:val="19"/>
                <w:szCs w:val="19"/>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Chief Operating Officer and Secretary</w:t>
            </w: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Peter Farrell</w:t>
            </w:r>
          </w:p>
        </w:tc>
        <w:tc>
          <w:tcPr>
            <w:tcW w:w="220" w:type="dxa"/>
            <w:vAlign w:val="bottom"/>
          </w:tcPr>
          <w:p>
            <w:pPr>
              <w:spacing w:after="0"/>
              <w:rPr>
                <w:sz w:val="24"/>
                <w:szCs w:val="24"/>
                <w:color w:val="auto"/>
              </w:rPr>
            </w:pPr>
          </w:p>
        </w:tc>
        <w:tc>
          <w:tcPr>
            <w:tcW w:w="5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 of the Board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Peter Farrell</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Andy Sassine</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Andy Sassine</w:t>
            </w:r>
          </w:p>
        </w:tc>
        <w:tc>
          <w:tcPr>
            <w:tcW w:w="220" w:type="dxa"/>
            <w:vAlign w:val="bottom"/>
          </w:tcPr>
          <w:p>
            <w:pPr>
              <w:spacing w:after="0"/>
              <w:rPr>
                <w:sz w:val="19"/>
                <w:szCs w:val="19"/>
                <w:color w:val="auto"/>
              </w:rPr>
            </w:pPr>
          </w:p>
        </w:tc>
        <w:tc>
          <w:tcPr>
            <w:tcW w:w="5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Magda Marquet</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Magda Marquet</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Barlow</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James Barlow</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Edward Holmes</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Edward Holmes</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Jing L. Marantz</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Jing L. Marantz</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John Markels</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John Markels</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Moncef Slaoui</w:t>
            </w:r>
          </w:p>
        </w:tc>
        <w:tc>
          <w:tcPr>
            <w:tcW w:w="220" w:type="dxa"/>
            <w:vAlign w:val="bottom"/>
          </w:tcPr>
          <w:p>
            <w:pPr>
              <w:spacing w:after="0"/>
              <w:rPr>
                <w:sz w:val="24"/>
                <w:szCs w:val="24"/>
                <w:color w:val="auto"/>
              </w:rPr>
            </w:pPr>
          </w:p>
        </w:tc>
        <w:tc>
          <w:tcPr>
            <w:tcW w:w="5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2024</w:t>
            </w:r>
          </w:p>
        </w:tc>
      </w:t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Dr. Moncef Slaoui</w:t>
            </w:r>
          </w:p>
        </w:tc>
        <w:tc>
          <w:tcPr>
            <w:tcW w:w="2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ectPr>
          <w:pgSz w:w="11900" w:h="16838" w:orient="portrait"/>
          <w:cols w:equalWidth="0" w:num="1">
            <w:col w:w="11240"/>
          </w:cols>
          <w:pgMar w:left="320" w:top="765" w:right="339" w:bottom="1440" w:gutter="0" w:footer="0" w:header="0"/>
        </w:sectPr>
      </w:pPr>
    </w:p>
    <w:bookmarkStart w:id="4" w:name="page5"/>
    <w:bookmarkEnd w:id="4"/>
    <w:p>
      <w:pPr>
        <w:ind w:left="4200"/>
        <w:spacing w:after="0"/>
        <w:rPr>
          <w:sz w:val="20"/>
          <w:szCs w:val="20"/>
          <w:color w:val="auto"/>
        </w:rPr>
      </w:pPr>
      <w:r>
        <w:rPr>
          <w:rFonts w:ascii="Times New Roman" w:cs="Times New Roman" w:eastAsia="Times New Roman" w:hAnsi="Times New Roman"/>
          <w:sz w:val="18"/>
          <w:szCs w:val="18"/>
          <w:color w:val="auto"/>
        </w:rPr>
        <w:t>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1155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011555" cy="25717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dentons.com</w:t>
      </w:r>
    </w:p>
    <w:p>
      <w:pPr>
        <w:spacing w:after="0" w:line="434" w:lineRule="exact"/>
        <w:rPr>
          <w:sz w:val="20"/>
          <w:szCs w:val="20"/>
          <w:color w:val="auto"/>
        </w:rPr>
      </w:pPr>
    </w:p>
    <w:p>
      <w:pPr>
        <w:sectPr>
          <w:pgSz w:w="11900" w:h="16838" w:orient="portrait"/>
          <w:cols w:equalWidth="0" w:num="2">
            <w:col w:w="9600" w:space="720"/>
            <w:col w:w="920"/>
          </w:cols>
          <w:pgMar w:left="320" w:top="364" w:right="339" w:bottom="1440" w:gutter="0" w:footer="0" w:header="0"/>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Arcturus Therapeutics Holdings Inc.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our capacity as counsel to Arcturus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have been asked to render this opinion in connection with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contemporaneously herewith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covering an aggregate of 2,000,000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issuable pursuant to the terms of the Company’s Amended and Restated 2019 Omnibus Equity Incentive Plan, as amended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delivering this opinion to you in accordance with your request and in accordance with the requirements of Item 8 of Form S-8 and Item 601(b)(5)(i) of Regulation S-K.</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rendering this opinion, we have examined (i) the Company’s Certificate of Incorporation, as amended, (ii) the Company’s Bylaws, (iii) the 2019 Plan, (iv) the Registration Statement, (v) corporate proceedings of the Company relating to the 2019 Plan, and (vi) such other instruments and documents as we have deemed relevant under the circumstances.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making the aforesaid examinations, we have assumed the genuineness of all signatures, the authority of the persons who executed such documents, the authenticity of all documents submitted to us as originals, the conformity to the original documents of all documents submitted to us as copies, and the due execution and delivery of all documents by any persons or entities where due execution and delivery by such persons or entities is a prerequisite to the effectiveness of such documents. As to various factual matters that are material to this opinion, we have relied upon certificates of public officials and certificates, resolutions, documents, statements and other information of the Company or its representatives. In addition, for purposes of this opinion, we have assumed that a sufficient number of authorized but unissued shares of Common Stock, will be available for issuance when the Shares are issued. We have not independently verified or investigated, nor do we assume any responsibility for, the factual accuracy or completeness of such factual statements. We have also assumed that the corporate records furnished to us by the Company include all corporate proceedings taken by the Company to date.</w:t>
      </w:r>
    </w:p>
    <w:p>
      <w:pPr>
        <w:spacing w:after="0" w:line="19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assumptions and qualifications set forth herein, we are of the opinion that the Shares have been duly and validly authorized and, when issued and paid for in accordance with the terms of the 2019 Plan, will be duly and validly issued, fully paid and non-assessable.</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foregoing opinion is limited to the laws of the United States of America and Delaware corporate law (which includes the Delaware General Corporation Law and applicable provisions of the Delaware constitution, as well as reported judicial opinions interpreting same), as now in effect and that, in the exercise of reasonable professional judgment, are normally considered in transactions such as the issuance of the Shares, and the foregoing opinion does not purport to express any opinion on the laws of any other jurisdiction. This opinion is provided for use solely in connection with the sale of the Shares, and except for its use in connection with such sale, may not be furnished to, quoted from or relied upon by any other person, firm, or corporation without our express written consent. No opinion may be implied or inferred beyond the opinion expressly stated in the paragraph immediately above. The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 w:name="page6"/>
    <w:bookmarkEnd w:id="5"/>
    <w:p>
      <w:pPr>
        <w:ind w:left="4200"/>
        <w:spacing w:after="0"/>
        <w:rPr>
          <w:sz w:val="20"/>
          <w:szCs w:val="20"/>
          <w:color w:val="auto"/>
        </w:rPr>
      </w:pPr>
      <w:r>
        <w:rPr>
          <w:rFonts w:ascii="Times New Roman" w:cs="Times New Roman" w:eastAsia="Times New Roman" w:hAnsi="Times New Roman"/>
          <w:sz w:val="18"/>
          <w:szCs w:val="18"/>
          <w:color w:val="auto"/>
        </w:rPr>
        <w:t>July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1155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011555" cy="257175"/>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dentons.com</w:t>
      </w:r>
    </w:p>
    <w:p>
      <w:pPr>
        <w:spacing w:after="0" w:line="434" w:lineRule="exact"/>
        <w:rPr>
          <w:sz w:val="20"/>
          <w:szCs w:val="20"/>
          <w:color w:val="auto"/>
        </w:rPr>
      </w:pPr>
    </w:p>
    <w:p>
      <w:pPr>
        <w:sectPr>
          <w:pgSz w:w="11900" w:h="16838" w:orient="portrait"/>
          <w:cols w:equalWidth="0" w:num="2">
            <w:col w:w="9600" w:space="720"/>
            <w:col w:w="920"/>
          </w:cols>
          <w:pgMar w:left="320" w:top="769" w:right="339" w:bottom="1440" w:gutter="0" w:footer="0" w:header="0"/>
        </w:sectPr>
      </w:pPr>
    </w:p>
    <w:p>
      <w:pPr>
        <w:spacing w:after="0" w:line="223"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hereby consent to the use of our opinion as an exhibit to the Registration Statement. In giving such consent, we do not hereby admit that we come within the category of persons whose consent is required under Section 7 of the Securities Act, or the rules and regulations of the Commission thereunder.</w:t>
      </w:r>
    </w:p>
    <w:p>
      <w:pPr>
        <w:spacing w:after="0" w:line="1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Dentons US LLP</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Dentons US LLP</w:t>
      </w:r>
    </w:p>
    <w:p>
      <w:pPr>
        <w:sectPr>
          <w:pgSz w:w="11900" w:h="16838" w:orient="portrait"/>
          <w:cols w:equalWidth="0" w:num="1">
            <w:col w:w="11240"/>
          </w:cols>
          <w:pgMar w:left="320" w:top="769" w:right="33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Arcturus Therapeutics Holdings Inc. 2019 Omnibus Equity Incentive Plan, as amended, of our reports dated March 14, 2024,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2023, filed with the Securities and Exchange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2024</w:t>
      </w:r>
    </w:p>
    <w:p>
      <w:pPr>
        <w:sectPr>
          <w:pgSz w:w="11900" w:h="16838" w:orient="portrait"/>
          <w:cols w:equalWidth="0" w:num="1">
            <w:col w:w="11240"/>
          </w:cols>
          <w:pgMar w:left="320" w:top="36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(Originally Effective June 10, 2019; Amended &amp; Restated Effective June 5, 2020; Amended Effective June 21, 2022; Amended Effective June 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OBJECTIVES AND DURATION</w:t>
      </w:r>
    </w:p>
    <w:p>
      <w:pPr>
        <w:spacing w:after="0" w:line="207"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An amendment to the amended and restated Plan became effective on June 21, 2022 upon approval by the Company’s stockholders. The most recent amendment of the Plan was adopted by the Board on February 20, 2024 and became effective on June 14, 2024, upon approval by the Company’s stockholder (the “Effective Date”).</w:t>
      </w:r>
    </w:p>
    <w:p>
      <w:pPr>
        <w:spacing w:after="0" w:line="187"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Objectives of the Plan</w:t>
      </w:r>
      <w:r>
        <w:rPr>
          <w:rFonts w:ascii="Times New Roman" w:cs="Times New Roman" w:eastAsia="Times New Roman" w:hAnsi="Times New Roman"/>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such Non-Employee Directors of a greater proprietary interest in the Company, thereby aligning such Non-Employee Directors’ interests more closely with the interests of the Company’s stockholders.</w:t>
      </w:r>
    </w:p>
    <w:p>
      <w:pPr>
        <w:spacing w:after="0" w:line="18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Bonus Shares</w:t>
      </w:r>
      <w:r>
        <w:rPr>
          <w:rFonts w:ascii="Times New Roman" w:cs="Times New Roman" w:eastAsia="Times New Roman" w:hAnsi="Times New Roman"/>
          <w:sz w:val="18"/>
          <w:szCs w:val="18"/>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by a Grantee constituting a felony or crime of moral turpitude (or their equivalent in a non-United States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fraud, intentional misrepresentation, or harassment which, as determined in good faith by the Committee, would:</w:t>
      </w:r>
    </w:p>
    <w:p>
      <w:pPr>
        <w:spacing w:after="0" w:line="27"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in violation of the Company’s or an Affiliate’s written policies; or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and deliberate non-performance of the Grantee’s duties in connection with the business affairs of the Company or its Affiliates;</w:t>
      </w:r>
    </w:p>
    <w:p>
      <w:pPr>
        <w:spacing w:after="0" w:line="223" w:lineRule="exact"/>
        <w:rPr>
          <w:sz w:val="20"/>
          <w:szCs w:val="20"/>
          <w:color w:val="auto"/>
        </w:rPr>
      </w:pPr>
    </w:p>
    <w:p>
      <w:pPr>
        <w:jc w:val="both"/>
        <w:ind w:right="6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Grantee has a written employment or consulting agreement with the Company 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Section 16.4(e).</w:t>
      </w:r>
    </w:p>
    <w:p>
      <w:pPr>
        <w:spacing w:after="0" w:line="225"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Incentive Plan Committee</w:t>
      </w:r>
      <w:r>
        <w:rPr>
          <w:rFonts w:ascii="Times New Roman" w:cs="Times New Roman" w:eastAsia="Times New Roman" w:hAnsi="Times New Roman"/>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means, unless otherwise defined in an Award Agreement, or as otherwise determined under procedures established by the Committee for purposes of the Plan:</w:t>
      </w:r>
    </w:p>
    <w:p>
      <w:pPr>
        <w:spacing w:after="0" w:line="162" w:lineRule="exact"/>
        <w:rPr>
          <w:sz w:val="20"/>
          <w:szCs w:val="20"/>
          <w:color w:val="auto"/>
        </w:rPr>
      </w:pPr>
    </w:p>
    <w:p>
      <w:pPr>
        <w:ind w:left="1140" w:hanging="251"/>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(b) below, a disability within the meaning of Section 22(e)(3) of the Code; and</w:t>
      </w:r>
    </w:p>
    <w:p>
      <w:pPr>
        <w:spacing w:after="0" w:line="225"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ind w:left="880" w:right="160" w:firstLine="450"/>
        <w:spacing w:after="0" w:line="282" w:lineRule="auto"/>
        <w:tabs>
          <w:tab w:leader="none" w:pos="15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61" w:lineRule="exact"/>
        <w:rPr>
          <w:rFonts w:ascii="Times New Roman" w:cs="Times New Roman" w:eastAsia="Times New Roman" w:hAnsi="Times New Roman"/>
          <w:sz w:val="18"/>
          <w:szCs w:val="18"/>
          <w:color w:val="auto"/>
        </w:rPr>
      </w:pPr>
    </w:p>
    <w:p>
      <w:pPr>
        <w:ind w:left="880" w:right="180" w:firstLine="450"/>
        <w:spacing w:after="0" w:line="266" w:lineRule="auto"/>
        <w:tabs>
          <w:tab w:leader="none" w:pos="158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76"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a right to receive payments equal to dividends or property, if and when paid or distributed, on a specified number of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individual who is an employee (including any officer) of, a non-employee consultant to, or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of, the Company or any Affiliate; provided, however, that solely with respect to the grant of an Incentive Stock Option,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shall be any employee (including any officer) of the Company or any Subsidiary Corporation. Notwithstanding the foregoing, an Eligible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also include an individual who is expected to become an employee to, non-employee consultant of or Non-Employee Director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within a reasonable period of time after the grant of an Award (other than an Incentive Stock Option); provided that any Award granted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shall be automatically terminated and cancelled without consideration if the individual does not begin performing services for the Company</w:t>
      </w:r>
    </w:p>
    <w:p>
      <w:pPr>
        <w:spacing w:after="0" w:line="9"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8"/>
          <w:szCs w:val="18"/>
          <w:color w:val="auto"/>
        </w:rPr>
        <w:t>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References to a particular section of the Exchange Act include references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(a) with respect to an Option, the price at which a Share may be purchased by a Grantee pursuant to such Option or</w:t>
      </w:r>
    </w:p>
    <w:p>
      <w:pPr>
        <w:spacing w:after="0" w:line="27" w:lineRule="exact"/>
        <w:rPr>
          <w:sz w:val="20"/>
          <w:szCs w:val="20"/>
          <w:color w:val="auto"/>
        </w:rPr>
      </w:pPr>
    </w:p>
    <w:p>
      <w:pPr>
        <w:ind w:right="18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means “including, without limitation,” or “includes, without limitation,”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 w:name="page11"/>
    <w:bookmarkEnd w:id="10"/>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means a Non-Employee Director who has been appointed as lead independent director by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Management Committee</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 or any Affiliate.</w:t>
      </w:r>
    </w:p>
    <w:p>
      <w:pPr>
        <w:spacing w:after="0" w:line="225"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 Chair</w:t>
      </w:r>
      <w:r>
        <w:rPr>
          <w:rFonts w:ascii="Times New Roman" w:cs="Times New Roman" w:eastAsia="Times New Roman" w:hAnsi="Times New Roman"/>
          <w:sz w:val="18"/>
          <w:szCs w:val="18"/>
          <w:color w:val="auto"/>
        </w:rPr>
        <w:t>” means a Non-Employee Director who has been appointed to act as chair of one or more committees of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granted under Article 6 of the Plan.</w:t>
      </w:r>
    </w:p>
    <w:p>
      <w:pPr>
        <w:spacing w:after="0" w:line="22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 right, granted under Article 13 hereof, that relates to or is valued by reference to Shares or other Awards relating to Shares.</w:t>
      </w:r>
    </w:p>
    <w:p>
      <w:pPr>
        <w:spacing w:after="0" w:line="162"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an Award of Performance Shares or Performance Units, the period of time during which the performance vesting conditions applicable to such Award must be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have the respective meanings set forth in Article 9.</w:t>
      </w:r>
    </w:p>
    <w:p>
      <w:pPr>
        <w:spacing w:after="0" w:line="225"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Restricted Shares are subject to forfeiture if the conditions specified in the Award Agreement are not satisfied.</w:t>
      </w:r>
    </w:p>
    <w:p>
      <w:pPr>
        <w:spacing w:after="0" w:line="162" w:lineRule="exact"/>
        <w:rPr>
          <w:sz w:val="20"/>
          <w:szCs w:val="20"/>
          <w:color w:val="auto"/>
        </w:rPr>
      </w:pPr>
    </w:p>
    <w:p>
      <w:pPr>
        <w:ind w:right="200" w:firstLine="441"/>
        <w:spacing w:after="0" w:line="312" w:lineRule="auto"/>
        <w:rPr>
          <w:sz w:val="20"/>
          <w:szCs w:val="20"/>
          <w:color w:val="auto"/>
        </w:rPr>
      </w:pPr>
      <w:r>
        <w:rPr>
          <w:rFonts w:ascii="Times New Roman" w:cs="Times New Roman" w:eastAsia="Times New Roman" w:hAnsi="Times New Roman"/>
          <w:sz w:val="17"/>
          <w:szCs w:val="17"/>
          <w:color w:val="auto"/>
        </w:rPr>
        <w:t>2.35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40"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62"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are rights, granted under Article 10, to receive Shares (or cash in lieu thereof) if the Grantee satisfies the conditions specified in the Award Agreement applicable to such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by the SEC under the Exchange Act, as amended from time to time, together with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Section 16 Non-Employee Director</w:t>
      </w:r>
      <w:r>
        <w:rPr>
          <w:rFonts w:ascii="Times New Roman" w:cs="Times New Roman" w:eastAsia="Times New Roman" w:hAnsi="Times New Roman"/>
          <w:sz w:val="18"/>
          <w:szCs w:val="18"/>
          <w:color w:val="auto"/>
        </w:rPr>
        <w:t>” means a member of the Board who satisfies the requirements to qualify as a “non-employee director” under Rule 16b-3.</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Section 16 Person</w:t>
      </w:r>
      <w:r>
        <w:rPr>
          <w:rFonts w:ascii="Times New Roman" w:cs="Times New Roman" w:eastAsia="Times New Roman" w:hAnsi="Times New Roman"/>
          <w:sz w:val="18"/>
          <w:szCs w:val="18"/>
          <w:color w:val="auto"/>
        </w:rPr>
        <w:t>” means a person who is subject to potential liability under Section 16(b) of the Exchange Act with respect to transactions involving equity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69" w:right="519" w:bottom="1440" w:gutter="0" w:footer="0" w:header="0"/>
        </w:sectPr>
      </w:pPr>
    </w:p>
    <w:bookmarkStart w:id="11" w:name="page12"/>
    <w:bookmarkEnd w:id="11"/>
    <w:p>
      <w:pPr>
        <w:ind w:firstLine="441"/>
        <w:spacing w:after="0" w:line="25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9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and such other securities of the Company, as may be substituted or resubstituted for Shares pursuant to Section 4.2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Article 7 of the Plan.</w:t>
      </w:r>
    </w:p>
    <w:p>
      <w:pPr>
        <w:spacing w:after="0" w:line="22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76"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Termination of Affiliation</w:t>
      </w:r>
      <w:r>
        <w:rPr>
          <w:rFonts w:ascii="Times New Roman" w:cs="Times New Roman" w:eastAsia="Times New Roman" w:hAnsi="Times New Roman"/>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6" w:lineRule="auto"/>
        <w:tabs>
          <w:tab w:leader="none" w:pos="11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87" w:lineRule="exact"/>
        <w:rPr>
          <w:rFonts w:ascii="Times New Roman" w:cs="Times New Roman" w:eastAsia="Times New Roman" w:hAnsi="Times New Roman"/>
          <w:sz w:val="18"/>
          <w:szCs w:val="18"/>
          <w:color w:val="auto"/>
        </w:rPr>
      </w:pPr>
    </w:p>
    <w:p>
      <w:pPr>
        <w:ind w:right="240" w:firstLine="889"/>
        <w:spacing w:after="0" w:line="266" w:lineRule="auto"/>
        <w:tabs>
          <w:tab w:leader="none" w:pos="11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firstLine="889"/>
        <w:spacing w:after="0" w:line="256" w:lineRule="auto"/>
        <w:tabs>
          <w:tab w:leader="none" w:pos="11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8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0" w:lineRule="exact"/>
        <w:rPr>
          <w:sz w:val="20"/>
          <w:szCs w:val="20"/>
          <w:color w:val="auto"/>
        </w:rPr>
      </w:pPr>
    </w:p>
    <w:p>
      <w:pPr>
        <w:ind w:left="1140" w:hanging="251"/>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to whom and in what types and amounts Awards should be granted;</w:t>
      </w:r>
    </w:p>
    <w:p>
      <w:pPr>
        <w:spacing w:after="0" w:line="225" w:lineRule="exact"/>
        <w:rPr>
          <w:rFonts w:ascii="Times New Roman" w:cs="Times New Roman" w:eastAsia="Times New Roman" w:hAnsi="Times New Roman"/>
          <w:sz w:val="18"/>
          <w:szCs w:val="18"/>
          <w:color w:val="auto"/>
        </w:rPr>
      </w:pPr>
    </w:p>
    <w:p>
      <w:pPr>
        <w:ind w:right="40" w:firstLine="889"/>
        <w:spacing w:after="0" w:line="258" w:lineRule="auto"/>
        <w:tabs>
          <w:tab w:leader="none" w:pos="11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183" w:lineRule="exact"/>
        <w:rPr>
          <w:rFonts w:ascii="Times New Roman" w:cs="Times New Roman" w:eastAsia="Times New Roman" w:hAnsi="Times New Roman"/>
          <w:sz w:val="18"/>
          <w:szCs w:val="18"/>
          <w:color w:val="auto"/>
        </w:rPr>
      </w:pPr>
    </w:p>
    <w:p>
      <w:pPr>
        <w:ind w:right="20" w:firstLine="889"/>
        <w:spacing w:after="0" w:line="282" w:lineRule="auto"/>
        <w:tabs>
          <w:tab w:leader="none" w:pos="11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61" w:lineRule="exact"/>
        <w:rPr>
          <w:rFonts w:ascii="Times New Roman" w:cs="Times New Roman" w:eastAsia="Times New Roman" w:hAnsi="Times New Roman"/>
          <w:sz w:val="18"/>
          <w:szCs w:val="18"/>
          <w:color w:val="auto"/>
        </w:rPr>
      </w:pPr>
    </w:p>
    <w:p>
      <w:pPr>
        <w:ind w:right="340" w:firstLine="889"/>
        <w:spacing w:after="0" w:line="282" w:lineRule="auto"/>
        <w:tabs>
          <w:tab w:leader="none" w:pos="11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 of any Option or SAR;</w:t>
      </w:r>
    </w:p>
    <w:p>
      <w:pPr>
        <w:spacing w:after="0" w:line="225"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75" w:lineRule="exact"/>
        <w:rPr>
          <w:rFonts w:ascii="Times New Roman" w:cs="Times New Roman" w:eastAsia="Times New Roman" w:hAnsi="Times New Roman"/>
          <w:sz w:val="18"/>
          <w:szCs w:val="18"/>
          <w:color w:val="auto"/>
        </w:rPr>
      </w:pPr>
    </w:p>
    <w:p>
      <w:pPr>
        <w:ind w:right="20" w:firstLine="889"/>
        <w:spacing w:after="0" w:line="261" w:lineRule="auto"/>
        <w:tabs>
          <w:tab w:leader="none" w:pos="11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79"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7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to exchange or buy out any previously granted Award for a payment in cash, Shares or other Award;</w:t>
      </w:r>
    </w:p>
    <w:p>
      <w:pPr>
        <w:spacing w:after="0" w:line="225" w:lineRule="exact"/>
        <w:rPr>
          <w:rFonts w:ascii="Times New Roman" w:cs="Times New Roman" w:eastAsia="Times New Roman" w:hAnsi="Times New Roman"/>
          <w:sz w:val="18"/>
          <w:szCs w:val="18"/>
          <w:color w:val="auto"/>
        </w:rPr>
      </w:pPr>
    </w:p>
    <w:p>
      <w:pPr>
        <w:ind w:right="780" w:firstLine="889"/>
        <w:spacing w:after="0" w:line="282" w:lineRule="auto"/>
        <w:tabs>
          <w:tab w:leader="none" w:pos="10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to make all determinations, including factual determinations, necessary or advisable for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3" w:name="page14"/>
    <w:bookmarkEnd w:id="13"/>
    <w:p>
      <w:pPr>
        <w:ind w:left="1140" w:hanging="251"/>
        <w:spacing w:after="0"/>
        <w:tabs>
          <w:tab w:leader="none" w:pos="11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amend, suspend, waive and rescind rules and regulations relating to the Plan;</w:t>
      </w:r>
    </w:p>
    <w:p>
      <w:pPr>
        <w:spacing w:after="0" w:line="22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as the Committee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right="40" w:firstLine="889"/>
        <w:spacing w:after="0" w:line="272" w:lineRule="auto"/>
        <w:tabs>
          <w:tab w:leader="none" w:pos="1186"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1" w:lineRule="exact"/>
        <w:rPr>
          <w:rFonts w:ascii="Times New Roman" w:cs="Times New Roman" w:eastAsia="Times New Roman" w:hAnsi="Times New Roman"/>
          <w:sz w:val="17"/>
          <w:szCs w:val="17"/>
          <w:color w:val="auto"/>
        </w:rPr>
      </w:pPr>
    </w:p>
    <w:p>
      <w:pPr>
        <w:ind w:right="20" w:firstLine="8"/>
        <w:spacing w:after="0" w:line="260"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8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with the consent of the Grantee, outstanding Awards and to grant new Awards in substitution therefor;</w:t>
      </w:r>
    </w:p>
    <w:p>
      <w:pPr>
        <w:spacing w:after="0" w:line="225" w:lineRule="exact"/>
        <w:rPr>
          <w:rFonts w:ascii="Times New Roman" w:cs="Times New Roman" w:eastAsia="Times New Roman" w:hAnsi="Times New Roman"/>
          <w:sz w:val="18"/>
          <w:szCs w:val="18"/>
          <w:color w:val="auto"/>
        </w:rPr>
      </w:pPr>
    </w:p>
    <w:p>
      <w:pPr>
        <w:ind w:right="20" w:firstLine="889"/>
        <w:spacing w:after="0" w:line="312" w:lineRule="auto"/>
        <w:tabs>
          <w:tab w:leader="none" w:pos="1136"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39" w:lineRule="exact"/>
        <w:rPr>
          <w:rFonts w:ascii="Times New Roman" w:cs="Times New Roman" w:eastAsia="Times New Roman" w:hAnsi="Times New Roman"/>
          <w:sz w:val="17"/>
          <w:szCs w:val="17"/>
          <w:color w:val="auto"/>
        </w:rPr>
      </w:pPr>
    </w:p>
    <w:p>
      <w:pPr>
        <w:ind w:right="80" w:firstLine="889"/>
        <w:spacing w:after="0" w:line="266" w:lineRule="auto"/>
        <w:tabs>
          <w:tab w:leader="none" w:pos="11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61" w:lineRule="exact"/>
        <w:rPr>
          <w:rFonts w:ascii="Times New Roman" w:cs="Times New Roman" w:eastAsia="Times New Roman" w:hAnsi="Times New Roman"/>
          <w:sz w:val="18"/>
          <w:szCs w:val="18"/>
          <w:color w:val="auto"/>
        </w:rPr>
      </w:pPr>
    </w:p>
    <w:p>
      <w:pPr>
        <w:ind w:right="340" w:firstLine="889"/>
        <w:spacing w:after="0" w:line="282" w:lineRule="auto"/>
        <w:tabs>
          <w:tab w:leader="none" w:pos="110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62"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Repricings</w:t>
      </w:r>
      <w:r>
        <w:rPr>
          <w:rFonts w:ascii="Times New Roman" w:cs="Times New Roman" w:eastAsia="Times New Roman" w:hAnsi="Times New Roman"/>
          <w:sz w:val="18"/>
          <w:szCs w:val="18"/>
          <w:color w:val="auto"/>
        </w:rPr>
        <w:t>. Notwithstanding any provision in Section 3.2 to the contrary, the terms of any outstanding Option or SAR may not be amended:</w:t>
      </w:r>
    </w:p>
    <w:p>
      <w:pPr>
        <w:spacing w:after="0" w:line="27" w:lineRule="exact"/>
        <w:rPr>
          <w:sz w:val="20"/>
          <w:szCs w:val="20"/>
          <w:color w:val="auto"/>
        </w:rPr>
      </w:pPr>
    </w:p>
    <w:p>
      <w:pPr>
        <w:ind w:right="60" w:firstLine="8"/>
        <w:spacing w:after="0" w:line="252"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 Available for Grants</w:t>
      </w:r>
      <w:r>
        <w:rPr>
          <w:rFonts w:ascii="Times New Roman" w:cs="Times New Roman" w:eastAsia="Times New Roman" w:hAnsi="Times New Roman"/>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10,750,000 Shares. Up to a maximum of 10,750,000 Shares may be delivered pursuant to the exercise of Incentive Stock Options granted hereunder.</w:t>
      </w:r>
    </w:p>
    <w:p>
      <w:pPr>
        <w:spacing w:after="0" w:line="180"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87"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Shares delivered pursuant to the Plan may be, in whole or in part, authorized and unissued Shares, or treasury Shares, including Shares repurchased by the Company for purposes of the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Adjustments in Authorized Shares and Awards; Corporate Transaction, Liquidation or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889"/>
        <w:spacing w:after="0" w:line="253" w:lineRule="auto"/>
        <w:tabs>
          <w:tab w:leader="none" w:pos="11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Shares and Awards</w:t>
      </w:r>
      <w:r>
        <w:rPr>
          <w:rFonts w:ascii="Times New Roman" w:cs="Times New Roman" w:eastAsia="Times New Roman" w:hAnsi="Times New Roman"/>
          <w:sz w:val="18"/>
          <w:szCs w:val="18"/>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number of Shares subject to any Award denominated in Shares shall always be a whole number.</w:t>
      </w:r>
    </w:p>
    <w:p>
      <w:pPr>
        <w:spacing w:after="0" w:line="189" w:lineRule="exact"/>
        <w:rPr>
          <w:rFonts w:ascii="Times New Roman" w:cs="Times New Roman" w:eastAsia="Times New Roman" w:hAnsi="Times New Roman"/>
          <w:sz w:val="18"/>
          <w:szCs w:val="18"/>
          <w:color w:val="auto"/>
        </w:rPr>
      </w:pPr>
    </w:p>
    <w:p>
      <w:pPr>
        <w:ind w:firstLine="889"/>
        <w:spacing w:after="0" w:line="253" w:lineRule="auto"/>
        <w:tabs>
          <w:tab w:leader="none" w:pos="11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or Similar Corporate Transaction</w:t>
      </w:r>
      <w:r>
        <w:rPr>
          <w:rFonts w:ascii="Times New Roman" w:cs="Times New Roman" w:eastAsia="Times New Roman" w:hAnsi="Times New Roman"/>
          <w:sz w:val="18"/>
          <w:szCs w:val="18"/>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firstLine="889"/>
        <w:spacing w:after="0" w:line="256" w:lineRule="auto"/>
        <w:tabs>
          <w:tab w:leader="none" w:pos="11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or Dissolution of the Company</w:t>
      </w:r>
      <w:r>
        <w:rPr>
          <w:rFonts w:ascii="Times New Roman" w:cs="Times New Roman" w:eastAsia="Times New Roman" w:hAnsi="Times New Roman"/>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87" w:lineRule="exact"/>
        <w:rPr>
          <w:rFonts w:ascii="Times New Roman" w:cs="Times New Roman" w:eastAsia="Times New Roman" w:hAnsi="Times New Roman"/>
          <w:sz w:val="18"/>
          <w:szCs w:val="18"/>
          <w:color w:val="auto"/>
        </w:rPr>
      </w:pPr>
    </w:p>
    <w:p>
      <w:pPr>
        <w:ind w:firstLine="889"/>
        <w:spacing w:after="0" w:line="266" w:lineRule="auto"/>
        <w:tabs>
          <w:tab w:leader="none" w:pos="11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ELIGIBILITY AND GENERAL CONDITIONS OF AWARDS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To the extent not set forth in the Plan, the terms and conditions of each Award shall be set forth in an Award Agreement.</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General Terms and Termination of Affiliation</w:t>
      </w:r>
      <w:r>
        <w:rPr>
          <w:rFonts w:ascii="Times New Roman" w:cs="Times New Roman" w:eastAsia="Times New Roman" w:hAnsi="Times New Roman"/>
          <w:sz w:val="18"/>
          <w:szCs w:val="18"/>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889"/>
        <w:spacing w:after="0" w:line="266" w:lineRule="auto"/>
        <w:tabs>
          <w:tab w:leader="none" w:pos="11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75" w:lineRule="exact"/>
        <w:rPr>
          <w:rFonts w:ascii="Times New Roman" w:cs="Times New Roman" w:eastAsia="Times New Roman" w:hAnsi="Times New Roman"/>
          <w:sz w:val="18"/>
          <w:szCs w:val="18"/>
          <w:color w:val="auto"/>
        </w:rPr>
      </w:pPr>
    </w:p>
    <w:p>
      <w:pPr>
        <w:jc w:val="both"/>
        <w:ind w:firstLine="889"/>
        <w:spacing w:after="0" w:line="258" w:lineRule="auto"/>
        <w:tabs>
          <w:tab w:leader="none" w:pos="11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6" w:name="page17"/>
    <w:bookmarkEnd w:id="16"/>
    <w:p>
      <w:pPr>
        <w:ind w:right="20" w:firstLine="889"/>
        <w:spacing w:after="0" w:line="253" w:lineRule="auto"/>
        <w:tabs>
          <w:tab w:leader="none" w:pos="11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89"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as requiring the Committee to honor a QDRO except to the extent required under applicable law.</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Cancellation and Rescission of Awards</w:t>
      </w:r>
      <w:r>
        <w:rPr>
          <w:rFonts w:ascii="Times New Roman" w:cs="Times New Roman" w:eastAsia="Times New Roman" w:hAnsi="Times New Roman"/>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Stand-Alone, Tandem and Substitute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69" w:lineRule="auto"/>
        <w:tabs>
          <w:tab w:leader="none" w:pos="112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2" w:lineRule="exact"/>
        <w:rPr>
          <w:rFonts w:ascii="Times New Roman" w:cs="Times New Roman" w:eastAsia="Times New Roman" w:hAnsi="Times New Roman"/>
          <w:sz w:val="17"/>
          <w:szCs w:val="17"/>
          <w:color w:val="auto"/>
        </w:rPr>
      </w:pPr>
    </w:p>
    <w:p>
      <w:pPr>
        <w:ind w:right="2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157" w:lineRule="exact"/>
        <w:rPr>
          <w:rFonts w:ascii="Times New Roman" w:cs="Times New Roman" w:eastAsia="Times New Roman" w:hAnsi="Times New Roman"/>
          <w:sz w:val="17"/>
          <w:szCs w:val="17"/>
          <w:color w:val="auto"/>
        </w:rPr>
      </w:pPr>
    </w:p>
    <w:p>
      <w:pPr>
        <w:ind w:right="80" w:firstLine="889"/>
        <w:spacing w:after="0" w:line="254" w:lineRule="auto"/>
        <w:tabs>
          <w:tab w:leader="none" w:pos="1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Rule 16b-3</w:t>
      </w:r>
      <w:r>
        <w:rPr>
          <w:rFonts w:ascii="Times New Roman" w:cs="Times New Roman" w:eastAsia="Times New Roman" w:hAnsi="Times New Roman"/>
          <w:sz w:val="18"/>
          <w:szCs w:val="18"/>
          <w:color w:val="auto"/>
        </w:rPr>
        <w:t>. The provisions of this Section 5.7will not apply unless and until the Company has a class of stock that is registered under Section 12 of the Exchange Act.</w:t>
      </w:r>
    </w:p>
    <w:p>
      <w:pPr>
        <w:spacing w:after="0" w:line="162" w:lineRule="exact"/>
        <w:rPr>
          <w:sz w:val="20"/>
          <w:szCs w:val="20"/>
          <w:color w:val="auto"/>
        </w:rPr>
      </w:pPr>
    </w:p>
    <w:p>
      <w:pPr>
        <w:ind w:right="180" w:firstLine="889"/>
        <w:spacing w:after="0" w:line="256" w:lineRule="auto"/>
        <w:tabs>
          <w:tab w:leader="none" w:pos="11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Six-Month Holding Period Advice</w:t>
      </w:r>
      <w:r>
        <w:rPr>
          <w:rFonts w:ascii="Times New Roman" w:cs="Times New Roman" w:eastAsia="Times New Roman" w:hAnsi="Times New Roman"/>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ind w:firstLine="889"/>
        <w:spacing w:after="0" w:line="258" w:lineRule="auto"/>
        <w:tabs>
          <w:tab w:leader="none" w:pos="11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 to Comply with Exchange Act Rules</w:t>
      </w:r>
      <w:r>
        <w:rPr>
          <w:rFonts w:ascii="Times New Roman" w:cs="Times New Roman" w:eastAsia="Times New Roman" w:hAnsi="Times New Roman"/>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83" w:lineRule="exact"/>
        <w:rPr>
          <w:rFonts w:ascii="Times New Roman" w:cs="Times New Roman" w:eastAsia="Times New Roman" w:hAnsi="Times New Roman"/>
          <w:sz w:val="18"/>
          <w:szCs w:val="18"/>
          <w:color w:val="auto"/>
        </w:rPr>
      </w:pPr>
    </w:p>
    <w:p>
      <w:pPr>
        <w:ind w:right="120" w:firstLine="889"/>
        <w:spacing w:after="0" w:line="277" w:lineRule="auto"/>
        <w:tabs>
          <w:tab w:leader="none" w:pos="112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16b-3 Administration</w:t>
      </w:r>
      <w:r>
        <w:rPr>
          <w:rFonts w:ascii="Times New Roman" w:cs="Times New Roman" w:eastAsia="Times New Roman" w:hAnsi="Times New Roman"/>
          <w:sz w:val="17"/>
          <w:szCs w:val="17"/>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Deferral of Award Payouts</w:t>
      </w:r>
      <w:r>
        <w:rPr>
          <w:rFonts w:ascii="Times New Roman" w:cs="Times New Roman" w:eastAsia="Times New Roman" w:hAnsi="Times New Roman"/>
          <w:sz w:val="18"/>
          <w:szCs w:val="18"/>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76"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Grant of Incentive Stock Options</w:t>
      </w:r>
      <w:r>
        <w:rPr>
          <w:rFonts w:ascii="Times New Roman" w:cs="Times New Roman" w:eastAsia="Times New Roman" w:hAnsi="Times New Roman"/>
          <w:sz w:val="18"/>
          <w:szCs w:val="18"/>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2" w:lineRule="exact"/>
        <w:rPr>
          <w:sz w:val="20"/>
          <w:szCs w:val="20"/>
          <w:color w:val="auto"/>
        </w:rPr>
      </w:pPr>
    </w:p>
    <w:p>
      <w:pPr>
        <w:ind w:left="1140" w:hanging="251"/>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granted only to an employee of the Company or a Subsidiary Corporation;</w:t>
      </w:r>
    </w:p>
    <w:p>
      <w:pPr>
        <w:spacing w:after="0" w:line="225" w:lineRule="exact"/>
        <w:rPr>
          <w:rFonts w:ascii="Times New Roman" w:cs="Times New Roman" w:eastAsia="Times New Roman" w:hAnsi="Times New Roman"/>
          <w:sz w:val="18"/>
          <w:szCs w:val="18"/>
          <w:color w:val="auto"/>
        </w:rPr>
      </w:pPr>
    </w:p>
    <w:p>
      <w:pPr>
        <w:jc w:val="both"/>
        <w:ind w:right="180" w:firstLine="889"/>
        <w:spacing w:after="0" w:line="261" w:lineRule="auto"/>
        <w:tabs>
          <w:tab w:leader="none" w:pos="11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right="420" w:firstLine="889"/>
        <w:spacing w:after="0" w:line="282" w:lineRule="auto"/>
        <w:tabs>
          <w:tab w:leader="none" w:pos="1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61"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79"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75" w:lineRule="exact"/>
        <w:rPr>
          <w:rFonts w:ascii="Times New Roman" w:cs="Times New Roman" w:eastAsia="Times New Roman" w:hAnsi="Times New Roman"/>
          <w:sz w:val="18"/>
          <w:szCs w:val="18"/>
          <w:color w:val="auto"/>
        </w:rPr>
      </w:pPr>
    </w:p>
    <w:p>
      <w:pPr>
        <w:ind w:right="220" w:firstLine="889"/>
        <w:spacing w:after="0" w:line="266"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75"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2"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176" w:lineRule="exact"/>
        <w:rPr>
          <w:sz w:val="20"/>
          <w:szCs w:val="20"/>
          <w:color w:val="auto"/>
        </w:rPr>
      </w:pPr>
    </w:p>
    <w:p>
      <w:pPr>
        <w:ind w:left="1140" w:hanging="25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personal check or wire transfer;</w:t>
      </w:r>
    </w:p>
    <w:p>
      <w:pPr>
        <w:spacing w:after="0" w:line="225" w:lineRule="exact"/>
        <w:rPr>
          <w:rFonts w:ascii="Times New Roman" w:cs="Times New Roman" w:eastAsia="Times New Roman" w:hAnsi="Times New Roman"/>
          <w:sz w:val="18"/>
          <w:szCs w:val="18"/>
          <w:color w:val="auto"/>
        </w:rPr>
      </w:pPr>
    </w:p>
    <w:p>
      <w:pPr>
        <w:ind w:right="60" w:firstLine="889"/>
        <w:spacing w:after="0" w:line="282"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delivery of Common Stock owned by the Grantee prior to exercise, valued at Fair Market Value on the date of exercise;</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Shares acquired upon the exercise of such Option, such Shares valued at Fair Market Value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exercise;</w:t>
      </w:r>
    </w:p>
    <w:p>
      <w:pPr>
        <w:spacing w:after="0" w:line="206" w:lineRule="exact"/>
        <w:rPr>
          <w:rFonts w:ascii="Times New Roman" w:cs="Times New Roman" w:eastAsia="Times New Roman" w:hAnsi="Times New Roman"/>
          <w:sz w:val="18"/>
          <w:szCs w:val="18"/>
          <w:color w:val="auto"/>
        </w:rPr>
      </w:pPr>
    </w:p>
    <w:p>
      <w:pPr>
        <w:ind w:right="140" w:firstLine="889"/>
        <w:spacing w:after="0" w:line="282" w:lineRule="auto"/>
        <w:tabs>
          <w:tab w:leader="none" w:pos="11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Restricted Shares held by the Grantee prior to the exercise of the Option, valued at Fair Market Value on the date of exercise; or</w:t>
      </w:r>
    </w:p>
    <w:p>
      <w:pPr>
        <w:spacing w:after="0" w:line="161" w:lineRule="exact"/>
        <w:rPr>
          <w:rFonts w:ascii="Times New Roman" w:cs="Times New Roman" w:eastAsia="Times New Roman" w:hAnsi="Times New Roman"/>
          <w:sz w:val="18"/>
          <w:szCs w:val="18"/>
          <w:color w:val="auto"/>
        </w:rPr>
      </w:pPr>
    </w:p>
    <w:p>
      <w:pPr>
        <w:ind w:right="80" w:firstLine="889"/>
        <w:spacing w:after="0" w:line="261" w:lineRule="auto"/>
        <w:tabs>
          <w:tab w:leader="none" w:pos="1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5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SAR Exercise Price</w:t>
      </w:r>
      <w:r>
        <w:rPr>
          <w:rFonts w:ascii="Times New Roman" w:cs="Times New Roman" w:eastAsia="Times New Roman" w:hAnsi="Times New Roman"/>
          <w:sz w:val="18"/>
          <w:szCs w:val="18"/>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6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the exercise of an SAR, a Grantee shall be entitled to receive payment from the Company in an amount determined by multiplying:</w:t>
      </w:r>
    </w:p>
    <w:p>
      <w:pPr>
        <w:spacing w:after="0" w:line="162" w:lineRule="exact"/>
        <w:rPr>
          <w:sz w:val="20"/>
          <w:szCs w:val="20"/>
          <w:color w:val="auto"/>
        </w:rPr>
      </w:pPr>
    </w:p>
    <w:p>
      <w:pPr>
        <w:ind w:left="1140" w:hanging="25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Exercise Price; by</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62"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Consideration for Restricted Shares</w:t>
      </w:r>
      <w:r>
        <w:rPr>
          <w:rFonts w:ascii="Times New Roman" w:cs="Times New Roman" w:eastAsia="Times New Roman" w:hAnsi="Times New Roman"/>
          <w:sz w:val="18"/>
          <w:szCs w:val="18"/>
          <w:color w:val="auto"/>
        </w:rPr>
        <w:t>. The Committee shall determine the amount, if any, that a Grantee shall pay for Restricted Shares.</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Effect of Forfeiture</w:t>
      </w:r>
      <w:r>
        <w:rPr>
          <w:rFonts w:ascii="Times New Roman" w:cs="Times New Roman" w:eastAsia="Times New Roman" w:hAnsi="Times New Roman"/>
          <w:sz w:val="18"/>
          <w:szCs w:val="18"/>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87" w:lineRule="exact"/>
        <w:rPr>
          <w:sz w:val="20"/>
          <w:szCs w:val="20"/>
          <w:color w:val="auto"/>
        </w:rPr>
      </w:pPr>
    </w:p>
    <w:p>
      <w:pPr>
        <w:ind w:right="280" w:firstLine="441"/>
        <w:spacing w:after="0" w:line="27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Escrow; Legends</w:t>
      </w:r>
      <w:r>
        <w:rPr>
          <w:rFonts w:ascii="Times New Roman" w:cs="Times New Roman" w:eastAsia="Times New Roman" w:hAnsi="Times New Roman"/>
          <w:sz w:val="17"/>
          <w:szCs w:val="17"/>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spacing w:after="0" w:line="1" w:lineRule="exact"/>
        <w:rPr>
          <w:sz w:val="20"/>
          <w:szCs w:val="20"/>
          <w:color w:val="auto"/>
        </w:rPr>
      </w:pPr>
    </w:p>
    <w:p>
      <w:pPr>
        <w:ind w:right="28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UNITS AND PERFORMANCE SHARES</w:t>
      </w:r>
    </w:p>
    <w:p>
      <w:pPr>
        <w:spacing w:after="0" w:line="207" w:lineRule="exact"/>
        <w:rPr>
          <w:sz w:val="20"/>
          <w:szCs w:val="20"/>
          <w:color w:val="auto"/>
        </w:rPr>
      </w:pPr>
    </w:p>
    <w:p>
      <w:pPr>
        <w:ind w:right="5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 of Performance Units and Performance Shares</w:t>
      </w:r>
      <w:r>
        <w:rPr>
          <w:rFonts w:ascii="Times New Roman" w:cs="Times New Roman" w:eastAsia="Times New Roman" w:hAnsi="Times New Roman"/>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Value/Performance Goals</w:t>
      </w:r>
      <w:r>
        <w:rPr>
          <w:rFonts w:ascii="Times New Roman" w:cs="Times New Roman" w:eastAsia="Times New Roman" w:hAnsi="Times New Roman"/>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62" w:lineRule="exact"/>
        <w:rPr>
          <w:sz w:val="20"/>
          <w:szCs w:val="20"/>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Each Performance Unit shall have an initial value that is established by the Committee at the time of grant.</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Each Performance Share shall have an initial value equal to the Fair Market Value of a Share on the date of grant.</w:t>
      </w:r>
    </w:p>
    <w:p>
      <w:pPr>
        <w:spacing w:after="0" w:line="22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Earning of Performance Units and Performance Shares</w:t>
      </w:r>
      <w:r>
        <w:rPr>
          <w:rFonts w:ascii="Times New Roman" w:cs="Times New Roman" w:eastAsia="Times New Roman" w:hAnsi="Times New Roman"/>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80"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STOCK AND RESTRICTED STOCK UNITS</w:t>
      </w:r>
    </w:p>
    <w:p>
      <w:pPr>
        <w:spacing w:after="0" w:line="20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Deferred Stock and Restricted Stock Units</w:t>
      </w:r>
      <w:r>
        <w:rPr>
          <w:rFonts w:ascii="Times New Roman" w:cs="Times New Roman" w:eastAsia="Times New Roman" w:hAnsi="Times New Roman"/>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Vesting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889"/>
        <w:spacing w:after="0" w:line="254" w:lineRule="auto"/>
        <w:tabs>
          <w:tab w:leader="none" w:pos="11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Deferred Stock</w:t>
      </w:r>
      <w:r>
        <w:rPr>
          <w:rFonts w:ascii="Times New Roman" w:cs="Times New Roman" w:eastAsia="Times New Roman" w:hAnsi="Times New Roman"/>
          <w:sz w:val="18"/>
          <w:szCs w:val="18"/>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Restricted Stock Units</w:t>
      </w:r>
      <w:r>
        <w:rPr>
          <w:rFonts w:ascii="Times New Roman" w:cs="Times New Roman" w:eastAsia="Times New Roman" w:hAnsi="Times New Roman"/>
          <w:sz w:val="18"/>
          <w:szCs w:val="18"/>
          <w:color w:val="auto"/>
        </w:rPr>
        <w:t>. Delivery of Shares subject to a grant of Restricted Stock Units shall occur no later than the</w:t>
      </w:r>
    </w:p>
    <w:p>
      <w:pPr>
        <w:spacing w:after="0" w:line="2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Voting and Dividend Equivalent Rights Attributable to Deferred Stock and Restricted Stock Units</w:t>
      </w:r>
      <w:r>
        <w:rPr>
          <w:rFonts w:ascii="Times New Roman" w:cs="Times New Roman" w:eastAsia="Times New Roman" w:hAnsi="Times New Roman"/>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20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0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AWARDS</w:t>
      </w:r>
    </w:p>
    <w:p>
      <w:pPr>
        <w:spacing w:after="0" w:line="20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spacing w:after="0" w:line="18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Lead Independent Director and Non-Employee Director Chair Awards</w:t>
      </w:r>
      <w:r>
        <w:rPr>
          <w:rFonts w:ascii="Times New Roman" w:cs="Times New Roman" w:eastAsia="Times New Roman" w:hAnsi="Times New Roman"/>
          <w:sz w:val="18"/>
          <w:szCs w:val="18"/>
          <w:color w:val="auto"/>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3"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COMPLIANCE WITH CODE SECTION 409A</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Awards Subject to Code Section 409A</w:t>
      </w:r>
      <w:r>
        <w:rPr>
          <w:rFonts w:ascii="Times New Roman" w:cs="Times New Roman" w:eastAsia="Times New Roman" w:hAnsi="Times New Roman"/>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76" w:lineRule="exact"/>
        <w:rPr>
          <w:sz w:val="20"/>
          <w:szCs w:val="20"/>
          <w:color w:val="auto"/>
        </w:rPr>
      </w:pPr>
    </w:p>
    <w:p>
      <w:pPr>
        <w:ind w:right="20" w:firstLine="441"/>
        <w:spacing w:after="0" w:line="27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Deferral and/or Distribution Elections</w:t>
      </w:r>
      <w:r>
        <w:rPr>
          <w:rFonts w:ascii="Times New Roman" w:cs="Times New Roman" w:eastAsia="Times New Roman" w:hAnsi="Times New Roman"/>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ind w:right="920" w:firstLine="889"/>
        <w:spacing w:after="0" w:line="312" w:lineRule="auto"/>
        <w:tabs>
          <w:tab w:leader="none" w:pos="112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39" w:lineRule="exact"/>
        <w:rPr>
          <w:rFonts w:ascii="Times New Roman" w:cs="Times New Roman" w:eastAsia="Times New Roman" w:hAnsi="Times New Roman"/>
          <w:sz w:val="17"/>
          <w:szCs w:val="17"/>
          <w:color w:val="auto"/>
        </w:rPr>
      </w:pPr>
    </w:p>
    <w:p>
      <w:pPr>
        <w:jc w:val="both"/>
        <w:ind w:firstLine="889"/>
        <w:spacing w:after="0" w:line="261" w:lineRule="auto"/>
        <w:tabs>
          <w:tab w:leader="none" w:pos="11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79" w:lineRule="exact"/>
        <w:rPr>
          <w:rFonts w:ascii="Times New Roman" w:cs="Times New Roman" w:eastAsia="Times New Roman" w:hAnsi="Times New Roman"/>
          <w:sz w:val="18"/>
          <w:szCs w:val="18"/>
          <w:color w:val="auto"/>
        </w:rPr>
      </w:pPr>
    </w:p>
    <w:p>
      <w:pPr>
        <w:ind w:right="100" w:firstLine="889"/>
        <w:spacing w:after="0" w:line="282" w:lineRule="auto"/>
        <w:tabs>
          <w:tab w:leader="none" w:pos="11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Subsequent Elections</w:t>
      </w:r>
      <w:r>
        <w:rPr>
          <w:rFonts w:ascii="Times New Roman" w:cs="Times New Roman" w:eastAsia="Times New Roman" w:hAnsi="Times New Roman"/>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62" w:lineRule="exact"/>
        <w:rPr>
          <w:sz w:val="20"/>
          <w:szCs w:val="20"/>
          <w:color w:val="auto"/>
        </w:rPr>
      </w:pPr>
    </w:p>
    <w:p>
      <w:pPr>
        <w:ind w:left="1140" w:hanging="251"/>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w:t>
      </w:r>
    </w:p>
    <w:p>
      <w:pPr>
        <w:spacing w:after="0" w:line="225"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61" w:lineRule="exact"/>
        <w:rPr>
          <w:rFonts w:ascii="Times New Roman" w:cs="Times New Roman" w:eastAsia="Times New Roman" w:hAnsi="Times New Roman"/>
          <w:sz w:val="18"/>
          <w:szCs w:val="18"/>
          <w:color w:val="auto"/>
        </w:rPr>
      </w:pPr>
    </w:p>
    <w:p>
      <w:pPr>
        <w:ind w:right="520" w:firstLine="889"/>
        <w:spacing w:after="0" w:line="282" w:lineRule="auto"/>
        <w:tabs>
          <w:tab w:leader="none" w:pos="11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Distributions Pursuant to Deferral Elections</w:t>
      </w:r>
      <w:r>
        <w:rPr>
          <w:rFonts w:ascii="Times New Roman" w:cs="Times New Roman" w:eastAsia="Times New Roman" w:hAnsi="Times New Roman"/>
          <w:sz w:val="18"/>
          <w:szCs w:val="18"/>
          <w:color w:val="auto"/>
        </w:rPr>
        <w:t>. Except as otherwise permitted or required by Code Section 409A, no distribution in settlement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may commence earlier than:</w:t>
      </w:r>
    </w:p>
    <w:p>
      <w:pPr>
        <w:spacing w:after="0" w:line="207" w:lineRule="exact"/>
        <w:rPr>
          <w:sz w:val="20"/>
          <w:szCs w:val="20"/>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Participant becomes Disabled (as defined in Section 2.15(b);</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ind w:right="160" w:firstLine="889"/>
        <w:spacing w:after="0" w:line="282" w:lineRule="auto"/>
        <w:tabs>
          <w:tab w:leader="none" w:pos="11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the Company or a substantial portion of its assets within the meaning of Treasury Regulation Section 1.409A-3(i)</w:t>
      </w:r>
    </w:p>
    <w:p>
      <w:pPr>
        <w:spacing w:after="0" w:line="27" w:lineRule="exact"/>
        <w:rPr>
          <w:rFonts w:ascii="Times New Roman" w:cs="Times New Roman" w:eastAsia="Times New Roman" w:hAnsi="Times New Roman"/>
          <w:sz w:val="18"/>
          <w:szCs w:val="18"/>
          <w:color w:val="auto"/>
        </w:rPr>
      </w:pPr>
    </w:p>
    <w:p>
      <w:pPr>
        <w:ind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(5)(v) or (vii) or a change in effective control of the Company within the meaning of Treasury Regulation Section 1.409A-3(i)(5)(vi) (a “Change in Control”).</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Six Month Delay</w:t>
      </w:r>
      <w:r>
        <w:rPr>
          <w:rFonts w:ascii="Times New Roman" w:cs="Times New Roman" w:eastAsia="Times New Roman" w:hAnsi="Times New Roman"/>
          <w:sz w:val="18"/>
          <w:szCs w:val="18"/>
          <w:color w:val="auto"/>
        </w:rPr>
        <w:t>. Notwithstanding anything herein or in any Award Agreement or Election to the contrary, to the extent that distribution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Regulation Section 1.409A-1(i)), no distribution may be made before the date which is six (6) months after such Grantee’s Separation from Service, or, if earlier, the date of the Grantee’s death.</w:t>
      </w:r>
    </w:p>
    <w:p>
      <w:pPr>
        <w:spacing w:after="0" w:line="181" w:lineRule="exact"/>
        <w:rPr>
          <w:sz w:val="20"/>
          <w:szCs w:val="20"/>
          <w:color w:val="auto"/>
        </w:rPr>
      </w:pPr>
    </w:p>
    <w:p>
      <w:pPr>
        <w:jc w:val="both"/>
        <w:ind w:right="3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 Acceleration of Distributions</w:t>
      </w:r>
      <w:r>
        <w:rPr>
          <w:rFonts w:ascii="Times New Roman" w:cs="Times New Roman" w:eastAsia="Times New Roman" w:hAnsi="Times New Roman"/>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Required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8" w:lineRule="auto"/>
        <w:tabs>
          <w:tab w:leader="none" w:pos="112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3"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75" w:lineRule="exact"/>
        <w:rPr>
          <w:rFonts w:ascii="Times New Roman" w:cs="Times New Roman" w:eastAsia="Times New Roman" w:hAnsi="Times New Roman"/>
          <w:sz w:val="18"/>
          <w:szCs w:val="18"/>
          <w:color w:val="auto"/>
        </w:rPr>
      </w:pPr>
    </w:p>
    <w:p>
      <w:pPr>
        <w:ind w:left="1600" w:hanging="270"/>
        <w:spacing w:after="0"/>
        <w:tabs>
          <w:tab w:leader="none" w:pos="16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part or all of the amount to be withheld in the form of Common Stock valued at its Fair Market Value on the Tax Date;</w:t>
      </w:r>
    </w:p>
    <w:p>
      <w:pPr>
        <w:spacing w:after="0" w:line="225" w:lineRule="exact"/>
        <w:rPr>
          <w:rFonts w:ascii="Times New Roman" w:cs="Times New Roman" w:eastAsia="Times New Roman" w:hAnsi="Times New Roman"/>
          <w:sz w:val="18"/>
          <w:szCs w:val="18"/>
          <w:color w:val="auto"/>
        </w:rPr>
      </w:pPr>
    </w:p>
    <w:p>
      <w:pPr>
        <w:ind w:left="880" w:right="60" w:firstLine="450"/>
        <w:spacing w:after="0" w:line="266" w:lineRule="auto"/>
        <w:tabs>
          <w:tab w:leader="none" w:pos="16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75" w:lineRule="exact"/>
        <w:rPr>
          <w:rFonts w:ascii="Times New Roman" w:cs="Times New Roman" w:eastAsia="Times New Roman" w:hAnsi="Times New Roman"/>
          <w:sz w:val="18"/>
          <w:szCs w:val="18"/>
          <w:color w:val="auto"/>
        </w:rPr>
      </w:pPr>
    </w:p>
    <w:p>
      <w:pPr>
        <w:ind w:left="1640" w:hanging="310"/>
        <w:spacing w:after="0"/>
        <w:tabs>
          <w:tab w:leader="none" w:pos="1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due to the Grantee.</w:t>
      </w:r>
    </w:p>
    <w:p>
      <w:pPr>
        <w:spacing w:after="0" w:line="225" w:lineRule="exact"/>
        <w:rPr>
          <w:sz w:val="20"/>
          <w:szCs w:val="20"/>
          <w:color w:val="auto"/>
        </w:rPr>
      </w:pPr>
    </w:p>
    <w:p>
      <w:pPr>
        <w:ind w:left="440" w:right="40" w:firstLine="441"/>
        <w:spacing w:after="0" w:line="256" w:lineRule="auto"/>
        <w:rPr>
          <w:sz w:val="20"/>
          <w:szCs w:val="20"/>
          <w:color w:val="auto"/>
        </w:rPr>
      </w:pPr>
      <w:r>
        <w:rPr>
          <w:rFonts w:ascii="Times New Roman" w:cs="Times New Roman" w:eastAsia="Times New Roman" w:hAnsi="Times New Roman"/>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87" w:lineRule="exact"/>
        <w:rPr>
          <w:sz w:val="20"/>
          <w:szCs w:val="20"/>
          <w:color w:val="auto"/>
        </w:rPr>
      </w:pPr>
    </w:p>
    <w:p>
      <w:pPr>
        <w:ind w:right="340" w:firstLine="889"/>
        <w:spacing w:after="0" w:line="282" w:lineRule="auto"/>
        <w:tabs>
          <w:tab w:leader="none" w:pos="1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Notification under Code Section 83(b)</w:t>
      </w:r>
      <w:r>
        <w:rPr>
          <w:rFonts w:ascii="Times New Roman" w:cs="Times New Roman" w:eastAsia="Times New Roman" w:hAnsi="Times New Roman"/>
          <w:sz w:val="18"/>
          <w:szCs w:val="18"/>
          <w:color w:val="auto"/>
        </w:rPr>
        <w:t>. If the Grantee, in connection with the exercise of any Option, or the grant of Restricted Shares, makes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permitted under Section 83(b) of the Code to include in such Grantee’s gross income in the year of transfer the amounts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83(b) of the Code, then such Grantee shall notify the Company of such election within 10 days of filing the notice of the election with the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Service, in addition to any filing and notification required pursuant to regulations issued under Section 83(b) of the Code. The Committee may,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grant of an Award or at any time thereafter, prohibit a Grantee from making the election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07"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2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89"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0" w:lineRule="exact"/>
        <w:rPr>
          <w:sz w:val="20"/>
          <w:szCs w:val="20"/>
          <w:color w:val="auto"/>
        </w:rPr>
      </w:pPr>
    </w:p>
    <w:p>
      <w:pPr>
        <w:ind w:right="2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89"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3"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Unfunded Status of Awards; Creation of Trusts</w:t>
      </w:r>
      <w:r>
        <w:rPr>
          <w:rFonts w:ascii="Times New Roman" w:cs="Times New Roman" w:eastAsia="Times New Roman" w:hAnsi="Times New Roman"/>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83"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Affiliation</w:t>
      </w:r>
      <w:r>
        <w:rPr>
          <w:rFonts w:ascii="Times New Roman" w:cs="Times New Roman" w:eastAsia="Times New Roman" w:hAnsi="Times New Roman"/>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76"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No employee or officer shall have the right to be selected to receive an Award under this Plan or, having been so selected, to be selected to receive a future Award.</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Military Service</w:t>
      </w:r>
      <w:r>
        <w:rPr>
          <w:rFonts w:ascii="Times New Roman" w:cs="Times New Roman" w:eastAsia="Times New Roman" w:hAnsi="Times New Roman"/>
          <w:sz w:val="18"/>
          <w:szCs w:val="18"/>
          <w:color w:val="auto"/>
        </w:rPr>
        <w:t>. Awards shall be administered in accordance with Section 414(u) of the Code and the Uniformed Services Employment and Reemployment Rights Act of 1994.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following rules of construction will apply to the Plan: (a) the word “or” is disjunctive but not necessarily exclusive, and</w:t>
      </w:r>
    </w:p>
    <w:p>
      <w:pPr>
        <w:spacing w:after="0" w:line="27" w:lineRule="exact"/>
        <w:rPr>
          <w:sz w:val="20"/>
          <w:szCs w:val="20"/>
          <w:color w:val="auto"/>
        </w:rPr>
      </w:pPr>
    </w:p>
    <w:p>
      <w:pPr>
        <w:ind w:right="340" w:firstLine="8"/>
        <w:spacing w:after="0" w:line="260"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are included solely for convenience of reference, and if there is any conflict between such headings and the text of this Plan, the text shall control.</w:t>
      </w:r>
    </w:p>
    <w:p>
      <w:pPr>
        <w:spacing w:after="0" w:line="162"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u w:val="single" w:color="auto"/>
          <w:color w:val="auto"/>
        </w:rPr>
        <w:t>No Right to Continue as Director</w:t>
      </w:r>
      <w:r>
        <w:rPr>
          <w:rFonts w:ascii="Times New Roman" w:cs="Times New Roman" w:eastAsia="Times New Roman" w:hAnsi="Times New Roman"/>
          <w:sz w:val="18"/>
          <w:szCs w:val="18"/>
          <w:color w:val="auto"/>
        </w:rPr>
        <w:t>. Nothing in the Plan or any Award Agreement shall confer upon any Non-Employee Director the right to continue to serve as a director of the Company.</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ectPr>
          <w:pgSz w:w="11900" w:h="16838" w:orient="portrait"/>
          <w:cols w:equalWidth="0" w:num="1">
            <w:col w:w="10900"/>
          </w:cols>
          <w:pgMar w:left="320" w:top="769" w:right="6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8"/>
                <w:szCs w:val="18"/>
                <w:color w:val="auto"/>
              </w:rPr>
            </w:pPr>
          </w:p>
        </w:tc>
        <w:tc>
          <w:tcPr>
            <w:tcW w:w="15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38"/>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100" w:type="dxa"/>
            <w:vAlign w:val="bottom"/>
          </w:tcPr>
          <w:p>
            <w:pPr>
              <w:spacing w:after="0"/>
              <w:rPr>
                <w:sz w:val="20"/>
                <w:szCs w:val="20"/>
                <w:color w:val="auto"/>
              </w:rPr>
            </w:pPr>
          </w:p>
        </w:tc>
        <w:tc>
          <w:tcPr>
            <w:tcW w:w="156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Offering Price</w:t>
            </w:r>
          </w:p>
        </w:tc>
        <w:tc>
          <w:tcPr>
            <w:tcW w:w="1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191"/>
        </w:trPr>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457(c) and</w:t>
            </w: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23.27 (2)</w:t>
            </w:r>
          </w:p>
        </w:tc>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$46,540,000.00 (2)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0.00014760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$46,540,000.00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r>
              <w:rPr>
                <w:rFonts w:ascii="Times New Roman" w:cs="Times New Roman" w:eastAsia="Times New Roman" w:hAnsi="Times New Roman"/>
                <w:sz w:val="18"/>
                <w:szCs w:val="18"/>
                <w:u w:val="single" w:color="auto"/>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Fee Offsets (3)</w:t>
            </w: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Net Fee Due</w:t>
            </w:r>
          </w:p>
        </w:tc>
        <w:tc>
          <w:tcPr>
            <w:tcW w:w="2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r>
              <w:rPr>
                <w:rFonts w:ascii="Times New Roman" w:cs="Times New Roman" w:eastAsia="Times New Roman" w:hAnsi="Times New Roman"/>
                <w:sz w:val="18"/>
                <w:szCs w:val="18"/>
                <w:u w:val="single" w:color="auto"/>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00" w:right="60" w:hanging="265"/>
        <w:spacing w:after="0" w:line="256" w:lineRule="auto"/>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an additional 2,000,000 shares of common stock of the Registrant authorized to be offered and sold under the Arcturus Therapeutics Holdings Inc. Amended and Restated 2019 Omnibus Equity Incentive Plan (as amended, the “2019 Plan”). In addition, pursuant to Rule 416(a) of the Securities Act of 1933, as amended, this Registration Statement shall also cover any additional shares of the Registrant’s common stock that become issuable under the 2019 Plan by reason of any stock dividend, stock split, recapitalization or other similar transaction effected without receipt of consideration that increases the number of the Registrant’s outstanding shares of common stock.</w:t>
      </w:r>
    </w:p>
    <w:p>
      <w:pPr>
        <w:spacing w:after="0" w:line="3" w:lineRule="exact"/>
        <w:rPr>
          <w:rFonts w:ascii="Times New Roman" w:cs="Times New Roman" w:eastAsia="Times New Roman" w:hAnsi="Times New Roman"/>
          <w:sz w:val="18"/>
          <w:szCs w:val="18"/>
          <w:color w:val="auto"/>
        </w:rPr>
      </w:pPr>
    </w:p>
    <w:p>
      <w:pPr>
        <w:jc w:val="both"/>
        <w:ind w:left="300" w:right="20" w:hanging="265"/>
        <w:spacing w:after="0" w:line="260" w:lineRule="auto"/>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of the Registrant’s common stock are based upon the average of the high and low prices of the common stock on July 11, 2024, as reported on the Nasdaq Stock Market, which date is within five business days prior to the filing of this Registration Statement.</w:t>
      </w:r>
    </w:p>
    <w:p>
      <w:pPr>
        <w:spacing w:after="0" w:line="2" w:lineRule="exact"/>
        <w:rPr>
          <w:rFonts w:ascii="Times New Roman" w:cs="Times New Roman" w:eastAsia="Times New Roman" w:hAnsi="Times New Roman"/>
          <w:sz w:val="18"/>
          <w:szCs w:val="18"/>
          <w:color w:val="auto"/>
        </w:rPr>
      </w:pPr>
    </w:p>
    <w:p>
      <w:pPr>
        <w:ind w:left="300" w:hanging="265"/>
        <w:spacing w:after="0"/>
        <w:tabs>
          <w:tab w:leader="none" w:pos="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lowerLetter"/>
      <w:start w:val="1"/>
    </w:lvl>
  </w:abstractNum>
  <w:abstractNum w:abstractNumId="1">
    <w:nsid w:val="431BD7B7"/>
    <w:multiLevelType w:val="hybridMultilevel"/>
    <w:lvl w:ilvl="0">
      <w:lvlJc w:val="left"/>
      <w:lvlText w:val="%1"/>
      <w:numFmt w:val="lowerLetter"/>
      <w:start w:val="1"/>
    </w:lvl>
    <w:lvl w:ilvl="1">
      <w:lvlJc w:val="left"/>
      <w:lvlText w:val="(%2)"/>
      <w:numFmt w:val="lowerLetter"/>
      <w:start w:val="1"/>
    </w:lvl>
  </w:abstractNum>
  <w:abstractNum w:abstractNumId="2">
    <w:nsid w:val="3F2DBA31"/>
    <w:multiLevelType w:val="hybridMultilevel"/>
    <w:lvl w:ilvl="0">
      <w:lvlJc w:val="left"/>
      <w:lvlText w:val="(%1)"/>
      <w:numFmt w:val="lowerLetter"/>
      <w:start w:val="9"/>
    </w:lvl>
    <w:lvl w:ilvl="1">
      <w:lvlJc w:val="left"/>
      <w:lvlText w:val="(%2)"/>
      <w:numFmt w:val="lowerLetter"/>
      <w:start w:val="3"/>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Roman"/>
      <w:start w:val="1"/>
    </w:lvl>
  </w:abstractNum>
  <w:abstractNum w:abstractNumId="5">
    <w:nsid w:val="62BBD95A"/>
    <w:multiLevelType w:val="hybridMultilevel"/>
    <w:lvl w:ilvl="0">
      <w:lvlJc w:val="left"/>
      <w:lvlText w:val="(%1)"/>
      <w:numFmt w:val="lowerLetter"/>
      <w:start w:val="2"/>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3"/>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lvl w:ilvl="1">
      <w:lvlJc w:val="left"/>
      <w:lvlText w:val="(%2)"/>
      <w:numFmt w:val="lowerLetter"/>
      <w:start w:val="11"/>
    </w:lvl>
  </w:abstractNum>
  <w:abstractNum w:abstractNumId="10">
    <w:nsid w:val="2443A858"/>
    <w:multiLevelType w:val="hybridMultilevel"/>
    <w:lvl w:ilvl="0">
      <w:lvlJc w:val="left"/>
      <w:lvlText w:val="(%1)"/>
      <w:numFmt w:val="lowerLetter"/>
      <w:start w:val="35"/>
    </w:lvl>
    <w:lvl w:ilvl="1">
      <w:lvlJc w:val="left"/>
      <w:lvlText w:val="(%2)"/>
      <w:numFmt w:val="lowerLetter"/>
      <w:start w:val="14"/>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1)"/>
      <w:numFmt w:val="lowerLetter"/>
      <w:start w:val="3"/>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3"/>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1"/>
    </w:lvl>
  </w:abstractNum>
  <w:abstractNum w:abstractNumId="18">
    <w:nsid w:val="189A769B"/>
    <w:multiLevelType w:val="hybridMultilevel"/>
    <w:lvl w:ilvl="0">
      <w:lvlJc w:val="left"/>
      <w:lvlText w:val="(%1)"/>
      <w:numFmt w:val="lowerLetter"/>
      <w:start w:val="2"/>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3"/>
    </w:lvl>
  </w:abstractNum>
  <w:abstractNum w:abstractNumId="21">
    <w:nsid w:val="2CA88611"/>
    <w:multiLevelType w:val="hybridMultilevel"/>
    <w:lvl w:ilvl="0">
      <w:lvlJc w:val="left"/>
      <w:lvlText w:val="(%1)"/>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25"/>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1"/>
    </w:lvl>
    <w:lvl w:ilvl="1">
      <w:lvlJc w:val="left"/>
      <w:lvlText w:val="(%2)"/>
      <w:numFmt w:val="lowerRoman"/>
      <w:start w:val="1"/>
    </w:lvl>
  </w:abstractNum>
  <w:abstractNum w:abstractNumId="30">
    <w:nsid w:val="22221A70"/>
    <w:multiLevelType w:val="hybridMultilevel"/>
    <w:lvl w:ilvl="0">
      <w:lvlJc w:val="left"/>
      <w:lvlText w:val="(%1)"/>
      <w:numFmt w:val="lowerLetter"/>
      <w:start w:val="2"/>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2"/>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jpeg"/><Relationship Id="rId16" Type="http://schemas.openxmlformats.org/officeDocument/2006/relationships/image" Target="media/image5.png"/><Relationship Id="rId17" Type="http://schemas.openxmlformats.org/officeDocument/2006/relationships/image" Target="media/image6.jpe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9" Type="http://schemas.openxmlformats.org/officeDocument/2006/relationships/hyperlink" Target="https://www.sec.gov/Archives/edgar/data/1566049/000119312519178934/d740662ds8.htm" TargetMode="External"/><Relationship Id="rId10" Type="http://schemas.openxmlformats.org/officeDocument/2006/relationships/hyperlink" Target="https://www.sec.gov/Archives/edgar/data/1768224/000119380522001036/e621786_s8-arct.htm" TargetMode="External"/><Relationship Id="rId12" Type="http://schemas.openxmlformats.org/officeDocument/2006/relationships/hyperlink" Target="https://www.sec.gov/Archives/edgar/data/1768224/000119380520000569/e619613_ex3-1.htm" TargetMode="External"/><Relationship Id="rId13" Type="http://schemas.openxmlformats.org/officeDocument/2006/relationships/hyperlink" Target="https://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2024-07-17T16:36:34Z</dcterms:created>
  <dcterms:modified xsi:type="dcterms:W3CDTF">2024-07-17T16:36:34Z</dcterms:modified>
</cp:coreProperties>
</file>