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-225425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-645160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622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5219065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3941445</wp:posOffset>
            </wp:positionH>
            <wp:positionV relativeFrom="paragraph">
              <wp:posOffset>-610870</wp:posOffset>
            </wp:positionV>
            <wp:extent cx="57150" cy="624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722630</wp:posOffset>
            </wp:positionV>
            <wp:extent cx="7047865" cy="46012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601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80"/>
            <w:col w:w="8440"/>
          </w:cols>
          <w:pgMar w:left="460" w:top="21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Payne Joseph E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20" w:type="dxa"/>
            <w:vAlign w:val="bottom"/>
            <w:gridSpan w:val="12"/>
          </w:tcPr>
          <w:p>
            <w:pPr>
              <w:spacing w:after="0" w:line="17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Arcturus Therapeutics Holdings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ARCT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President and CEO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ARCTURUS THERAPEUTICS HOLDINGS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12/17/2025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INC.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10285 SCIENCE CENTER DRIVE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SAN DIEGO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92121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175,000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175,000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12/17/2025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12/17/2035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175,000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options to purchase shares of common stock granted pursuant to the Company's Amended and Restated 2019 Omnibus Equity Incentive Plan, as amended.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hanging="2"/>
        <w:spacing w:after="0" w:line="245" w:lineRule="auto"/>
        <w:tabs>
          <w:tab w:leader="none" w:pos="166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vest 25% on December 17, 2026, the first anniversary of the date of grant, and the remainder vest in equal increments on each successive one-month anniversary thereafter for the next thirty-six months.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Ilan Katz, attorney-in-fact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12/19/2025</w:t>
            </w:r>
          </w:p>
        </w:tc>
      </w:tr>
      <w:tr>
        <w:trPr>
          <w:trHeight w:val="221"/>
        </w:trPr>
        <w:tc>
          <w:tcPr>
            <w:tcW w:w="18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** Signature of Reporting 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both"/>
        <w:ind w:left="40" w:right="3780" w:hanging="2"/>
        <w:spacing w:after="0" w:line="32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27315" TargetMode="External"/><Relationship Id="rId14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2025-12-19T17:27:19Z</dcterms:created>
  <dcterms:modified xsi:type="dcterms:W3CDTF">2025-12-19T17:27:19Z</dcterms:modified>
</cp:coreProperties>
</file>