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May 2, 2013</w:t>
      </w:r>
    </w:p>
    <w:p>
      <w:pPr>
        <w:spacing w:after="0" w:line="3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333 - 186003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158115</wp:posOffset>
            </wp:positionV>
            <wp:extent cx="1815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7</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jc w:val="center"/>
        <w:spacing w:after="0"/>
        <w:rPr>
          <w:sz w:val="20"/>
          <w:szCs w:val="20"/>
          <w:color w:val="auto"/>
        </w:rPr>
      </w:pPr>
      <w:r>
        <w:rPr>
          <w:rFonts w:ascii="Arial" w:cs="Arial" w:eastAsia="Arial" w:hAnsi="Arial"/>
          <w:sz w:val="15"/>
          <w:szCs w:val="15"/>
          <w:b w:val="1"/>
          <w:bCs w:val="1"/>
          <w:color w:val="auto"/>
        </w:rPr>
        <w:t>REGISTRATION STATEMENT UNDER THE SECURITIES ACT OF 1933</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Alcobra Ltd.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156845</wp:posOffset>
            </wp:positionV>
            <wp:extent cx="1815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ectPr>
          <w:pgSz w:w="11900" w:h="16838" w:orient="portrait"/>
          <w:cols w:equalWidth="0" w:num="1">
            <w:col w:w="11440"/>
          </w:cols>
          <w:pgMar w:left="240" w:top="435" w:right="219" w:bottom="1440" w:gutter="0" w:footer="0" w:header="0"/>
        </w:sectPr>
      </w:pPr>
    </w:p>
    <w:p>
      <w:pPr>
        <w:spacing w:after="0" w:line="200" w:lineRule="exact"/>
        <w:rPr>
          <w:sz w:val="24"/>
          <w:szCs w:val="24"/>
          <w:color w:val="auto"/>
        </w:rPr>
      </w:pPr>
    </w:p>
    <w:p>
      <w:pPr>
        <w:spacing w:after="0" w:line="295" w:lineRule="exact"/>
        <w:rPr>
          <w:sz w:val="24"/>
          <w:szCs w:val="24"/>
          <w:color w:val="auto"/>
        </w:rPr>
      </w:pPr>
    </w:p>
    <w:tbl>
      <w:tblPr>
        <w:tblLayout w:type="fixed"/>
        <w:tblInd w:w="720" w:type="dxa"/>
        <w:tblCellMar>
          <w:top w:w="0" w:type="dxa"/>
          <w:left w:w="0" w:type="dxa"/>
          <w:bottom w:w="0" w:type="dxa"/>
          <w:right w:w="0" w:type="dxa"/>
        </w:tblCellMar>
      </w:tblPr>
      <w:tr>
        <w:trPr>
          <w:trHeight w:val="196"/>
        </w:trPr>
        <w:tc>
          <w:tcPr>
            <w:tcW w:w="3040" w:type="dxa"/>
            <w:vAlign w:val="bottom"/>
          </w:tcPr>
          <w:p>
            <w:pPr>
              <w:jc w:val="center"/>
              <w:ind w:right="980"/>
              <w:spacing w:after="0"/>
              <w:rPr>
                <w:sz w:val="20"/>
                <w:szCs w:val="20"/>
                <w:color w:val="auto"/>
              </w:rPr>
            </w:pPr>
            <w:r>
              <w:rPr>
                <w:rFonts w:ascii="Arial" w:cs="Arial" w:eastAsia="Arial" w:hAnsi="Arial"/>
                <w:sz w:val="16"/>
                <w:szCs w:val="16"/>
                <w:b w:val="1"/>
                <w:bCs w:val="1"/>
                <w:color w:val="auto"/>
                <w:w w:val="89"/>
              </w:rPr>
              <w:t>State of Israel</w:t>
            </w:r>
          </w:p>
        </w:tc>
        <w:tc>
          <w:tcPr>
            <w:tcW w:w="2960" w:type="dxa"/>
            <w:vAlign w:val="bottom"/>
          </w:tcPr>
          <w:p>
            <w:pPr>
              <w:jc w:val="center"/>
              <w:ind w:left="1000"/>
              <w:spacing w:after="0"/>
              <w:rPr>
                <w:sz w:val="20"/>
                <w:szCs w:val="20"/>
                <w:color w:val="auto"/>
              </w:rPr>
            </w:pPr>
            <w:r>
              <w:rPr>
                <w:rFonts w:ascii="Arial" w:cs="Arial" w:eastAsia="Arial" w:hAnsi="Arial"/>
                <w:sz w:val="16"/>
                <w:szCs w:val="16"/>
                <w:b w:val="1"/>
                <w:bCs w:val="1"/>
                <w:color w:val="auto"/>
                <w:w w:val="89"/>
              </w:rPr>
              <w:t>–––––––––</w:t>
            </w:r>
          </w:p>
        </w:tc>
      </w:tr>
      <w:tr>
        <w:trPr>
          <w:trHeight w:val="192"/>
        </w:trPr>
        <w:tc>
          <w:tcPr>
            <w:tcW w:w="3040" w:type="dxa"/>
            <w:vAlign w:val="bottom"/>
          </w:tcPr>
          <w:p>
            <w:pPr>
              <w:jc w:val="center"/>
              <w:ind w:right="960"/>
              <w:spacing w:after="0"/>
              <w:rPr>
                <w:sz w:val="20"/>
                <w:szCs w:val="20"/>
                <w:color w:val="auto"/>
              </w:rPr>
            </w:pPr>
            <w:r>
              <w:rPr>
                <w:rFonts w:ascii="Arial" w:cs="Arial" w:eastAsia="Arial" w:hAnsi="Arial"/>
                <w:sz w:val="16"/>
                <w:szCs w:val="16"/>
                <w:i w:val="1"/>
                <w:iCs w:val="1"/>
                <w:color w:val="auto"/>
                <w:w w:val="93"/>
              </w:rPr>
              <w:t>(State or other jurisdiction of</w:t>
            </w:r>
          </w:p>
        </w:tc>
        <w:tc>
          <w:tcPr>
            <w:tcW w:w="2960" w:type="dxa"/>
            <w:vAlign w:val="bottom"/>
          </w:tcPr>
          <w:p>
            <w:pPr>
              <w:jc w:val="center"/>
              <w:ind w:left="1000"/>
              <w:spacing w:after="0"/>
              <w:rPr>
                <w:sz w:val="20"/>
                <w:szCs w:val="20"/>
                <w:color w:val="auto"/>
              </w:rPr>
            </w:pPr>
            <w:r>
              <w:rPr>
                <w:rFonts w:ascii="Arial" w:cs="Arial" w:eastAsia="Arial" w:hAnsi="Arial"/>
                <w:sz w:val="16"/>
                <w:szCs w:val="16"/>
                <w:i w:val="1"/>
                <w:iCs w:val="1"/>
                <w:color w:val="auto"/>
                <w:w w:val="94"/>
              </w:rPr>
              <w:t>(Primary Standard Industrial</w:t>
            </w:r>
          </w:p>
        </w:tc>
      </w:tr>
      <w:tr>
        <w:trPr>
          <w:trHeight w:val="205"/>
        </w:trPr>
        <w:tc>
          <w:tcPr>
            <w:tcW w:w="3040" w:type="dxa"/>
            <w:vAlign w:val="bottom"/>
          </w:tcPr>
          <w:p>
            <w:pPr>
              <w:jc w:val="center"/>
              <w:ind w:right="980"/>
              <w:spacing w:after="0"/>
              <w:rPr>
                <w:sz w:val="20"/>
                <w:szCs w:val="20"/>
                <w:color w:val="auto"/>
              </w:rPr>
            </w:pPr>
            <w:r>
              <w:rPr>
                <w:rFonts w:ascii="Arial" w:cs="Arial" w:eastAsia="Arial" w:hAnsi="Arial"/>
                <w:sz w:val="16"/>
                <w:szCs w:val="16"/>
                <w:i w:val="1"/>
                <w:iCs w:val="1"/>
                <w:color w:val="auto"/>
                <w:w w:val="95"/>
              </w:rPr>
              <w:t>incorporation or organization)</w:t>
            </w:r>
          </w:p>
        </w:tc>
        <w:tc>
          <w:tcPr>
            <w:tcW w:w="2960" w:type="dxa"/>
            <w:vAlign w:val="bottom"/>
          </w:tcPr>
          <w:p>
            <w:pPr>
              <w:jc w:val="center"/>
              <w:ind w:left="1000"/>
              <w:spacing w:after="0"/>
              <w:rPr>
                <w:sz w:val="20"/>
                <w:szCs w:val="20"/>
                <w:color w:val="auto"/>
              </w:rPr>
            </w:pPr>
            <w:r>
              <w:rPr>
                <w:rFonts w:ascii="Arial" w:cs="Arial" w:eastAsia="Arial" w:hAnsi="Arial"/>
                <w:sz w:val="16"/>
                <w:szCs w:val="16"/>
                <w:i w:val="1"/>
                <w:iCs w:val="1"/>
                <w:color w:val="auto"/>
                <w:w w:val="92"/>
              </w:rPr>
              <w:t>Classification Code Number)</w:t>
            </w:r>
          </w:p>
        </w:tc>
      </w:tr>
    </w:tbl>
    <w:p>
      <w:pPr>
        <w:spacing w:after="0" w:line="176"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Dr. Yaron Daniely</w:t>
      </w:r>
    </w:p>
    <w:p>
      <w:pPr>
        <w:spacing w:after="0" w:line="25"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Alcobra Ltd.</w:t>
      </w:r>
    </w:p>
    <w:p>
      <w:pPr>
        <w:spacing w:after="0" w:line="8"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35 Ehad Ha-Am Street</w:t>
      </w:r>
    </w:p>
    <w:p>
      <w:pPr>
        <w:jc w:val="center"/>
        <w:ind w:right="1040"/>
        <w:spacing w:after="0" w:line="191" w:lineRule="auto"/>
        <w:rPr>
          <w:sz w:val="20"/>
          <w:szCs w:val="20"/>
          <w:color w:val="auto"/>
        </w:rPr>
      </w:pPr>
      <w:r>
        <w:rPr>
          <w:rFonts w:ascii="Arial" w:cs="Arial" w:eastAsia="Arial" w:hAnsi="Arial"/>
          <w:sz w:val="16"/>
          <w:szCs w:val="16"/>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w:t>
      </w:r>
    </w:p>
    <w:p>
      <w:pPr>
        <w:jc w:val="center"/>
        <w:ind w:right="1000"/>
        <w:spacing w:after="0"/>
        <w:rPr>
          <w:sz w:val="20"/>
          <w:szCs w:val="20"/>
          <w:color w:val="auto"/>
        </w:rPr>
      </w:pPr>
      <w:r>
        <w:rPr>
          <w:rFonts w:ascii="Arial" w:cs="Arial" w:eastAsia="Arial" w:hAnsi="Arial"/>
          <w:sz w:val="16"/>
          <w:szCs w:val="16"/>
          <w:b w:val="1"/>
          <w:bCs w:val="1"/>
          <w:color w:val="auto"/>
        </w:rPr>
        <w:t>Tel-Aviv, Israel 65202</w:t>
      </w:r>
    </w:p>
    <w:p>
      <w:pPr>
        <w:spacing w:after="0" w:line="7"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Tel: +972.72.220.4661</w:t>
      </w:r>
    </w:p>
    <w:p>
      <w:pPr>
        <w:spacing w:after="0" w:line="8" w:lineRule="exact"/>
        <w:rPr>
          <w:sz w:val="24"/>
          <w:szCs w:val="24"/>
          <w:color w:val="auto"/>
        </w:rPr>
      </w:pPr>
    </w:p>
    <w:p>
      <w:pPr>
        <w:ind w:left="1140" w:right="1560" w:firstLine="43"/>
        <w:spacing w:after="0" w:line="333" w:lineRule="auto"/>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-8255</wp:posOffset>
            </wp:positionV>
            <wp:extent cx="1815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ind w:left="-93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left="-939"/>
        <w:spacing w:after="0"/>
        <w:rPr>
          <w:sz w:val="20"/>
          <w:szCs w:val="20"/>
          <w:color w:val="auto"/>
        </w:rPr>
      </w:pPr>
      <w:r>
        <w:rPr>
          <w:rFonts w:ascii="Arial" w:cs="Arial" w:eastAsia="Arial" w:hAnsi="Arial"/>
          <w:sz w:val="16"/>
          <w:szCs w:val="16"/>
          <w:i w:val="1"/>
          <w:iCs w:val="1"/>
          <w:color w:val="auto"/>
        </w:rPr>
        <w:t>(I.R.S. Employer</w:t>
      </w:r>
    </w:p>
    <w:p>
      <w:pPr>
        <w:spacing w:after="0" w:line="8" w:lineRule="exact"/>
        <w:rPr>
          <w:sz w:val="24"/>
          <w:szCs w:val="24"/>
          <w:color w:val="auto"/>
        </w:rPr>
      </w:pPr>
    </w:p>
    <w:p>
      <w:pPr>
        <w:jc w:val="center"/>
        <w:ind w:left="-939"/>
        <w:spacing w:after="0"/>
        <w:rPr>
          <w:sz w:val="20"/>
          <w:szCs w:val="20"/>
          <w:color w:val="auto"/>
        </w:rPr>
      </w:pPr>
      <w:r>
        <w:rPr>
          <w:rFonts w:ascii="Arial" w:cs="Arial" w:eastAsia="Arial" w:hAnsi="Arial"/>
          <w:sz w:val="15"/>
          <w:szCs w:val="15"/>
          <w:i w:val="1"/>
          <w:iCs w:val="1"/>
          <w:color w:val="auto"/>
        </w:rPr>
        <w:t>Identification Number)</w:t>
      </w:r>
    </w:p>
    <w:p>
      <w:pPr>
        <w:spacing w:after="0" w:line="19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Zysman, Aharoni, Gayer &amp;</w:t>
      </w:r>
    </w:p>
    <w:p>
      <w:pPr>
        <w:spacing w:after="0" w:line="2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Sullivan &amp; Worcester LLP</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1633 Broadway</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New York, NY 10019</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Tel: 212.660.3000</w:t>
      </w:r>
    </w:p>
    <w:p>
      <w:pPr>
        <w:spacing w:after="0" w:line="8" w:lineRule="exact"/>
        <w:rPr>
          <w:sz w:val="24"/>
          <w:szCs w:val="24"/>
          <w:color w:val="auto"/>
        </w:rPr>
      </w:pPr>
    </w:p>
    <w:p>
      <w:pPr>
        <w:ind w:left="300" w:right="980" w:hanging="305"/>
        <w:spacing w:after="0" w:line="333" w:lineRule="auto"/>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428" w:lineRule="exact"/>
        <w:rPr>
          <w:sz w:val="24"/>
          <w:szCs w:val="24"/>
          <w:color w:val="auto"/>
        </w:rPr>
      </w:pPr>
    </w:p>
    <w:p>
      <w:pPr>
        <w:sectPr>
          <w:pgSz w:w="11900" w:h="16838" w:orient="portrait"/>
          <w:cols w:equalWidth="0" w:num="2">
            <w:col w:w="6720" w:space="240"/>
            <w:col w:w="4480"/>
          </w:cols>
          <w:pgMar w:left="240" w:top="435" w:right="219" w:bottom="1440" w:gutter="0" w:footer="0" w:header="0"/>
          <w:type w:val="continuous"/>
        </w:sectPr>
      </w:pPr>
    </w:p>
    <w:p>
      <w:pPr>
        <w:spacing w:after="0" w:line="37" w:lineRule="exact"/>
        <w:rPr>
          <w:sz w:val="24"/>
          <w:szCs w:val="24"/>
          <w:color w:val="auto"/>
        </w:rPr>
      </w:pPr>
    </w:p>
    <w:tbl>
      <w:tblPr>
        <w:tblLayout w:type="fixed"/>
        <w:tblInd w:w="700" w:type="dxa"/>
        <w:tblCellMar>
          <w:top w:w="0" w:type="dxa"/>
          <w:left w:w="0" w:type="dxa"/>
          <w:bottom w:w="0" w:type="dxa"/>
          <w:right w:w="0" w:type="dxa"/>
        </w:tblCellMar>
      </w:tblPr>
      <w:tr>
        <w:trPr>
          <w:trHeight w:val="188"/>
        </w:trPr>
        <w:tc>
          <w:tcPr>
            <w:tcW w:w="19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b w:val="1"/>
                <w:bCs w:val="1"/>
                <w:i w:val="1"/>
                <w:iCs w:val="1"/>
                <w:color w:val="auto"/>
              </w:rPr>
              <w:t>Copies to:</w:t>
            </w:r>
          </w:p>
        </w:tc>
        <w:tc>
          <w:tcPr>
            <w:tcW w:w="2060" w:type="dxa"/>
            <w:vAlign w:val="bottom"/>
          </w:tcPr>
          <w:p>
            <w:pPr>
              <w:spacing w:after="0"/>
              <w:rPr>
                <w:sz w:val="16"/>
                <w:szCs w:val="16"/>
                <w:color w:val="auto"/>
              </w:rPr>
            </w:pP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w w:val="96"/>
              </w:rPr>
              <w:t>Edwin L. Miller Jr.</w:t>
            </w:r>
          </w:p>
        </w:tc>
        <w:tc>
          <w:tcPr>
            <w:tcW w:w="2700" w:type="dxa"/>
            <w:vAlign w:val="bottom"/>
          </w:tcPr>
          <w:p>
            <w:pPr>
              <w:jc w:val="center"/>
              <w:ind w:left="440"/>
              <w:spacing w:after="0"/>
              <w:rPr>
                <w:sz w:val="20"/>
                <w:szCs w:val="20"/>
                <w:color w:val="auto"/>
              </w:rPr>
            </w:pPr>
            <w:r>
              <w:rPr>
                <w:rFonts w:ascii="Arial" w:cs="Arial" w:eastAsia="Arial" w:hAnsi="Arial"/>
                <w:sz w:val="16"/>
                <w:szCs w:val="16"/>
                <w:b w:val="1"/>
                <w:bCs w:val="1"/>
                <w:color w:val="auto"/>
                <w:w w:val="94"/>
              </w:rPr>
              <w:t>Eran Ben-Dor</w:t>
            </w: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95"/>
              </w:rPr>
              <w:t>Henry I. Rothman</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2"/>
              </w:rPr>
              <w:t>Barry Levenfeld</w:t>
            </w: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w w:val="93"/>
              </w:rPr>
              <w:t>Oded Har-Even</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3"/>
              </w:rPr>
              <w:t>Zysman, Aharoni, Gayer &amp; Co.</w:t>
            </w: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87"/>
              </w:rPr>
              <w:t>Joseph Walsh</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0"/>
              </w:rPr>
              <w:t>Eric Spindel</w:t>
            </w:r>
          </w:p>
        </w:tc>
      </w:tr>
      <w:tr>
        <w:trPr>
          <w:trHeight w:val="192"/>
        </w:trPr>
        <w:tc>
          <w:tcPr>
            <w:tcW w:w="1980" w:type="dxa"/>
            <w:vAlign w:val="bottom"/>
          </w:tcPr>
          <w:p>
            <w:pPr>
              <w:jc w:val="center"/>
              <w:ind w:right="440"/>
              <w:spacing w:after="0"/>
              <w:rPr>
                <w:sz w:val="20"/>
                <w:szCs w:val="20"/>
                <w:color w:val="auto"/>
              </w:rPr>
            </w:pPr>
            <w:r>
              <w:rPr>
                <w:rFonts w:ascii="Arial" w:cs="Arial" w:eastAsia="Arial" w:hAnsi="Arial"/>
                <w:sz w:val="16"/>
                <w:szCs w:val="16"/>
                <w:b w:val="1"/>
                <w:bCs w:val="1"/>
                <w:color w:val="auto"/>
                <w:w w:val="90"/>
              </w:rPr>
              <w:t>Shy S. Baranov</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0"/>
              </w:rPr>
              <w:t>41-45 Rothschild Blvd.</w:t>
            </w:r>
          </w:p>
        </w:tc>
        <w:tc>
          <w:tcPr>
            <w:tcW w:w="3260" w:type="dxa"/>
            <w:vAlign w:val="bottom"/>
          </w:tcPr>
          <w:p>
            <w:pPr>
              <w:jc w:val="center"/>
              <w:ind w:left="180"/>
              <w:spacing w:after="0"/>
              <w:rPr>
                <w:sz w:val="20"/>
                <w:szCs w:val="20"/>
                <w:color w:val="auto"/>
              </w:rPr>
            </w:pPr>
            <w:r>
              <w:rPr>
                <w:rFonts w:ascii="Arial" w:cs="Arial" w:eastAsia="Arial" w:hAnsi="Arial"/>
                <w:sz w:val="16"/>
                <w:szCs w:val="16"/>
                <w:b w:val="1"/>
                <w:bCs w:val="1"/>
                <w:color w:val="auto"/>
                <w:w w:val="93"/>
              </w:rPr>
              <w:t>Troutman Sanders LLP</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4"/>
              </w:rPr>
              <w:t>Yigal Arnon &amp; Co.</w:t>
            </w: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rPr>
              <w:t>ZAG/S&amp;W LLP</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3"/>
              </w:rPr>
              <w:t>Beit Zion</w:t>
            </w: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92"/>
              </w:rPr>
              <w:t>The Chrysler Building</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2"/>
              </w:rPr>
              <w:t>1 Azrieli Center</w:t>
            </w:r>
          </w:p>
        </w:tc>
      </w:tr>
      <w:tr>
        <w:trPr>
          <w:trHeight w:val="192"/>
        </w:trPr>
        <w:tc>
          <w:tcPr>
            <w:tcW w:w="1980" w:type="dxa"/>
            <w:vAlign w:val="bottom"/>
          </w:tcPr>
          <w:p>
            <w:pPr>
              <w:jc w:val="center"/>
              <w:ind w:right="440"/>
              <w:spacing w:after="0"/>
              <w:rPr>
                <w:sz w:val="20"/>
                <w:szCs w:val="20"/>
                <w:color w:val="auto"/>
              </w:rPr>
            </w:pPr>
            <w:r>
              <w:rPr>
                <w:rFonts w:ascii="Arial" w:cs="Arial" w:eastAsia="Arial" w:hAnsi="Arial"/>
                <w:sz w:val="16"/>
                <w:szCs w:val="16"/>
                <w:b w:val="1"/>
                <w:bCs w:val="1"/>
                <w:color w:val="auto"/>
                <w:w w:val="90"/>
              </w:rPr>
              <w:t>1633 Broadway</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1"/>
              </w:rPr>
              <w:t>Tel-Aviv, Israel 65784</w:t>
            </w:r>
          </w:p>
        </w:tc>
        <w:tc>
          <w:tcPr>
            <w:tcW w:w="3260" w:type="dxa"/>
            <w:vAlign w:val="bottom"/>
          </w:tcPr>
          <w:p>
            <w:pPr>
              <w:jc w:val="center"/>
              <w:ind w:left="180"/>
              <w:spacing w:after="0"/>
              <w:rPr>
                <w:sz w:val="20"/>
                <w:szCs w:val="20"/>
                <w:color w:val="auto"/>
              </w:rPr>
            </w:pPr>
            <w:r>
              <w:rPr>
                <w:rFonts w:ascii="Arial" w:cs="Arial" w:eastAsia="Arial" w:hAnsi="Arial"/>
                <w:sz w:val="16"/>
                <w:szCs w:val="16"/>
                <w:b w:val="1"/>
                <w:bCs w:val="1"/>
                <w:color w:val="auto"/>
                <w:w w:val="89"/>
              </w:rPr>
              <w:t>405 Lexington Avenue</w:t>
            </w:r>
          </w:p>
        </w:tc>
        <w:tc>
          <w:tcPr>
            <w:tcW w:w="2060" w:type="dxa"/>
            <w:vAlign w:val="bottom"/>
          </w:tcPr>
          <w:p>
            <w:pPr>
              <w:jc w:val="center"/>
              <w:ind w:left="540"/>
              <w:spacing w:after="0"/>
              <w:rPr>
                <w:sz w:val="20"/>
                <w:szCs w:val="20"/>
                <w:color w:val="auto"/>
              </w:rPr>
            </w:pPr>
            <w:r>
              <w:rPr>
                <w:rFonts w:ascii="Arial" w:cs="Arial" w:eastAsia="Arial" w:hAnsi="Arial"/>
                <w:sz w:val="16"/>
                <w:szCs w:val="16"/>
                <w:b w:val="1"/>
                <w:bCs w:val="1"/>
                <w:color w:val="auto"/>
                <w:w w:val="92"/>
              </w:rPr>
              <w:t>Tel-Aviv, Israel</w:t>
            </w: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w w:val="94"/>
              </w:rPr>
              <w:t>New York, NY 10019</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1"/>
              </w:rPr>
              <w:t>Tel: +972.3.795.5555</w:t>
            </w:r>
          </w:p>
        </w:tc>
        <w:tc>
          <w:tcPr>
            <w:tcW w:w="3260" w:type="dxa"/>
            <w:vAlign w:val="bottom"/>
          </w:tcPr>
          <w:p>
            <w:pPr>
              <w:jc w:val="center"/>
              <w:ind w:left="180"/>
              <w:spacing w:after="0"/>
              <w:rPr>
                <w:sz w:val="20"/>
                <w:szCs w:val="20"/>
                <w:color w:val="auto"/>
              </w:rPr>
            </w:pPr>
            <w:r>
              <w:rPr>
                <w:rFonts w:ascii="Arial" w:cs="Arial" w:eastAsia="Arial" w:hAnsi="Arial"/>
                <w:sz w:val="16"/>
                <w:szCs w:val="16"/>
                <w:b w:val="1"/>
                <w:bCs w:val="1"/>
                <w:color w:val="auto"/>
                <w:w w:val="94"/>
              </w:rPr>
              <w:t>New York, NY 10174</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1"/>
              </w:rPr>
              <w:t>Tel: +972.3.608.7868</w:t>
            </w:r>
          </w:p>
        </w:tc>
      </w:tr>
      <w:tr>
        <w:trPr>
          <w:trHeight w:val="209"/>
        </w:trPr>
        <w:tc>
          <w:tcPr>
            <w:tcW w:w="1980" w:type="dxa"/>
            <w:vAlign w:val="bottom"/>
          </w:tcPr>
          <w:p>
            <w:pPr>
              <w:jc w:val="center"/>
              <w:ind w:right="440"/>
              <w:spacing w:after="0"/>
              <w:rPr>
                <w:sz w:val="20"/>
                <w:szCs w:val="20"/>
                <w:color w:val="auto"/>
              </w:rPr>
            </w:pPr>
            <w:r>
              <w:rPr>
                <w:rFonts w:ascii="Arial" w:cs="Arial" w:eastAsia="Arial" w:hAnsi="Arial"/>
                <w:sz w:val="16"/>
                <w:szCs w:val="16"/>
                <w:b w:val="1"/>
                <w:bCs w:val="1"/>
                <w:color w:val="auto"/>
                <w:w w:val="90"/>
              </w:rPr>
              <w:t>Tel: 212.660.3000</w:t>
            </w:r>
          </w:p>
        </w:tc>
        <w:tc>
          <w:tcPr>
            <w:tcW w:w="2700" w:type="dxa"/>
            <w:vAlign w:val="bottom"/>
          </w:tcPr>
          <w:p>
            <w:pPr>
              <w:spacing w:after="0"/>
              <w:rPr>
                <w:sz w:val="18"/>
                <w:szCs w:val="18"/>
                <w:color w:val="auto"/>
              </w:rPr>
            </w:pP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90"/>
              </w:rPr>
              <w:t>Tel: 212.704.6000</w:t>
            </w:r>
          </w:p>
        </w:tc>
        <w:tc>
          <w:tcPr>
            <w:tcW w:w="2060" w:type="dxa"/>
            <w:vAlign w:val="bottom"/>
          </w:tcPr>
          <w:p>
            <w:pPr>
              <w:spacing w:after="0"/>
              <w:rPr>
                <w:sz w:val="18"/>
                <w:szCs w:val="18"/>
                <w:color w:val="auto"/>
              </w:rPr>
            </w:pPr>
          </w:p>
        </w:tc>
      </w:tr>
    </w:tbl>
    <w:p>
      <w:pPr>
        <w:spacing w:after="0" w:line="17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hereof.</w:t>
      </w:r>
    </w:p>
    <w:p>
      <w:pPr>
        <w:spacing w:after="0" w:line="204" w:lineRule="exact"/>
        <w:rPr>
          <w:sz w:val="24"/>
          <w:szCs w:val="24"/>
          <w:color w:val="auto"/>
        </w:rPr>
      </w:pPr>
    </w:p>
    <w:p>
      <w:pPr>
        <w:ind w:right="20"/>
        <w:spacing w:after="0" w:line="256"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check the following box. o 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ind w:right="20"/>
        <w:spacing w:after="0" w:line="250"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20"/>
        <w:spacing w:after="0" w:line="261"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7261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435" w:right="219" w:bottom="1440" w:gutter="0" w:footer="0" w:header="0"/>
          <w:type w:val="continuous"/>
        </w:sectPr>
      </w:pPr>
    </w:p>
    <w:bookmarkStart w:id="1" w:name="page2"/>
    <w:bookmarkEnd w:id="1"/>
    <w:p>
      <w:pPr>
        <w:jc w:val="both"/>
        <w:ind w:right="260"/>
        <w:spacing w:after="0" w:line="32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2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45" w:lineRule="exact"/>
        <w:rPr>
          <w:sz w:val="20"/>
          <w:szCs w:val="20"/>
          <w:color w:val="auto"/>
        </w:rPr>
      </w:pPr>
    </w:p>
    <w:p>
      <w:pPr>
        <w:spacing w:after="0"/>
        <w:tabs>
          <w:tab w:leader="none" w:pos="4680" w:val="left"/>
          <w:tab w:leader="none" w:pos="9940" w:val="left"/>
        </w:tabs>
        <w:rPr>
          <w:sz w:val="20"/>
          <w:szCs w:val="20"/>
          <w:color w:val="auto"/>
        </w:rPr>
      </w:pPr>
      <w:r>
        <w:rPr>
          <w:rFonts w:ascii="Arial" w:cs="Arial" w:eastAsia="Arial" w:hAnsi="Arial"/>
          <w:sz w:val="16"/>
          <w:szCs w:val="16"/>
          <w:b w:val="1"/>
          <w:bCs w:val="1"/>
          <w:color w:val="C00000"/>
        </w:rPr>
        <w:t>PRELIMINARY PROSPECTUS</w:t>
      </w:r>
      <w:r>
        <w:rPr>
          <w:sz w:val="20"/>
          <w:szCs w:val="20"/>
          <w:color w:val="auto"/>
        </w:rPr>
        <w:tab/>
      </w:r>
      <w:r>
        <w:rPr>
          <w:rFonts w:ascii="Arial" w:cs="Arial" w:eastAsia="Arial" w:hAnsi="Arial"/>
          <w:sz w:val="16"/>
          <w:szCs w:val="16"/>
          <w:b w:val="1"/>
          <w:bCs w:val="1"/>
          <w:color w:val="C00000"/>
        </w:rPr>
        <w:t>SUBJECT TO COMPLETION</w:t>
      </w:r>
      <w:r>
        <w:rPr>
          <w:sz w:val="20"/>
          <w:szCs w:val="20"/>
          <w:color w:val="auto"/>
        </w:rPr>
        <w:tab/>
      </w:r>
      <w:r>
        <w:rPr>
          <w:rFonts w:ascii="Arial" w:cs="Arial" w:eastAsia="Arial" w:hAnsi="Arial"/>
          <w:sz w:val="15"/>
          <w:szCs w:val="15"/>
          <w:b w:val="1"/>
          <w:bCs w:val="1"/>
          <w:color w:val="C00000"/>
        </w:rPr>
        <w:t>DATED MAY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61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2,275,000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218440</wp:posOffset>
            </wp:positionV>
            <wp:extent cx="1296670" cy="396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6670"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20"/>
        <w:spacing w:after="0"/>
        <w:rPr>
          <w:sz w:val="20"/>
          <w:szCs w:val="20"/>
          <w:color w:val="auto"/>
        </w:rPr>
      </w:pPr>
      <w:r>
        <w:rPr>
          <w:rFonts w:ascii="Arial" w:cs="Arial" w:eastAsia="Arial" w:hAnsi="Arial"/>
          <w:sz w:val="29"/>
          <w:szCs w:val="29"/>
          <w:b w:val="1"/>
          <w:bCs w:val="1"/>
          <w:color w:val="auto"/>
        </w:rPr>
        <w:t>Alcobra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9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6"/>
          <w:szCs w:val="16"/>
          <w:color w:val="auto"/>
        </w:rPr>
        <w:t>Alcobra Ltd. is offering its ordinary shares in an initial public offering. No public market currently exists for our ordinary shares. The estimated initial public offering price is between $10 and $12 per share.</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ordinary shares have been approved for listing on The NASDAQ Capital Market under the symbol “ADHD”.</w:t>
      </w:r>
    </w:p>
    <w:p>
      <w:pPr>
        <w:spacing w:after="0" w:line="200" w:lineRule="exact"/>
        <w:rPr>
          <w:sz w:val="20"/>
          <w:szCs w:val="20"/>
          <w:color w:val="auto"/>
        </w:rPr>
      </w:pPr>
    </w:p>
    <w:p>
      <w:pPr>
        <w:ind w:right="580" w:firstLine="360"/>
        <w:spacing w:after="0" w:line="277"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and will be subject to reduced public company reporting requirements.</w:t>
      </w:r>
    </w:p>
    <w:p>
      <w:pPr>
        <w:spacing w:after="0" w:line="148" w:lineRule="exact"/>
        <w:rPr>
          <w:sz w:val="20"/>
          <w:szCs w:val="20"/>
          <w:color w:val="auto"/>
        </w:rPr>
      </w:pPr>
    </w:p>
    <w:p>
      <w:pPr>
        <w:ind w:right="20" w:firstLine="360"/>
        <w:spacing w:after="0" w:line="282" w:lineRule="auto"/>
        <w:rPr>
          <w:sz w:val="20"/>
          <w:szCs w:val="20"/>
          <w:color w:val="auto"/>
        </w:rPr>
      </w:pPr>
      <w:r>
        <w:rPr>
          <w:rFonts w:ascii="Arial" w:cs="Arial" w:eastAsia="Arial" w:hAnsi="Arial"/>
          <w:sz w:val="16"/>
          <w:szCs w:val="16"/>
          <w:b w:val="1"/>
          <w:bCs w:val="1"/>
          <w:color w:val="auto"/>
        </w:rPr>
        <w:t>Investing in our ordinary shares involves a high degree of risk. See “Risk Factors” beginning on page 7 of this prospectus for a discussion of information that should be considered in connection with an investment in our ordinary shares.</w:t>
      </w:r>
    </w:p>
    <w:p>
      <w:pPr>
        <w:spacing w:after="0" w:line="144" w:lineRule="exact"/>
        <w:rPr>
          <w:sz w:val="20"/>
          <w:szCs w:val="20"/>
          <w:color w:val="auto"/>
        </w:rPr>
      </w:pPr>
    </w:p>
    <w:p>
      <w:pPr>
        <w:ind w:right="20" w:firstLine="360"/>
        <w:spacing w:after="0" w:line="282"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40" w:type="dxa"/>
            <w:vAlign w:val="bottom"/>
          </w:tcPr>
          <w:p>
            <w:pPr>
              <w:jc w:val="right"/>
              <w:ind w:right="122"/>
              <w:spacing w:after="0"/>
              <w:rPr>
                <w:sz w:val="20"/>
                <w:szCs w:val="20"/>
                <w:color w:val="auto"/>
              </w:rPr>
            </w:pPr>
            <w:r>
              <w:rPr>
                <w:rFonts w:ascii="Arial" w:cs="Arial" w:eastAsia="Arial" w:hAnsi="Arial"/>
                <w:sz w:val="16"/>
                <w:szCs w:val="16"/>
                <w:b w:val="1"/>
                <w:bCs w:val="1"/>
                <w:color w:val="auto"/>
              </w:rPr>
              <w:t>Per Share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192"/>
        </w:trPr>
        <w:tc>
          <w:tcPr>
            <w:tcW w:w="4700" w:type="dxa"/>
            <w:vAlign w:val="bottom"/>
          </w:tcPr>
          <w:p>
            <w:pPr>
              <w:spacing w:after="0"/>
              <w:rPr>
                <w:sz w:val="20"/>
                <w:szCs w:val="20"/>
                <w:color w:val="auto"/>
              </w:rPr>
            </w:pPr>
            <w:r>
              <w:rPr>
                <w:rFonts w:ascii="Arial" w:cs="Arial" w:eastAsia="Arial" w:hAnsi="Arial"/>
                <w:sz w:val="16"/>
                <w:szCs w:val="16"/>
                <w:color w:val="auto"/>
              </w:rPr>
              <w:t>Initial public offering price</w:t>
            </w:r>
          </w:p>
        </w:tc>
        <w:tc>
          <w:tcPr>
            <w:tcW w:w="2040" w:type="dxa"/>
            <w:vAlign w:val="bottom"/>
          </w:tcPr>
          <w:p>
            <w:pPr>
              <w:spacing w:after="0"/>
              <w:rPr>
                <w:sz w:val="16"/>
                <w:szCs w:val="16"/>
                <w:color w:val="auto"/>
              </w:rPr>
            </w:pPr>
          </w:p>
        </w:tc>
        <w:tc>
          <w:tcPr>
            <w:tcW w:w="1440" w:type="dxa"/>
            <w:vAlign w:val="bottom"/>
            <w:tcBorders>
              <w:top w:val="single" w:sz="8" w:color="auto"/>
            </w:tcBorders>
          </w:tcPr>
          <w:p>
            <w:pPr>
              <w:jc w:val="right"/>
              <w:ind w:right="128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92"/>
        </w:trPr>
        <w:tc>
          <w:tcPr>
            <w:tcW w:w="4700" w:type="dxa"/>
            <w:vAlign w:val="bottom"/>
            <w:shd w:val="clear" w:color="auto" w:fill="CCFFCC"/>
          </w:tcPr>
          <w:p>
            <w:pPr>
              <w:spacing w:after="0"/>
              <w:rPr>
                <w:sz w:val="20"/>
                <w:szCs w:val="20"/>
                <w:color w:val="auto"/>
              </w:rPr>
            </w:pPr>
            <w:r>
              <w:rPr>
                <w:rFonts w:ascii="Arial" w:cs="Arial" w:eastAsia="Arial" w:hAnsi="Arial"/>
                <w:sz w:val="16"/>
                <w:szCs w:val="16"/>
                <w:color w:val="auto"/>
              </w:rPr>
              <w:t>Underwriting discounts and commissions</w:t>
            </w:r>
          </w:p>
        </w:tc>
        <w:tc>
          <w:tcPr>
            <w:tcW w:w="3480" w:type="dxa"/>
            <w:vAlign w:val="bottom"/>
            <w:gridSpan w:val="2"/>
            <w:shd w:val="clear" w:color="auto" w:fill="CCFFCC"/>
          </w:tcPr>
          <w:p>
            <w:pPr>
              <w:jc w:val="right"/>
              <w:ind w:right="12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FFCC"/>
          </w:tcPr>
          <w:p>
            <w:pPr>
              <w:jc w:val="right"/>
              <w:ind w:right="245"/>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6"/>
                <w:szCs w:val="16"/>
                <w:color w:val="auto"/>
              </w:rPr>
              <w:t>Proceeds to us (before expenses)</w:t>
            </w:r>
          </w:p>
        </w:tc>
        <w:tc>
          <w:tcPr>
            <w:tcW w:w="3480" w:type="dxa"/>
            <w:vAlign w:val="bottom"/>
            <w:gridSpan w:val="2"/>
          </w:tcPr>
          <w:p>
            <w:pPr>
              <w:jc w:val="right"/>
              <w:ind w:right="128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45"/>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bl>
    <w:p>
      <w:pPr>
        <w:spacing w:after="0" w:line="16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The underwriters will receive compensation in addition to the underwriting discounts and commissions. See “Underwriting” for a description of compensation payable to the underwriters.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granted a 45-day option to the underwriters to purchase up to 341,250 additional ordinary shares solely to cover over-allotments, if any.</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5820" w:type="dxa"/>
            <w:vAlign w:val="bottom"/>
          </w:tcPr>
          <w:p>
            <w:pPr>
              <w:spacing w:after="0"/>
              <w:rPr>
                <w:sz w:val="20"/>
                <w:szCs w:val="20"/>
                <w:color w:val="auto"/>
              </w:rPr>
            </w:pPr>
            <w:r>
              <w:rPr>
                <w:rFonts w:ascii="Arial" w:cs="Arial" w:eastAsia="Arial" w:hAnsi="Arial"/>
                <w:sz w:val="16"/>
                <w:szCs w:val="16"/>
                <w:color w:val="auto"/>
                <w:w w:val="95"/>
              </w:rPr>
              <w:t>The underwriters expect to deliver the shares to purchasers in the offering on or about</w:t>
            </w:r>
          </w:p>
        </w:tc>
        <w:tc>
          <w:tcPr>
            <w:tcW w:w="780" w:type="dxa"/>
            <w:vAlign w:val="bottom"/>
          </w:tcPr>
          <w:p>
            <w:pPr>
              <w:jc w:val="right"/>
              <w:spacing w:after="0"/>
              <w:rPr>
                <w:sz w:val="20"/>
                <w:szCs w:val="20"/>
                <w:color w:val="auto"/>
              </w:rPr>
            </w:pPr>
            <w:r>
              <w:rPr>
                <w:rFonts w:ascii="Arial" w:cs="Arial" w:eastAsia="Arial" w:hAnsi="Arial"/>
                <w:sz w:val="16"/>
                <w:szCs w:val="16"/>
                <w:color w:val="auto"/>
              </w:rPr>
              <w:t>, 2013.</w:t>
            </w:r>
          </w:p>
        </w:tc>
      </w:tr>
    </w:tbl>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Sole Book-Running Manager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Aegis Capital Corp</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Co-Manager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Sunrise Securities Corp.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ind w:left="4340"/>
              <w:spacing w:after="0"/>
              <w:rPr>
                <w:sz w:val="20"/>
                <w:szCs w:val="20"/>
                <w:color w:val="auto"/>
              </w:rPr>
            </w:pPr>
            <w:r>
              <w:rPr>
                <w:rFonts w:ascii="Arial" w:cs="Arial" w:eastAsia="Arial" w:hAnsi="Arial"/>
                <w:sz w:val="16"/>
                <w:szCs w:val="16"/>
                <w:color w:val="auto"/>
                <w:w w:val="98"/>
              </w:rPr>
              <w:t>The date of this prospectus is</w:t>
            </w:r>
          </w:p>
        </w:tc>
        <w:tc>
          <w:tcPr>
            <w:tcW w:w="5020" w:type="dxa"/>
            <w:vAlign w:val="bottom"/>
          </w:tcPr>
          <w:p>
            <w:pPr>
              <w:jc w:val="right"/>
              <w:ind w:right="4260"/>
              <w:spacing w:after="0"/>
              <w:rPr>
                <w:sz w:val="20"/>
                <w:szCs w:val="20"/>
                <w:color w:val="auto"/>
              </w:rPr>
            </w:pPr>
            <w:r>
              <w:rPr>
                <w:rFonts w:ascii="Arial" w:cs="Arial" w:eastAsia="Arial" w:hAnsi="Arial"/>
                <w:sz w:val="16"/>
                <w:szCs w:val="16"/>
                <w:color w:val="auto"/>
              </w:rPr>
              <w:t>, 2013.</w:t>
            </w:r>
          </w:p>
        </w:tc>
      </w:tr>
      <w:tr>
        <w:trPr>
          <w:trHeight w:val="589"/>
        </w:trPr>
        <w:tc>
          <w:tcPr>
            <w:tcW w:w="64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531495</wp:posOffset>
            </wp:positionV>
            <wp:extent cx="7261860" cy="6460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6460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8780" w:type="dxa"/>
            <w:vAlign w:val="bottom"/>
          </w:tcPr>
          <w:p>
            <w:pPr>
              <w:ind w:left="4860"/>
              <w:spacing w:after="0"/>
              <w:rPr>
                <w:sz w:val="20"/>
                <w:szCs w:val="20"/>
                <w:color w:val="auto"/>
              </w:rPr>
            </w:pPr>
            <w:r>
              <w:rPr>
                <w:rFonts w:ascii="Arial" w:cs="Arial" w:eastAsia="Arial" w:hAnsi="Arial"/>
                <w:sz w:val="16"/>
                <w:szCs w:val="16"/>
                <w:b w:val="1"/>
                <w:bCs w:val="1"/>
                <w:color w:val="auto"/>
              </w:rPr>
              <w:t>TABLE OF CONTENTS</w:t>
            </w:r>
          </w:p>
        </w:tc>
        <w:tc>
          <w:tcPr>
            <w:tcW w:w="2660" w:type="dxa"/>
            <w:vAlign w:val="bottom"/>
          </w:tcPr>
          <w:p>
            <w:pPr>
              <w:spacing w:after="0"/>
              <w:rPr>
                <w:sz w:val="18"/>
                <w:szCs w:val="18"/>
                <w:color w:val="auto"/>
              </w:rPr>
            </w:pPr>
          </w:p>
        </w:tc>
      </w:tr>
      <w:tr>
        <w:trPr>
          <w:trHeight w:val="372"/>
        </w:trPr>
        <w:tc>
          <w:tcPr>
            <w:tcW w:w="8780" w:type="dxa"/>
            <w:vAlign w:val="bottom"/>
          </w:tcPr>
          <w:p>
            <w:pPr>
              <w:spacing w:after="0"/>
              <w:rPr>
                <w:sz w:val="24"/>
                <w:szCs w:val="24"/>
                <w:color w:val="auto"/>
              </w:rPr>
            </w:pPr>
          </w:p>
        </w:tc>
        <w:tc>
          <w:tcPr>
            <w:tcW w:w="2660" w:type="dxa"/>
            <w:vAlign w:val="bottom"/>
          </w:tcPr>
          <w:p>
            <w:pPr>
              <w:jc w:val="right"/>
              <w:ind w:right="40"/>
              <w:spacing w:after="0"/>
              <w:rPr>
                <w:sz w:val="20"/>
                <w:szCs w:val="20"/>
                <w:color w:val="auto"/>
              </w:rPr>
            </w:pPr>
            <w:r>
              <w:rPr>
                <w:rFonts w:ascii="Arial" w:cs="Arial" w:eastAsia="Arial" w:hAnsi="Arial"/>
                <w:sz w:val="16"/>
                <w:szCs w:val="16"/>
                <w:b w:val="1"/>
                <w:bCs w:val="1"/>
                <w:color w:val="auto"/>
              </w:rPr>
              <w:t>Page</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Prospectus Summary</w:t>
            </w:r>
          </w:p>
        </w:tc>
        <w:tc>
          <w:tcPr>
            <w:tcW w:w="2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Risk Factors</w:t>
            </w:r>
          </w:p>
        </w:tc>
        <w:tc>
          <w:tcPr>
            <w:tcW w:w="26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Cautionary Note Regarding Forward-Looking Statements</w:t>
            </w:r>
          </w:p>
        </w:tc>
        <w:tc>
          <w:tcPr>
            <w:tcW w:w="26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Use of Proceeds</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Dividend Policy</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Capitalization</w:t>
            </w:r>
          </w:p>
        </w:tc>
        <w:tc>
          <w:tcPr>
            <w:tcW w:w="26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Dilution</w:t>
            </w:r>
          </w:p>
        </w:tc>
        <w:tc>
          <w:tcPr>
            <w:tcW w:w="26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Selected Financial Data</w:t>
            </w:r>
          </w:p>
        </w:tc>
        <w:tc>
          <w:tcPr>
            <w:tcW w:w="26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6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Business</w:t>
            </w:r>
          </w:p>
        </w:tc>
        <w:tc>
          <w:tcPr>
            <w:tcW w:w="26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Management</w:t>
            </w:r>
          </w:p>
        </w:tc>
        <w:tc>
          <w:tcPr>
            <w:tcW w:w="26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Principal Shareholders</w:t>
            </w:r>
          </w:p>
        </w:tc>
        <w:tc>
          <w:tcPr>
            <w:tcW w:w="26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Description of Share Capital</w:t>
            </w:r>
          </w:p>
        </w:tc>
        <w:tc>
          <w:tcPr>
            <w:tcW w:w="26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Shares Eligible for Future Sale</w:t>
            </w:r>
          </w:p>
        </w:tc>
        <w:tc>
          <w:tcPr>
            <w:tcW w:w="26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Taxation</w:t>
            </w:r>
          </w:p>
        </w:tc>
        <w:tc>
          <w:tcPr>
            <w:tcW w:w="26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Underwriting</w:t>
            </w:r>
          </w:p>
        </w:tc>
        <w:tc>
          <w:tcPr>
            <w:tcW w:w="26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Expenses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Legal Matters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Experts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Enforceability of Civil Liabilities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Where You Can Find Additional Information</w:t>
            </w:r>
          </w:p>
        </w:tc>
        <w:tc>
          <w:tcPr>
            <w:tcW w:w="26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05"/>
        </w:trPr>
        <w:tc>
          <w:tcPr>
            <w:tcW w:w="8780" w:type="dxa"/>
            <w:vAlign w:val="bottom"/>
          </w:tcPr>
          <w:p>
            <w:pPr>
              <w:spacing w:after="0"/>
              <w:rPr>
                <w:sz w:val="20"/>
                <w:szCs w:val="20"/>
                <w:color w:val="auto"/>
              </w:rPr>
            </w:pPr>
            <w:r>
              <w:rPr>
                <w:rFonts w:ascii="Arial" w:cs="Arial" w:eastAsia="Arial" w:hAnsi="Arial"/>
                <w:sz w:val="16"/>
                <w:szCs w:val="16"/>
                <w:color w:val="auto"/>
              </w:rPr>
              <w:t>Index of Financial Statements</w:t>
            </w:r>
          </w:p>
        </w:tc>
        <w:tc>
          <w:tcPr>
            <w:tcW w:w="2660" w:type="dxa"/>
            <w:vAlign w:val="bottom"/>
          </w:tcPr>
          <w:p>
            <w:pPr>
              <w:jc w:val="right"/>
              <w:spacing w:after="0"/>
              <w:rPr>
                <w:sz w:val="20"/>
                <w:szCs w:val="20"/>
                <w:color w:val="auto"/>
              </w:rPr>
            </w:pPr>
            <w:r>
              <w:rPr>
                <w:rFonts w:ascii="Arial" w:cs="Arial" w:eastAsia="Arial" w:hAnsi="Arial"/>
                <w:sz w:val="16"/>
                <w:szCs w:val="16"/>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305435</wp:posOffset>
            </wp:positionV>
            <wp:extent cx="27000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00020" cy="76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100" w:firstLine="357"/>
        <w:spacing w:after="0" w:line="261"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ordinary shares, and seeking offers to buy our ordinary shares, only in jurisdictions where offers and sales are permitted. The information in this prospectus is accurate only as of the date of this prospectus, regardless of the time of delivery of this prospectus or any sale of our ordinary shares.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Until and including _________, 25 days after the date of this prospectus, all dealers that buy, sell or trade our ordinary shares, whether or not participating in this offering,</w:t>
      </w:r>
    </w:p>
    <w:p>
      <w:pPr>
        <w:spacing w:after="0" w:line="44"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may be required to deliver a prospectus. This is in addition to the dealer’s obligation to deliver a prospectus when acting as an underwriter and with respect to unsold allotments or subscriptions.</w:t>
      </w:r>
    </w:p>
    <w:p>
      <w:pPr>
        <w:spacing w:after="0" w:line="164" w:lineRule="exact"/>
        <w:rPr>
          <w:sz w:val="20"/>
          <w:szCs w:val="20"/>
          <w:color w:val="auto"/>
        </w:rPr>
      </w:pPr>
    </w:p>
    <w:p>
      <w:pPr>
        <w:ind w:right="280" w:firstLine="357"/>
        <w:spacing w:after="0" w:line="264" w:lineRule="auto"/>
        <w:rPr>
          <w:sz w:val="20"/>
          <w:szCs w:val="20"/>
          <w:color w:val="auto"/>
        </w:rPr>
      </w:pPr>
      <w:r>
        <w:rPr>
          <w:rFonts w:ascii="Arial" w:cs="Arial" w:eastAsia="Arial" w:hAnsi="Arial"/>
          <w:sz w:val="16"/>
          <w:szCs w:val="16"/>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171450</wp:posOffset>
            </wp:positionV>
            <wp:extent cx="27000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0020" cy="7620"/>
                    </a:xfrm>
                    <a:prstGeom prst="rect">
                      <a:avLst/>
                    </a:prstGeom>
                    <a:noFill/>
                  </pic:spPr>
                </pic:pic>
              </a:graphicData>
            </a:graphic>
          </wp:anchor>
        </w:drawing>
      </w:r>
    </w:p>
    <w:p>
      <w:pPr>
        <w:spacing w:after="0" w:line="3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this prospectus, “we,” “us,” “our,” the “Company” and “Alcobra” refer to Alcobra Ltd.</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reporting currency and functional currency is the U.S. dollar.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PROSPECTUS SUMMARY</w:t>
      </w:r>
    </w:p>
    <w:p>
      <w:pPr>
        <w:spacing w:after="0" w:line="204" w:lineRule="exact"/>
        <w:rPr>
          <w:sz w:val="20"/>
          <w:szCs w:val="20"/>
          <w:color w:val="auto"/>
        </w:rPr>
      </w:pPr>
    </w:p>
    <w:p>
      <w:pPr>
        <w:ind w:left="20" w:right="140" w:firstLine="352"/>
        <w:spacing w:after="0" w:line="264"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of the information you should consider before investing in our ordinary shares. Before you decide to invest in our ordinary shares, you should read the entire prospectus carefully, including the “Risk Factors” section and the financial statements and related notes appearing at the end of this prospectus.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Our Company</w:t>
      </w:r>
    </w:p>
    <w:p>
      <w:pPr>
        <w:spacing w:after="0" w:line="204" w:lineRule="exact"/>
        <w:rPr>
          <w:sz w:val="20"/>
          <w:szCs w:val="20"/>
          <w:color w:val="auto"/>
        </w:rPr>
      </w:pPr>
    </w:p>
    <w:p>
      <w:pPr>
        <w:ind w:left="20" w:right="20" w:firstLine="346"/>
        <w:spacing w:after="0" w:line="273" w:lineRule="auto"/>
        <w:rPr>
          <w:sz w:val="20"/>
          <w:szCs w:val="20"/>
          <w:color w:val="auto"/>
        </w:rPr>
      </w:pPr>
      <w:r>
        <w:rPr>
          <w:rFonts w:ascii="Arial" w:cs="Arial" w:eastAsia="Arial" w:hAnsi="Arial"/>
          <w:sz w:val="15"/>
          <w:szCs w:val="15"/>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in immediate release forms for the acute treatment of alcohol intoxication and the chronic treatment of alcoholic liver disease in Italy, Portugal, Hungary, Russia, India, China, Mexico and Thailand.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0" w:lineRule="exact"/>
        <w:rPr>
          <w:sz w:val="20"/>
          <w:szCs w:val="20"/>
          <w:color w:val="auto"/>
        </w:rPr>
      </w:pPr>
    </w:p>
    <w:p>
      <w:pPr>
        <w:ind w:left="20" w:right="20" w:firstLine="346"/>
        <w:spacing w:after="0" w:line="254" w:lineRule="auto"/>
        <w:rPr>
          <w:sz w:val="20"/>
          <w:szCs w:val="20"/>
          <w:color w:val="auto"/>
        </w:rPr>
      </w:pPr>
      <w:r>
        <w:rPr>
          <w:rFonts w:ascii="Arial" w:cs="Arial" w:eastAsia="Arial" w:hAnsi="Arial"/>
          <w:sz w:val="16"/>
          <w:szCs w:val="16"/>
          <w:color w:val="auto"/>
        </w:rPr>
        <w:t>We plan to initiate discussions with the U.S. Food and Drug Administration, or FDA, within six months from the date of this prospectus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72" w:lineRule="exact"/>
        <w:rPr>
          <w:sz w:val="20"/>
          <w:szCs w:val="20"/>
          <w:color w:val="auto"/>
        </w:rPr>
      </w:pPr>
    </w:p>
    <w:p>
      <w:pPr>
        <w:ind w:left="20" w:firstLine="346"/>
        <w:spacing w:after="0" w:line="259"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67" w:lineRule="exact"/>
        <w:rPr>
          <w:sz w:val="20"/>
          <w:szCs w:val="20"/>
          <w:color w:val="auto"/>
        </w:rPr>
      </w:pPr>
    </w:p>
    <w:p>
      <w:pPr>
        <w:ind w:left="20" w:firstLine="346"/>
        <w:spacing w:after="0" w:line="271" w:lineRule="auto"/>
        <w:rPr>
          <w:sz w:val="20"/>
          <w:szCs w:val="20"/>
          <w:color w:val="auto"/>
        </w:rPr>
      </w:pPr>
      <w:r>
        <w:rPr>
          <w:rFonts w:ascii="Arial" w:cs="Arial" w:eastAsia="Arial" w:hAnsi="Arial"/>
          <w:sz w:val="15"/>
          <w:szCs w:val="15"/>
          <w:color w:val="auto"/>
        </w:rPr>
        <w:t>ADHD is a treatable condition. The most commonly used therapeutic drugs are stimulants (Schedule II, Controlled Substances), such as Ritalin, Adderall, Vyvanse and Concerta, which are all dopaminergic (related to dopamine)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launched in 2003. This drug also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and have not been proven effective in adults. All approved ADHD drugs need to be carefully monitored by the treating physician to optimize the dose, starting with a low dose and slowly escalating to the most effective and tolerable dose.</w:t>
      </w:r>
    </w:p>
    <w:p>
      <w:pPr>
        <w:spacing w:after="0" w:line="164" w:lineRule="exact"/>
        <w:rPr>
          <w:sz w:val="20"/>
          <w:szCs w:val="20"/>
          <w:color w:val="auto"/>
        </w:rPr>
      </w:pPr>
    </w:p>
    <w:p>
      <w:pPr>
        <w:ind w:left="20" w:firstLine="346"/>
        <w:spacing w:after="0" w:line="256" w:lineRule="auto"/>
        <w:rPr>
          <w:sz w:val="20"/>
          <w:szCs w:val="20"/>
          <w:color w:val="auto"/>
        </w:rPr>
      </w:pPr>
      <w:r>
        <w:rPr>
          <w:rFonts w:ascii="Arial" w:cs="Arial" w:eastAsia="Arial" w:hAnsi="Arial"/>
          <w:sz w:val="16"/>
          <w:szCs w:val="16"/>
          <w:color w:val="auto"/>
        </w:rPr>
        <w:t>In contrast to the most common available treatments which involve the use of stimulants, MG01CI is a non-stimulant with a differentiated mechanism of action that is neither dopaminergic (related to dopamine) nor noradrenergic (related to norepinephrine). Our 120-patient Phase II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4" w:lineRule="exact"/>
        <w:rPr>
          <w:sz w:val="20"/>
          <w:szCs w:val="20"/>
          <w:color w:val="auto"/>
        </w:rPr>
      </w:pPr>
    </w:p>
    <w:p>
      <w:pPr>
        <w:ind w:left="20" w:firstLine="335"/>
        <w:spacing w:after="0" w:line="278" w:lineRule="auto"/>
        <w:rPr>
          <w:sz w:val="20"/>
          <w:szCs w:val="20"/>
          <w:color w:val="auto"/>
        </w:rPr>
      </w:pPr>
      <w:r>
        <w:rPr>
          <w:rFonts w:ascii="Arial" w:cs="Arial" w:eastAsia="Arial" w:hAnsi="Arial"/>
          <w:sz w:val="15"/>
          <w:szCs w:val="15"/>
          <w:color w:val="auto"/>
        </w:rPr>
        <w:t>Our objective is to develop and commercialize proprietary pharmaceutical products for treatment of central nervous system disorders, and cognitive dysfunctions in particular. To this effect, we intend to conduct additional clinical trials for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wp:posOffset>
            </wp:positionV>
            <wp:extent cx="72618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20" w:top="820"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6"/>
          <w:szCs w:val="16"/>
          <w:color w:val="auto"/>
        </w:rPr>
        <w:t>To achieve these objectives, we plan to:</w:t>
      </w:r>
    </w:p>
    <w:p>
      <w:pPr>
        <w:spacing w:after="0" w:line="200" w:lineRule="exact"/>
        <w:rPr>
          <w:sz w:val="20"/>
          <w:szCs w:val="20"/>
          <w:color w:val="auto"/>
        </w:rPr>
      </w:pPr>
    </w:p>
    <w:p>
      <w:pPr>
        <w:ind w:left="580" w:right="8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Subject to receiving the necessary regulatory approvals, initiate and complete two parallel Phase III clinical trials of MG01CI for the treatment of ADHD in adults, and, if they are successful, file for marketing approval for adults initially in the U.S. and the EU.</w:t>
      </w:r>
    </w:p>
    <w:p>
      <w:pPr>
        <w:spacing w:after="0" w:line="151" w:lineRule="exact"/>
        <w:rPr>
          <w:rFonts w:ascii="Arial" w:cs="Arial" w:eastAsia="Arial" w:hAnsi="Arial"/>
          <w:sz w:val="16"/>
          <w:szCs w:val="16"/>
          <w:color w:val="A6A6A6"/>
        </w:rPr>
      </w:pPr>
    </w:p>
    <w:p>
      <w:pPr>
        <w:ind w:left="580" w:right="28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If our adult clinical trials are successful, subject to receiving the necessary regulatory approvals, initiate and complete clinical trials in a pediatric ADHD population, and, if successful, file for marketing approval for that use in the U.S. and EU.</w:t>
      </w:r>
    </w:p>
    <w:p>
      <w:pPr>
        <w:spacing w:after="0" w:line="151" w:lineRule="exact"/>
        <w:rPr>
          <w:rFonts w:ascii="Arial" w:cs="Arial" w:eastAsia="Arial" w:hAnsi="Arial"/>
          <w:sz w:val="16"/>
          <w:szCs w:val="16"/>
          <w:color w:val="A6A6A6"/>
        </w:rPr>
      </w:pPr>
    </w:p>
    <w:p>
      <w:pPr>
        <w:ind w:left="580" w:right="44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Subject to receiving the necessary regulatory approvals, initiate and complete clinical trials in Japan for both adult and pediatric ADHD, and, if successful, file for marketing approval of such uses in that country.</w:t>
      </w:r>
    </w:p>
    <w:p>
      <w:pPr>
        <w:spacing w:after="0" w:line="151" w:lineRule="exact"/>
        <w:rPr>
          <w:rFonts w:ascii="Arial" w:cs="Arial" w:eastAsia="Arial" w:hAnsi="Arial"/>
          <w:sz w:val="16"/>
          <w:szCs w:val="16"/>
          <w:color w:val="A6A6A6"/>
        </w:rPr>
      </w:pPr>
    </w:p>
    <w:p>
      <w:pPr>
        <w:ind w:left="580" w:right="24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After receipt of marketing approval, prepare to commercialize MG01CI for the treatment of patients with ADHD by establishing distribution capabilities primarily in conjunction with large pharmaceutical companies.</w:t>
      </w:r>
    </w:p>
    <w:p>
      <w:pPr>
        <w:spacing w:after="0" w:line="151" w:lineRule="exact"/>
        <w:rPr>
          <w:rFonts w:ascii="Arial" w:cs="Arial" w:eastAsia="Arial" w:hAnsi="Arial"/>
          <w:sz w:val="16"/>
          <w:szCs w:val="16"/>
          <w:color w:val="A6A6A6"/>
        </w:rPr>
      </w:pPr>
    </w:p>
    <w:p>
      <w:pPr>
        <w:ind w:left="580" w:right="4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Conduct clinical investigations into the possible use of MG01CI to treat other cognitive disorders and impairments such as mood disorders, memory impairment, autism and shift work/jet lag.</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our pipeline that are protected by patents, or in-license products in similar therapeutic areas.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06" w:lineRule="exact"/>
        <w:rPr>
          <w:sz w:val="20"/>
          <w:szCs w:val="20"/>
          <w:color w:val="auto"/>
        </w:rPr>
      </w:pPr>
    </w:p>
    <w:p>
      <w:pPr>
        <w:jc w:val="both"/>
        <w:ind w:right="260" w:firstLine="360"/>
        <w:spacing w:after="0" w:line="241" w:lineRule="auto"/>
        <w:rPr>
          <w:sz w:val="20"/>
          <w:szCs w:val="20"/>
          <w:color w:val="auto"/>
        </w:rPr>
      </w:pPr>
      <w:r>
        <w:rPr>
          <w:rFonts w:ascii="Arial" w:cs="Arial" w:eastAsia="Arial" w:hAnsi="Arial"/>
          <w:sz w:val="15"/>
          <w:szCs w:val="15"/>
          <w:color w:val="auto"/>
        </w:rPr>
        <w:t>We are an Israeli corporation based in Tel Aviv and were incorporated in 2008. Our principal executive offices are located at 35 Ehad Ha-Am Street, 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Tel-Aviv, Israel, and our telephone number is +972 72 220 4661. Our website address is www.alcobra-pharma.com. The information contained on, or that can be accessed through, our website is not part of this prospectus. We have included our website address in this prospectus solely as an inactive textual reference.</w:t>
      </w:r>
    </w:p>
    <w:p>
      <w:pPr>
        <w:spacing w:after="0" w:line="180" w:lineRule="exact"/>
        <w:rPr>
          <w:sz w:val="20"/>
          <w:szCs w:val="20"/>
          <w:color w:val="auto"/>
        </w:rPr>
      </w:pPr>
    </w:p>
    <w:p>
      <w:pPr>
        <w:ind w:right="120" w:firstLine="360"/>
        <w:spacing w:after="0" w:line="273" w:lineRule="auto"/>
        <w:rPr>
          <w:sz w:val="20"/>
          <w:szCs w:val="20"/>
          <w:color w:val="auto"/>
        </w:rPr>
      </w:pPr>
      <w:r>
        <w:rPr>
          <w:rFonts w:ascii="Arial" w:cs="Arial" w:eastAsia="Arial" w:hAnsi="Arial"/>
          <w:sz w:val="15"/>
          <w:szCs w:val="15"/>
          <w:color w:val="auto"/>
        </w:rPr>
        <w:t>We are an “emerging growth company,” as defined in Section 2(a) of the Securities Act of 1933, or the Securities Act, as modified by the Jumpstart Our Business Startups Act of 2012, or the JOBS Act. As such, we are eligible to, and intend to, take advantage of certain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in our periodic reports. We could remain an “emerging growth company” for up to five years,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during the preceding three-year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Associated with Our Business</w:t>
      </w:r>
    </w:p>
    <w:p>
      <w:pPr>
        <w:spacing w:after="0" w:line="204" w:lineRule="exact"/>
        <w:rPr>
          <w:sz w:val="20"/>
          <w:szCs w:val="20"/>
          <w:color w:val="auto"/>
        </w:rPr>
      </w:pPr>
    </w:p>
    <w:p>
      <w:pPr>
        <w:ind w:right="180" w:firstLine="352"/>
        <w:spacing w:after="0" w:line="277" w:lineRule="auto"/>
        <w:rPr>
          <w:sz w:val="20"/>
          <w:szCs w:val="20"/>
          <w:color w:val="auto"/>
        </w:rPr>
      </w:pPr>
      <w:r>
        <w:rPr>
          <w:rFonts w:ascii="Arial" w:cs="Arial" w:eastAsia="Arial" w:hAnsi="Arial"/>
          <w:sz w:val="16"/>
          <w:szCs w:val="16"/>
          <w:color w:val="auto"/>
        </w:rPr>
        <w:t>Our business is subject to numerous risks, as more fully described in the section entitled “Risk Factors” immediately following this prospectus summary. You should read these risks before you invest in our ordinary shares. In particular, our risks include, but are not limited to, the following:</w:t>
      </w:r>
    </w:p>
    <w:p>
      <w:pPr>
        <w:spacing w:after="0" w:line="152" w:lineRule="exact"/>
        <w:rPr>
          <w:sz w:val="20"/>
          <w:szCs w:val="20"/>
          <w:color w:val="auto"/>
        </w:rPr>
      </w:pPr>
    </w:p>
    <w:p>
      <w:pPr>
        <w:ind w:left="580" w:hanging="296"/>
        <w:spacing w:after="0" w:line="278" w:lineRule="auto"/>
        <w:tabs>
          <w:tab w:leader="none" w:pos="580" w:val="left"/>
        </w:tabs>
        <w:numPr>
          <w:ilvl w:val="0"/>
          <w:numId w:val="2"/>
        </w:numPr>
        <w:rPr>
          <w:rFonts w:ascii="Arial" w:cs="Arial" w:eastAsia="Arial" w:hAnsi="Arial"/>
          <w:sz w:val="15"/>
          <w:szCs w:val="15"/>
          <w:color w:val="A6A6A6"/>
        </w:rPr>
      </w:pPr>
      <w:r>
        <w:rPr>
          <w:rFonts w:ascii="Arial" w:cs="Arial" w:eastAsia="Arial" w:hAnsi="Arial"/>
          <w:sz w:val="15"/>
          <w:szCs w:val="15"/>
          <w:color w:val="auto"/>
        </w:rPr>
        <w:t>We depend entirely on the success of our only current product candidate, MG01CI, for the treatment of ADHD and other cognitive disorders. We have not received FDA approval to conduct the clinical trials that are necessary to receive regulatory approval to market MG01CI. We require additional and more complex clinical trials of MG01CI that must be successful if we are to seek and obtain regulatory marketing clearances. Advanced clinical trials are often not successful even if prior trials were successful, and even if we are able to conduct advanced clinical trials and those trials are successful, we may not obtain necessary regulatory approvals for MG01CI or we may be unable to successfully commercialize it even if we receive the necessary regulatory approvals.</w:t>
      </w:r>
    </w:p>
    <w:p>
      <w:pPr>
        <w:spacing w:after="0" w:line="154" w:lineRule="exact"/>
        <w:rPr>
          <w:rFonts w:ascii="Arial" w:cs="Arial" w:eastAsia="Arial" w:hAnsi="Arial"/>
          <w:sz w:val="15"/>
          <w:szCs w:val="15"/>
          <w:color w:val="A6A6A6"/>
        </w:rPr>
      </w:pPr>
    </w:p>
    <w:p>
      <w:pPr>
        <w:ind w:left="580" w:hanging="296"/>
        <w:spacing w:after="0"/>
        <w:tabs>
          <w:tab w:leader="none" w:pos="580" w:val="left"/>
        </w:tabs>
        <w:numPr>
          <w:ilvl w:val="0"/>
          <w:numId w:val="2"/>
        </w:numPr>
        <w:rPr>
          <w:rFonts w:ascii="Arial" w:cs="Arial" w:eastAsia="Arial" w:hAnsi="Arial"/>
          <w:sz w:val="15"/>
          <w:szCs w:val="15"/>
          <w:color w:val="A6A6A6"/>
        </w:rPr>
      </w:pPr>
      <w:r>
        <w:rPr>
          <w:rFonts w:ascii="Arial" w:cs="Arial" w:eastAsia="Arial" w:hAnsi="Arial"/>
          <w:sz w:val="15"/>
          <w:szCs w:val="15"/>
          <w:color w:val="auto"/>
        </w:rPr>
        <w:t>Our data from future clinical trials may not satisfy the FDA, or the FDA may require additional time or studies to assess the safety and efficacy of MG01CI.</w:t>
      </w:r>
    </w:p>
    <w:p>
      <w:pPr>
        <w:spacing w:after="0" w:line="211" w:lineRule="exact"/>
        <w:rPr>
          <w:rFonts w:ascii="Arial" w:cs="Arial" w:eastAsia="Arial" w:hAnsi="Arial"/>
          <w:sz w:val="15"/>
          <w:szCs w:val="15"/>
          <w:color w:val="A6A6A6"/>
        </w:rPr>
      </w:pPr>
    </w:p>
    <w:p>
      <w:pPr>
        <w:ind w:left="580" w:hanging="296"/>
        <w:spacing w:after="0" w:line="259" w:lineRule="auto"/>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To date, we have not generated revenue from the sale of any product, and we do not expect to generate significant revenue unless and until we obtain marketing approval of, and commercialize, MG01CI. We are unable to predict the extent of future losses or when we will become profitable based on the sale of any product, if at all. Even if we succeed in developing and commercializing our product candidate, we may never generate sufficient revenue to sustain profitability. As of December 31, 2012, we had an accumulated deficit of $8.2 million.</w:t>
      </w:r>
    </w:p>
    <w:p>
      <w:pPr>
        <w:spacing w:after="0" w:line="166" w:lineRule="exact"/>
        <w:rPr>
          <w:rFonts w:ascii="Arial" w:cs="Arial" w:eastAsia="Arial" w:hAnsi="Arial"/>
          <w:sz w:val="16"/>
          <w:szCs w:val="16"/>
          <w:color w:val="A6A6A6"/>
        </w:rPr>
      </w:pPr>
    </w:p>
    <w:p>
      <w:pPr>
        <w:ind w:left="580" w:right="140" w:hanging="296"/>
        <w:spacing w:after="0" w:line="277" w:lineRule="auto"/>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We have no sources of revenue and will need to raise substantial additional capital to successfully commercialize MG01CI, and such capital may not be available to us or available only on unfavorable terms.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6" w:name="page7"/>
    <w:bookmarkEnd w:id="6"/>
    <w:p>
      <w:pPr>
        <w:ind w:left="580" w:right="80" w:hanging="296"/>
        <w:spacing w:after="0" w:line="282" w:lineRule="auto"/>
        <w:tabs>
          <w:tab w:leader="none" w:pos="580" w:val="left"/>
        </w:tabs>
        <w:numPr>
          <w:ilvl w:val="0"/>
          <w:numId w:val="3"/>
        </w:numPr>
        <w:rPr>
          <w:rFonts w:ascii="Arial" w:cs="Arial" w:eastAsia="Arial" w:hAnsi="Arial"/>
          <w:sz w:val="15"/>
          <w:szCs w:val="15"/>
          <w:color w:val="A6A6A6"/>
        </w:rPr>
      </w:pPr>
      <w:r>
        <w:rPr>
          <w:rFonts w:ascii="Arial" w:cs="Arial" w:eastAsia="Arial" w:hAnsi="Arial"/>
          <w:sz w:val="15"/>
          <w:szCs w:val="15"/>
          <w:color w:val="auto"/>
        </w:rPr>
        <w:t>We do not have any issued patents relating to our MG01CI technology, but one of our patent applications has been allowed by the U.S. Patent and Trademark Office, or U.S. PTO. Our current patent applications may not result in issued patents, and even if issued, those patents may be challenged by our competitors. Any such challenge would be extremely expensive and distracting, and if we cannot successfully defend our intellectual property, competitors may be able to develop generic versions of MG01CI, which would have a material adverse effect on our business or even force us to cease operations.</w:t>
      </w:r>
    </w:p>
    <w:p>
      <w:pPr>
        <w:spacing w:after="0" w:line="150" w:lineRule="exact"/>
        <w:rPr>
          <w:rFonts w:ascii="Arial" w:cs="Arial" w:eastAsia="Arial" w:hAnsi="Arial"/>
          <w:sz w:val="15"/>
          <w:szCs w:val="15"/>
          <w:color w:val="A6A6A6"/>
        </w:rPr>
      </w:pPr>
    </w:p>
    <w:p>
      <w:pPr>
        <w:ind w:left="580" w:right="40" w:hanging="296"/>
        <w:spacing w:after="0" w:line="277" w:lineRule="auto"/>
        <w:tabs>
          <w:tab w:leader="none" w:pos="580" w:val="left"/>
        </w:tabs>
        <w:numPr>
          <w:ilvl w:val="0"/>
          <w:numId w:val="3"/>
        </w:numPr>
        <w:rPr>
          <w:rFonts w:ascii="Arial" w:cs="Arial" w:eastAsia="Arial" w:hAnsi="Arial"/>
          <w:sz w:val="16"/>
          <w:szCs w:val="16"/>
          <w:color w:val="A6A6A6"/>
        </w:rPr>
      </w:pPr>
      <w:r>
        <w:rPr>
          <w:rFonts w:ascii="Arial" w:cs="Arial" w:eastAsia="Arial" w:hAnsi="Arial"/>
          <w:sz w:val="16"/>
          <w:szCs w:val="16"/>
          <w:color w:val="auto"/>
        </w:rPr>
        <w:t>As a public company following the conclusion of this offering, we will need to comply with extensive additional governmental regulations, which will be expensive and which will require significant management attention.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6"/>
                <w:szCs w:val="16"/>
                <w:b w:val="1"/>
                <w:bCs w:val="1"/>
                <w:color w:val="auto"/>
              </w:rPr>
              <w:t>THE OFFERING</w:t>
            </w:r>
          </w:p>
        </w:tc>
      </w:tr>
      <w:tr>
        <w:trPr>
          <w:trHeight w:val="372"/>
        </w:trPr>
        <w:tc>
          <w:tcPr>
            <w:tcW w:w="3820" w:type="dxa"/>
            <w:vAlign w:val="bottom"/>
          </w:tcPr>
          <w:p>
            <w:pPr>
              <w:spacing w:after="0"/>
              <w:rPr>
                <w:sz w:val="20"/>
                <w:szCs w:val="20"/>
                <w:color w:val="auto"/>
              </w:rPr>
            </w:pPr>
            <w:r>
              <w:rPr>
                <w:rFonts w:ascii="Arial" w:cs="Arial" w:eastAsia="Arial" w:hAnsi="Arial"/>
                <w:sz w:val="16"/>
                <w:szCs w:val="16"/>
                <w:color w:val="auto"/>
              </w:rPr>
              <w:t>Ordinary shares offered by us</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2,275,000 shares</w:t>
            </w:r>
          </w:p>
        </w:tc>
      </w:tr>
      <w:tr>
        <w:trPr>
          <w:trHeight w:val="192"/>
        </w:trPr>
        <w:tc>
          <w:tcPr>
            <w:tcW w:w="3820" w:type="dxa"/>
            <w:vAlign w:val="bottom"/>
          </w:tcPr>
          <w:p>
            <w:pPr>
              <w:spacing w:after="0"/>
              <w:rPr>
                <w:sz w:val="20"/>
                <w:szCs w:val="20"/>
                <w:color w:val="auto"/>
              </w:rPr>
            </w:pPr>
            <w:r>
              <w:rPr>
                <w:rFonts w:ascii="Arial" w:cs="Arial" w:eastAsia="Arial" w:hAnsi="Arial"/>
                <w:sz w:val="16"/>
                <w:szCs w:val="16"/>
                <w:color w:val="auto"/>
              </w:rPr>
              <w:t>Ordinary shares to be outstanding after this offering</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10,255,514 shares</w:t>
            </w:r>
          </w:p>
        </w:tc>
      </w:tr>
      <w:tr>
        <w:trPr>
          <w:trHeight w:val="192"/>
        </w:trPr>
        <w:tc>
          <w:tcPr>
            <w:tcW w:w="3820" w:type="dxa"/>
            <w:vAlign w:val="bottom"/>
          </w:tcPr>
          <w:p>
            <w:pPr>
              <w:spacing w:after="0"/>
              <w:rPr>
                <w:sz w:val="20"/>
                <w:szCs w:val="20"/>
                <w:color w:val="auto"/>
              </w:rPr>
            </w:pPr>
            <w:r>
              <w:rPr>
                <w:rFonts w:ascii="Arial" w:cs="Arial" w:eastAsia="Arial" w:hAnsi="Arial"/>
                <w:sz w:val="16"/>
                <w:szCs w:val="16"/>
                <w:color w:val="auto"/>
              </w:rPr>
              <w:t>Over-allotment option</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1"/>
              </w:rPr>
              <w:t>The underwriters have an option for a period of 45 days to purchase up to 341,250 additional ordinary shares</w:t>
            </w:r>
          </w:p>
        </w:tc>
      </w:tr>
      <w:tr>
        <w:trPr>
          <w:trHeight w:val="205"/>
        </w:trPr>
        <w:tc>
          <w:tcPr>
            <w:tcW w:w="3820" w:type="dxa"/>
            <w:vAlign w:val="bottom"/>
          </w:tcPr>
          <w:p>
            <w:pPr>
              <w:spacing w:after="0"/>
              <w:rPr>
                <w:sz w:val="17"/>
                <w:szCs w:val="17"/>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to cover over-allotments, if any.</w:t>
            </w:r>
          </w:p>
        </w:tc>
      </w:tr>
      <w:tr>
        <w:trPr>
          <w:trHeight w:val="372"/>
        </w:trPr>
        <w:tc>
          <w:tcPr>
            <w:tcW w:w="3820" w:type="dxa"/>
            <w:vAlign w:val="bottom"/>
          </w:tcPr>
          <w:p>
            <w:pPr>
              <w:spacing w:after="0"/>
              <w:rPr>
                <w:sz w:val="20"/>
                <w:szCs w:val="20"/>
                <w:color w:val="auto"/>
              </w:rPr>
            </w:pPr>
            <w:r>
              <w:rPr>
                <w:rFonts w:ascii="Arial" w:cs="Arial" w:eastAsia="Arial" w:hAnsi="Arial"/>
                <w:sz w:val="16"/>
                <w:szCs w:val="16"/>
                <w:color w:val="auto"/>
              </w:rPr>
              <w:t>Use of proceeds</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3"/>
              </w:rPr>
              <w:t>We expect to receive approximately $22 million in net proceeds from the sale of 2,275,000 ordinary shares</w:t>
            </w:r>
          </w:p>
        </w:tc>
      </w:tr>
      <w:tr>
        <w:trPr>
          <w:trHeight w:val="192"/>
        </w:trPr>
        <w:tc>
          <w:tcPr>
            <w:tcW w:w="3820" w:type="dxa"/>
            <w:vAlign w:val="bottom"/>
          </w:tcPr>
          <w:p>
            <w:pPr>
              <w:spacing w:after="0"/>
              <w:rPr>
                <w:sz w:val="16"/>
                <w:szCs w:val="16"/>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5"/>
              </w:rPr>
              <w:t>offered by us in this offering (approximately $25.7 million if the underwriters exercise their over-allotment</w:t>
            </w:r>
          </w:p>
        </w:tc>
      </w:tr>
      <w:tr>
        <w:trPr>
          <w:trHeight w:val="192"/>
        </w:trPr>
        <w:tc>
          <w:tcPr>
            <w:tcW w:w="3820" w:type="dxa"/>
            <w:vAlign w:val="bottom"/>
          </w:tcPr>
          <w:p>
            <w:pPr>
              <w:spacing w:after="0"/>
              <w:rPr>
                <w:sz w:val="16"/>
                <w:szCs w:val="16"/>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5"/>
              </w:rPr>
              <w:t>option in full), after deducting estimated underwriting discounts and commissions and estimated offering</w:t>
            </w:r>
          </w:p>
        </w:tc>
      </w:tr>
      <w:tr>
        <w:trPr>
          <w:trHeight w:val="192"/>
        </w:trPr>
        <w:tc>
          <w:tcPr>
            <w:tcW w:w="3820" w:type="dxa"/>
            <w:vAlign w:val="bottom"/>
          </w:tcPr>
          <w:p>
            <w:pPr>
              <w:spacing w:after="0"/>
              <w:rPr>
                <w:sz w:val="16"/>
                <w:szCs w:val="16"/>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1"/>
              </w:rPr>
              <w:t>expenses payable by us, assuming the shares are offered at $11.00 per share, the midpoint of the estimated</w:t>
            </w:r>
          </w:p>
        </w:tc>
      </w:tr>
      <w:tr>
        <w:trPr>
          <w:trHeight w:val="192"/>
        </w:trPr>
        <w:tc>
          <w:tcPr>
            <w:tcW w:w="3820" w:type="dxa"/>
            <w:vAlign w:val="bottom"/>
          </w:tcPr>
          <w:p>
            <w:pPr>
              <w:spacing w:after="0"/>
              <w:rPr>
                <w:sz w:val="16"/>
                <w:szCs w:val="16"/>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2"/>
              </w:rPr>
              <w:t>price range set forth on the cover page of this prospectus. We currently expect to use the net proceeds from</w:t>
            </w:r>
          </w:p>
        </w:tc>
      </w:tr>
      <w:tr>
        <w:trPr>
          <w:trHeight w:val="205"/>
        </w:trPr>
        <w:tc>
          <w:tcPr>
            <w:tcW w:w="3820" w:type="dxa"/>
            <w:vAlign w:val="bottom"/>
          </w:tcPr>
          <w:p>
            <w:pPr>
              <w:spacing w:after="0"/>
              <w:rPr>
                <w:sz w:val="17"/>
                <w:szCs w:val="17"/>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this offering for:</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w w:val="92"/>
              </w:rPr>
              <w:t>completing at least two advanced clinical trials of MG01CI for adult ADHD, estimated at $6,000,000</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6"/>
                <w:szCs w:val="16"/>
                <w:color w:val="auto"/>
              </w:rPr>
              <w:t>each;</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rPr>
              <w:t>completing a Phase I/II clinical study in children for MG01CI, estimated at $1,000,000 to</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6"/>
                <w:szCs w:val="16"/>
                <w:color w:val="auto"/>
              </w:rPr>
              <w:t>$2,000,000;</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w w:val="93"/>
              </w:rPr>
              <w:t>preparing for our proposed studies in adults and children for MG01CI, including engaging the FDA</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6"/>
                <w:szCs w:val="16"/>
                <w:color w:val="auto"/>
              </w:rPr>
              <w:t>in discussions related to protocols for the trials, estimated at $1,000,000 to $3,000,000;</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w w:val="94"/>
              </w:rPr>
              <w:t>evaluating MG01CI in Phase II clinical trials of additional disorders of cognitive function estimated</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20" w:type="dxa"/>
            <w:vAlign w:val="bottom"/>
          </w:tcPr>
          <w:p>
            <w:pPr>
              <w:ind w:left="140"/>
              <w:spacing w:after="0"/>
              <w:rPr>
                <w:sz w:val="20"/>
                <w:szCs w:val="20"/>
                <w:color w:val="auto"/>
              </w:rPr>
            </w:pPr>
            <w:r>
              <w:rPr>
                <w:rFonts w:ascii="Arial" w:cs="Arial" w:eastAsia="Arial" w:hAnsi="Arial"/>
                <w:sz w:val="16"/>
                <w:szCs w:val="16"/>
                <w:color w:val="auto"/>
              </w:rPr>
              <w:t>at $1,000,000 to $2,000,000; and</w:t>
            </w:r>
          </w:p>
        </w:tc>
      </w:tr>
      <w:tr>
        <w:trPr>
          <w:trHeight w:val="384"/>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rPr>
              <w:t>the remainder for working capital and general corporate purposes.</w:t>
            </w:r>
          </w:p>
        </w:tc>
      </w:tr>
      <w:tr>
        <w:trPr>
          <w:trHeight w:val="564"/>
        </w:trPr>
        <w:tc>
          <w:tcPr>
            <w:tcW w:w="3820" w:type="dxa"/>
            <w:vAlign w:val="bottom"/>
          </w:tcPr>
          <w:p>
            <w:pPr>
              <w:spacing w:after="0"/>
              <w:rPr>
                <w:sz w:val="20"/>
                <w:szCs w:val="20"/>
                <w:color w:val="auto"/>
              </w:rPr>
            </w:pPr>
            <w:r>
              <w:rPr>
                <w:rFonts w:ascii="Arial" w:cs="Arial" w:eastAsia="Arial" w:hAnsi="Arial"/>
                <w:sz w:val="16"/>
                <w:szCs w:val="16"/>
                <w:color w:val="auto"/>
              </w:rPr>
              <w:t>Risk factors</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1"/>
              </w:rPr>
              <w:t>You should read the “Risk Factors” section starting on page 7 of this prospectus for a discussion of factors to</w:t>
            </w:r>
          </w:p>
        </w:tc>
      </w:tr>
      <w:tr>
        <w:trPr>
          <w:trHeight w:val="205"/>
        </w:trPr>
        <w:tc>
          <w:tcPr>
            <w:tcW w:w="3820" w:type="dxa"/>
            <w:vAlign w:val="bottom"/>
          </w:tcPr>
          <w:p>
            <w:pPr>
              <w:spacing w:after="0"/>
              <w:rPr>
                <w:sz w:val="17"/>
                <w:szCs w:val="17"/>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consider carefully before deciding to invest in ordinary shares.</w:t>
            </w:r>
          </w:p>
        </w:tc>
      </w:tr>
      <w:tr>
        <w:trPr>
          <w:trHeight w:val="384"/>
        </w:trPr>
        <w:tc>
          <w:tcPr>
            <w:tcW w:w="3820" w:type="dxa"/>
            <w:vAlign w:val="bottom"/>
          </w:tcPr>
          <w:p>
            <w:pPr>
              <w:spacing w:after="0"/>
              <w:rPr>
                <w:sz w:val="20"/>
                <w:szCs w:val="20"/>
                <w:color w:val="auto"/>
              </w:rPr>
            </w:pPr>
            <w:r>
              <w:rPr>
                <w:rFonts w:ascii="Arial" w:cs="Arial" w:eastAsia="Arial" w:hAnsi="Arial"/>
                <w:sz w:val="16"/>
                <w:szCs w:val="16"/>
                <w:color w:val="auto"/>
              </w:rPr>
              <w:t>Proposed NASDAQ Capital Market Symbol</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“ADHD"</w:t>
            </w:r>
          </w:p>
        </w:tc>
      </w:tr>
    </w:tbl>
    <w:p>
      <w:pPr>
        <w:spacing w:after="0" w:line="180" w:lineRule="exact"/>
        <w:rPr>
          <w:sz w:val="20"/>
          <w:szCs w:val="20"/>
          <w:color w:val="auto"/>
        </w:rPr>
      </w:pPr>
    </w:p>
    <w:p>
      <w:pPr>
        <w:ind w:right="60" w:firstLine="357"/>
        <w:spacing w:after="0" w:line="278" w:lineRule="auto"/>
        <w:rPr>
          <w:sz w:val="20"/>
          <w:szCs w:val="20"/>
          <w:color w:val="auto"/>
        </w:rPr>
      </w:pPr>
      <w:r>
        <w:rPr>
          <w:rFonts w:ascii="Arial" w:cs="Arial" w:eastAsia="Arial" w:hAnsi="Arial"/>
          <w:sz w:val="15"/>
          <w:szCs w:val="15"/>
          <w:color w:val="auto"/>
        </w:rPr>
        <w:t>The number of our ordinary shares to be outstanding immediately after this offering is based on 7,794,256 ordinary shares outstanding as of April 1, 2013 (giving prospective effect to the issuance of bonus shares equivalent to a stock split described below) and includes also: (i) 89,044 shares resulting from the mandatory conversion of our outstanding convertible notes upon closing of this offering and (ii) 97,214 shares issued contingent upon the closing of this offering consequent to cashless exercise of 129,257 warrants outstanding as of April 1, 2013 having a weighted average exercise price of $2.73 per share, at an assumed offering price of $11 per share which is the midpoint of the price range set forth on the cover page of this prospectus, or, the Warrant Cashless Exercise. This number excludes:</w:t>
      </w:r>
    </w:p>
    <w:p>
      <w:pPr>
        <w:spacing w:after="0" w:line="154" w:lineRule="exact"/>
        <w:rPr>
          <w:sz w:val="20"/>
          <w:szCs w:val="20"/>
          <w:color w:val="auto"/>
        </w:rPr>
      </w:pPr>
    </w:p>
    <w:p>
      <w:pPr>
        <w:ind w:left="580" w:hanging="296"/>
        <w:spacing w:after="0"/>
        <w:tabs>
          <w:tab w:leader="none" w:pos="58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April 1, 2013 under our equity incentive plan;</w:t>
      </w:r>
    </w:p>
    <w:p>
      <w:pPr>
        <w:spacing w:after="0" w:line="200" w:lineRule="exact"/>
        <w:rPr>
          <w:rFonts w:ascii="Arial" w:cs="Arial" w:eastAsia="Arial" w:hAnsi="Arial"/>
          <w:sz w:val="16"/>
          <w:szCs w:val="16"/>
          <w:color w:val="A6A6A6"/>
        </w:rPr>
      </w:pPr>
    </w:p>
    <w:p>
      <w:pPr>
        <w:ind w:left="580" w:right="120" w:hanging="296"/>
        <w:spacing w:after="0" w:line="277" w:lineRule="auto"/>
        <w:tabs>
          <w:tab w:leader="none" w:pos="58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April 1, 2013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7,009 shares reserved as of April 1, 2013 for future grants under our equity incentive plan.</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all information in this prospectus assumes or gives effect to:</w:t>
      </w:r>
    </w:p>
    <w:p>
      <w:pPr>
        <w:spacing w:after="0" w:line="200" w:lineRule="exact"/>
        <w:rPr>
          <w:sz w:val="20"/>
          <w:szCs w:val="20"/>
          <w:color w:val="auto"/>
        </w:rPr>
      </w:pPr>
    </w:p>
    <w:p>
      <w:pPr>
        <w:ind w:left="580" w:hanging="296"/>
        <w:spacing w:after="0"/>
        <w:tabs>
          <w:tab w:leader="none" w:pos="580" w:val="left"/>
        </w:tabs>
        <w:numPr>
          <w:ilvl w:val="0"/>
          <w:numId w:val="5"/>
        </w:numPr>
        <w:rPr>
          <w:rFonts w:ascii="Arial" w:cs="Arial" w:eastAsia="Arial" w:hAnsi="Arial"/>
          <w:sz w:val="16"/>
          <w:szCs w:val="16"/>
          <w:color w:val="A6A6A6"/>
        </w:rPr>
      </w:pPr>
      <w:r>
        <w:rPr>
          <w:rFonts w:ascii="Arial" w:cs="Arial" w:eastAsia="Arial" w:hAnsi="Arial"/>
          <w:sz w:val="16"/>
          <w:szCs w:val="16"/>
          <w:color w:val="auto"/>
        </w:rPr>
        <w:t>the filing of our amended and restated articles of association, which will occur immediately prior to the completion of this offering;</w:t>
      </w:r>
    </w:p>
    <w:p>
      <w:pPr>
        <w:spacing w:after="0" w:line="200" w:lineRule="exact"/>
        <w:rPr>
          <w:rFonts w:ascii="Arial" w:cs="Arial" w:eastAsia="Arial" w:hAnsi="Arial"/>
          <w:sz w:val="16"/>
          <w:szCs w:val="16"/>
          <w:color w:val="A6A6A6"/>
        </w:rPr>
      </w:pPr>
    </w:p>
    <w:p>
      <w:pPr>
        <w:ind w:left="580" w:right="200" w:hanging="296"/>
        <w:spacing w:after="0" w:line="312" w:lineRule="auto"/>
        <w:tabs>
          <w:tab w:leader="none" w:pos="580" w:val="left"/>
        </w:tabs>
        <w:numPr>
          <w:ilvl w:val="0"/>
          <w:numId w:val="5"/>
        </w:numPr>
        <w:rPr>
          <w:rFonts w:ascii="Arial" w:cs="Arial" w:eastAsia="Arial" w:hAnsi="Arial"/>
          <w:sz w:val="15"/>
          <w:szCs w:val="15"/>
          <w:color w:val="A6A6A6"/>
        </w:rPr>
      </w:pPr>
      <w:r>
        <w:rPr>
          <w:rFonts w:ascii="Arial" w:cs="Arial" w:eastAsia="Arial" w:hAnsi="Arial"/>
          <w:sz w:val="15"/>
          <w:szCs w:val="15"/>
          <w:color w:val="auto"/>
        </w:rPr>
        <w:t>the issuance of bonus shares under Israeli law to all of our shareholders on a basis of 4.87 bonus shares for each ordinary share outstanding (equivalent to a 5.87-for-1 stock split) immediately prior to the completion of this offering and the customary adjustments to our outstanding options and warrants; and</w:t>
      </w:r>
    </w:p>
    <w:p>
      <w:pPr>
        <w:spacing w:after="0" w:line="128" w:lineRule="exact"/>
        <w:rPr>
          <w:rFonts w:ascii="Arial" w:cs="Arial" w:eastAsia="Arial" w:hAnsi="Arial"/>
          <w:sz w:val="15"/>
          <w:szCs w:val="15"/>
          <w:color w:val="A6A6A6"/>
        </w:rPr>
      </w:pPr>
    </w:p>
    <w:p>
      <w:pPr>
        <w:ind w:left="580" w:hanging="296"/>
        <w:spacing w:after="0"/>
        <w:tabs>
          <w:tab w:leader="none" w:pos="580" w:val="left"/>
        </w:tabs>
        <w:numPr>
          <w:ilvl w:val="0"/>
          <w:numId w:val="5"/>
        </w:numPr>
        <w:rPr>
          <w:rFonts w:ascii="Arial" w:cs="Arial" w:eastAsia="Arial" w:hAnsi="Arial"/>
          <w:sz w:val="16"/>
          <w:szCs w:val="16"/>
          <w:color w:val="A6A6A6"/>
        </w:rPr>
      </w:pPr>
      <w:r>
        <w:rPr>
          <w:rFonts w:ascii="Arial" w:cs="Arial" w:eastAsia="Arial" w:hAnsi="Arial"/>
          <w:sz w:val="16"/>
          <w:szCs w:val="16"/>
          <w:color w:val="auto"/>
        </w:rPr>
        <w:t>no exercise of the underwriters’ over-allotment option.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6"/>
          <w:szCs w:val="16"/>
          <w:b w:val="1"/>
          <w:bCs w:val="1"/>
          <w:color w:val="auto"/>
        </w:rPr>
        <w:t>SUMMARY FINANCIAL DATA</w:t>
      </w:r>
    </w:p>
    <w:p>
      <w:pPr>
        <w:spacing w:after="0" w:line="204" w:lineRule="exact"/>
        <w:rPr>
          <w:sz w:val="20"/>
          <w:szCs w:val="20"/>
          <w:color w:val="auto"/>
        </w:rPr>
      </w:pPr>
    </w:p>
    <w:p>
      <w:pPr>
        <w:ind w:left="4" w:right="40" w:firstLine="352"/>
        <w:spacing w:after="0" w:line="282" w:lineRule="auto"/>
        <w:rPr>
          <w:sz w:val="20"/>
          <w:szCs w:val="20"/>
          <w:color w:val="auto"/>
        </w:rPr>
      </w:pPr>
      <w:r>
        <w:rPr>
          <w:rFonts w:ascii="Arial" w:cs="Arial" w:eastAsia="Arial" w:hAnsi="Arial"/>
          <w:sz w:val="15"/>
          <w:szCs w:val="15"/>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7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of U.S. dollars, except share and per share amounts)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4"/>
            <w:vMerge w:val="restart"/>
          </w:tcPr>
          <w:p>
            <w:pPr>
              <w:jc w:val="right"/>
              <w:ind w:right="620"/>
              <w:spacing w:after="0"/>
              <w:rPr>
                <w:sz w:val="20"/>
                <w:szCs w:val="20"/>
                <w:color w:val="auto"/>
              </w:rPr>
            </w:pPr>
            <w:r>
              <w:rPr>
                <w:rFonts w:ascii="Arial" w:cs="Arial" w:eastAsia="Arial" w:hAnsi="Arial"/>
                <w:sz w:val="16"/>
                <w:szCs w:val="16"/>
                <w:b w:val="1"/>
                <w:bCs w:val="1"/>
                <w:color w:val="auto"/>
                <w:w w:val="99"/>
              </w:rPr>
              <w:t>Years Ended 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9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54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Research and development expenses</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818</w:t>
            </w:r>
          </w:p>
        </w:tc>
        <w:tc>
          <w:tcPr>
            <w:tcW w:w="44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General and administrative expenses</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683</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 net</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78</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Deemed dividend</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Loss attributable to holders of ordinary shares</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1,579</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Weighted average number of ordinary shares used in computing basic and diluted net loss per share (1)</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7,791,932</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7,843,388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_____________</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4" w:right="20" w:hanging="344"/>
        <w:spacing w:after="0" w:line="277"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Note 2(m) to our financial statements for an explanation of the method used to calculate basic and diluted net loss per ordinary share and the weighted average number of shares used in computation of the per share amounts.</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80" w:type="dxa"/>
            <w:vAlign w:val="bottom"/>
            <w:gridSpan w:val="4"/>
          </w:tcPr>
          <w:p>
            <w:pPr>
              <w:ind w:left="640"/>
              <w:spacing w:after="0"/>
              <w:rPr>
                <w:sz w:val="20"/>
                <w:szCs w:val="20"/>
                <w:color w:val="auto"/>
              </w:rPr>
            </w:pPr>
            <w:r>
              <w:rPr>
                <w:rFonts w:ascii="Arial" w:cs="Arial" w:eastAsia="Arial" w:hAnsi="Arial"/>
                <w:sz w:val="16"/>
                <w:szCs w:val="16"/>
                <w:b w:val="1"/>
                <w:bCs w:val="1"/>
                <w:color w:val="auto"/>
              </w:rPr>
              <w:t>As of December 31, 2012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20"/>
              <w:spacing w:after="0" w:line="168" w:lineRule="exact"/>
              <w:rPr>
                <w:sz w:val="20"/>
                <w:szCs w:val="20"/>
                <w:color w:val="auto"/>
              </w:rPr>
            </w:pPr>
            <w:r>
              <w:rPr>
                <w:rFonts w:ascii="Arial" w:cs="Arial" w:eastAsia="Arial" w:hAnsi="Arial"/>
                <w:sz w:val="16"/>
                <w:szCs w:val="16"/>
                <w:b w:val="1"/>
                <w:bCs w:val="1"/>
                <w:color w:val="auto"/>
                <w:w w:val="89"/>
              </w:rPr>
              <w:t>As Adjusted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ind w:right="680"/>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(unaudited)(1)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shd w:val="clear" w:color="auto" w:fill="CCFFCC"/>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36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6"/>
                <w:szCs w:val="16"/>
                <w:color w:val="auto"/>
              </w:rPr>
              <w:t>Total long-term assets</w:t>
            </w:r>
          </w:p>
        </w:tc>
        <w:tc>
          <w:tcPr>
            <w:tcW w:w="1740" w:type="dxa"/>
            <w:vAlign w:val="bottom"/>
            <w:gridSpan w:val="2"/>
            <w:shd w:val="clear" w:color="auto" w:fill="CCFFCC"/>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6"/>
                <w:szCs w:val="16"/>
                <w:color w:val="auto"/>
              </w:rPr>
              <w:t>Total current liabilities</w:t>
            </w:r>
          </w:p>
        </w:tc>
        <w:tc>
          <w:tcPr>
            <w:tcW w:w="136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768</w:t>
            </w: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6"/>
                <w:szCs w:val="16"/>
                <w:color w:val="auto"/>
              </w:rPr>
              <w:t>Shareholders’ equity (deficiency)</w:t>
            </w:r>
          </w:p>
        </w:tc>
        <w:tc>
          <w:tcPr>
            <w:tcW w:w="136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(567)</w:t>
            </w: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22,309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4" w:hanging="344"/>
        <w:spacing w:after="0" w:line="259" w:lineRule="auto"/>
        <w:tabs>
          <w:tab w:leader="none" w:pos="34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unaudited as adjusted column in the balance sheet data above gives effect to the sale of 2,275,000 ordinary shares in this offering at an assumed initial public offering price of $11.00 per share (the midpoint of the estimated price range on the cover page of this prospectus), after deducting underwriting discounts and commissions and estimated offering expenses payable by us, as if the sale had occurred on December 31, 2012, and to mandatory conversion of our outstanding convertible notes on the closing of this offering.</w:t>
      </w:r>
    </w:p>
    <w:p>
      <w:pPr>
        <w:spacing w:after="0" w:line="3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0"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RISK FACTORS</w:t>
      </w:r>
    </w:p>
    <w:p>
      <w:pPr>
        <w:spacing w:after="0" w:line="204" w:lineRule="exact"/>
        <w:rPr>
          <w:sz w:val="20"/>
          <w:szCs w:val="20"/>
          <w:color w:val="auto"/>
        </w:rPr>
      </w:pPr>
    </w:p>
    <w:p>
      <w:pPr>
        <w:ind w:firstLine="370"/>
        <w:spacing w:after="0" w:line="257" w:lineRule="auto"/>
        <w:rPr>
          <w:sz w:val="20"/>
          <w:szCs w:val="20"/>
          <w:color w:val="auto"/>
        </w:rPr>
      </w:pPr>
      <w:r>
        <w:rPr>
          <w:rFonts w:ascii="Arial" w:cs="Arial" w:eastAsia="Arial" w:hAnsi="Arial"/>
          <w:sz w:val="16"/>
          <w:szCs w:val="16"/>
          <w:i w:val="1"/>
          <w:iCs w:val="1"/>
          <w:color w:val="auto"/>
        </w:rPr>
        <w:t>An investment in our ordinary shares involves a high degree of risk. We operate in a dynamic and rapidly changing industry that involves numerous risks and uncertainties. You should consider carefully the risks and uncertainties described below, together with all of the other information in this prospectus, including the consolidated financial statements and the related notes included elsewhere in this prospectus, before deciding whether to invest in our ordinary shares.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Product Development, Regulatory Approval and Commercialization</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i w:val="1"/>
          <w:iCs w:val="1"/>
          <w:color w:val="auto"/>
        </w:rPr>
        <w:t>We depend entirely on the success of our only current product candidate, MG01CI, and we may not obtain regulatory approval of MG01CI for the treatment of ADHD or we may be unable to successfully commercialize it.</w:t>
      </w:r>
    </w:p>
    <w:p>
      <w:pPr>
        <w:spacing w:after="0" w:line="152" w:lineRule="exact"/>
        <w:rPr>
          <w:sz w:val="20"/>
          <w:szCs w:val="20"/>
          <w:color w:val="auto"/>
        </w:rPr>
      </w:pPr>
    </w:p>
    <w:p>
      <w:pPr>
        <w:jc w:val="both"/>
        <w:ind w:right="160" w:firstLine="370"/>
        <w:spacing w:after="0" w:line="289" w:lineRule="auto"/>
        <w:rPr>
          <w:sz w:val="20"/>
          <w:szCs w:val="20"/>
          <w:color w:val="auto"/>
        </w:rPr>
      </w:pPr>
      <w:r>
        <w:rPr>
          <w:rFonts w:ascii="Arial" w:cs="Arial" w:eastAsia="Arial" w:hAnsi="Arial"/>
          <w:sz w:val="15"/>
          <w:szCs w:val="15"/>
          <w:color w:val="auto"/>
        </w:rPr>
        <w:t>We have invested almost all of our efforts and financial resources in the research and development of MG01CI, which is currently our only product candidate. As a result, our business is entirely dependent on our ability to complete the development of, obtain regulatory approval for, and successfully commercialize, MG01CI in a timely manner. The process to develop, obtain regulatory approval for, and commercialize MG01CI is long, complex, costly and uncertain of outcome.</w:t>
      </w:r>
    </w:p>
    <w:p>
      <w:pPr>
        <w:spacing w:after="0" w:line="146" w:lineRule="exact"/>
        <w:rPr>
          <w:sz w:val="20"/>
          <w:szCs w:val="20"/>
          <w:color w:val="auto"/>
        </w:rPr>
      </w:pPr>
    </w:p>
    <w:p>
      <w:pPr>
        <w:ind w:right="40" w:firstLine="370"/>
        <w:spacing w:after="0" w:line="299" w:lineRule="auto"/>
        <w:rPr>
          <w:sz w:val="20"/>
          <w:szCs w:val="20"/>
          <w:color w:val="auto"/>
        </w:rPr>
      </w:pPr>
      <w:r>
        <w:rPr>
          <w:rFonts w:ascii="Arial" w:cs="Arial" w:eastAsia="Arial" w:hAnsi="Arial"/>
          <w:sz w:val="14"/>
          <w:szCs w:val="14"/>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MG01CI or any other product candidate in the United States until we receive approval of a New Drug Application, or NDA, from the FDA, or in any foreign countries until we receive the requisite approval from regulatory agencies in such countries. We have not received regulatory clearance to conduct the additional clinical trials that are necessary to be able to submit an NDA to the FDA or comparable applications to other regulatory authorities in other countries or received marketing approval for MG01CI. The results of additional clinical trials may be unsatisfactory, and even if we believe those clinical trials to be successful, there are many reasons why the FDA may not approve our NDA should we be in a position to file one.</w:t>
      </w:r>
    </w:p>
    <w:p>
      <w:pPr>
        <w:spacing w:after="0" w:line="142" w:lineRule="exact"/>
        <w:rPr>
          <w:sz w:val="20"/>
          <w:szCs w:val="20"/>
          <w:color w:val="auto"/>
        </w:rPr>
      </w:pPr>
    </w:p>
    <w:p>
      <w:pPr>
        <w:ind w:right="20" w:firstLine="370"/>
        <w:spacing w:after="0" w:line="273" w:lineRule="auto"/>
        <w:rPr>
          <w:sz w:val="20"/>
          <w:szCs w:val="20"/>
          <w:color w:val="auto"/>
        </w:rPr>
      </w:pPr>
      <w:r>
        <w:rPr>
          <w:rFonts w:ascii="Arial" w:cs="Arial" w:eastAsia="Arial" w:hAnsi="Arial"/>
          <w:sz w:val="15"/>
          <w:szCs w:val="15"/>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60" w:lineRule="exact"/>
        <w:rPr>
          <w:sz w:val="20"/>
          <w:szCs w:val="20"/>
          <w:color w:val="auto"/>
        </w:rPr>
      </w:pPr>
    </w:p>
    <w:p>
      <w:pPr>
        <w:ind w:firstLine="370"/>
        <w:spacing w:after="0" w:line="259" w:lineRule="auto"/>
        <w:rPr>
          <w:sz w:val="20"/>
          <w:szCs w:val="20"/>
          <w:color w:val="auto"/>
        </w:rPr>
      </w:pPr>
      <w:r>
        <w:rPr>
          <w:rFonts w:ascii="Arial" w:cs="Arial" w:eastAsia="Arial" w:hAnsi="Arial"/>
          <w:sz w:val="16"/>
          <w:szCs w:val="16"/>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MG01CI. This would reduce our target market and limit the full commercial potential of MG01CI. Many countries are undertaking cost-containment measures that could affect pricing or reimbursement of a product.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commencement and completion of clinical trials can be delayed or prevented for a number of reasons.</w:t>
      </w:r>
    </w:p>
    <w:p>
      <w:pPr>
        <w:spacing w:after="0" w:line="200" w:lineRule="exact"/>
        <w:rPr>
          <w:sz w:val="20"/>
          <w:szCs w:val="20"/>
          <w:color w:val="auto"/>
        </w:rPr>
      </w:pPr>
    </w:p>
    <w:p>
      <w:pPr>
        <w:ind w:right="360" w:firstLine="370"/>
        <w:spacing w:after="0" w:line="351" w:lineRule="auto"/>
        <w:rPr>
          <w:sz w:val="20"/>
          <w:szCs w:val="20"/>
          <w:color w:val="auto"/>
        </w:rPr>
      </w:pPr>
      <w:r>
        <w:rPr>
          <w:rFonts w:ascii="Arial" w:cs="Arial" w:eastAsia="Arial" w:hAnsi="Arial"/>
          <w:sz w:val="14"/>
          <w:szCs w:val="14"/>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06" w:lineRule="exact"/>
        <w:rPr>
          <w:sz w:val="20"/>
          <w:szCs w:val="20"/>
          <w:color w:val="auto"/>
        </w:rPr>
      </w:pPr>
    </w:p>
    <w:p>
      <w:pPr>
        <w:ind w:left="580" w:right="180" w:hanging="296"/>
        <w:spacing w:after="0" w:line="277" w:lineRule="auto"/>
        <w:tabs>
          <w:tab w:leader="none" w:pos="580" w:val="left"/>
        </w:tabs>
        <w:numPr>
          <w:ilvl w:val="0"/>
          <w:numId w:val="8"/>
        </w:numPr>
        <w:rPr>
          <w:rFonts w:ascii="Arial" w:cs="Arial" w:eastAsia="Arial" w:hAnsi="Arial"/>
          <w:sz w:val="16"/>
          <w:szCs w:val="16"/>
          <w:color w:val="A6A6A6"/>
        </w:rPr>
      </w:pPr>
      <w:r>
        <w:rPr>
          <w:rFonts w:ascii="Arial" w:cs="Arial" w:eastAsia="Arial" w:hAnsi="Arial"/>
          <w:sz w:val="16"/>
          <w:szCs w:val="16"/>
          <w:color w:val="auto"/>
        </w:rPr>
        <w:t>difficulties obtaining regulatory approval to commence a clinical trial or complying with conditions imposed by a regulatory authority regarding the scope or term of a clinical trial;</w:t>
      </w:r>
    </w:p>
    <w:p>
      <w:pPr>
        <w:spacing w:after="0" w:line="151" w:lineRule="exact"/>
        <w:rPr>
          <w:rFonts w:ascii="Arial" w:cs="Arial" w:eastAsia="Arial" w:hAnsi="Arial"/>
          <w:sz w:val="16"/>
          <w:szCs w:val="16"/>
          <w:color w:val="A6A6A6"/>
        </w:rPr>
      </w:pPr>
    </w:p>
    <w:p>
      <w:pPr>
        <w:ind w:left="580" w:right="40" w:hanging="296"/>
        <w:spacing w:after="0" w:line="277" w:lineRule="auto"/>
        <w:tabs>
          <w:tab w:leader="none" w:pos="580" w:val="left"/>
        </w:tabs>
        <w:numPr>
          <w:ilvl w:val="0"/>
          <w:numId w:val="8"/>
        </w:numPr>
        <w:rPr>
          <w:rFonts w:ascii="Arial" w:cs="Arial" w:eastAsia="Arial" w:hAnsi="Arial"/>
          <w:sz w:val="16"/>
          <w:szCs w:val="16"/>
          <w:color w:val="A6A6A6"/>
        </w:rPr>
      </w:pPr>
      <w:r>
        <w:rPr>
          <w:rFonts w:ascii="Arial" w:cs="Arial" w:eastAsia="Arial" w:hAnsi="Arial"/>
          <w:sz w:val="16"/>
          <w:szCs w:val="16"/>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9" w:name="page10"/>
    <w:bookmarkEnd w:id="9"/>
    <w:p>
      <w:pPr>
        <w:ind w:left="580" w:hanging="296"/>
        <w:spacing w:after="0"/>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insufficient or inadequate supply or quality of a product candidate or other materials necessary to conduct our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difficulties obtaining institutional review board, or IRB, approval to conduct a clinical trial at a prospective site; and</w:t>
      </w:r>
    </w:p>
    <w:p>
      <w:pPr>
        <w:spacing w:after="0" w:line="200" w:lineRule="exact"/>
        <w:rPr>
          <w:rFonts w:ascii="Arial" w:cs="Arial" w:eastAsia="Arial" w:hAnsi="Arial"/>
          <w:sz w:val="16"/>
          <w:szCs w:val="16"/>
          <w:color w:val="A6A6A6"/>
        </w:rPr>
      </w:pPr>
    </w:p>
    <w:p>
      <w:pPr>
        <w:ind w:left="580" w:hanging="296"/>
        <w:spacing w:after="0" w:line="264" w:lineRule="auto"/>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challenges recruiting and enrolling patients to participate in clinical trials for a variety of reasons, including size and nature of patient population, proximity of patients to clinical sites, eligibility criteria for the trial, nature of trial protocol, the availability of approved effective treatments for the relevant disease and competition from other clinical trial programs for similar indications.</w:t>
      </w:r>
    </w:p>
    <w:p>
      <w:pPr>
        <w:spacing w:after="0" w:line="162" w:lineRule="exact"/>
        <w:rPr>
          <w:sz w:val="20"/>
          <w:szCs w:val="20"/>
          <w:color w:val="auto"/>
        </w:rPr>
      </w:pPr>
    </w:p>
    <w:p>
      <w:pPr>
        <w:ind w:right="120" w:firstLine="370"/>
        <w:spacing w:after="0" w:line="264" w:lineRule="auto"/>
        <w:rPr>
          <w:sz w:val="20"/>
          <w:szCs w:val="20"/>
          <w:color w:val="auto"/>
        </w:rPr>
      </w:pPr>
      <w:r>
        <w:rPr>
          <w:rFonts w:ascii="Arial" w:cs="Arial" w:eastAsia="Arial" w:hAnsi="Arial"/>
          <w:sz w:val="16"/>
          <w:szCs w:val="16"/>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62" w:lineRule="exact"/>
        <w:rPr>
          <w:sz w:val="20"/>
          <w:szCs w:val="20"/>
          <w:color w:val="auto"/>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failure to conduct the clinical trial in accordance with regulatory requirements or our clinical protocols;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inspection of the clinical trial operations or trial sites by the FDA or other regulatory authorities;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unforeseen safety issues or lack of effectiveness;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lack of adequate funding to continue the clinical trial.</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i w:val="1"/>
          <w:iCs w:val="1"/>
          <w:color w:val="auto"/>
        </w:rPr>
        <w:t>Positive results in previous clinical trials of MG01CI may not be replicated in future clinical trials of MG01CI, which could result in development delays or a failure to obtain marketing approval.</w:t>
      </w:r>
    </w:p>
    <w:p>
      <w:pPr>
        <w:spacing w:after="0" w:line="152" w:lineRule="exact"/>
        <w:rPr>
          <w:sz w:val="20"/>
          <w:szCs w:val="20"/>
          <w:color w:val="auto"/>
        </w:rPr>
      </w:pPr>
    </w:p>
    <w:p>
      <w:pPr>
        <w:ind w:right="40" w:firstLine="360"/>
        <w:spacing w:after="0" w:line="276" w:lineRule="auto"/>
        <w:rPr>
          <w:sz w:val="20"/>
          <w:szCs w:val="20"/>
          <w:color w:val="auto"/>
        </w:rPr>
      </w:pPr>
      <w:r>
        <w:rPr>
          <w:rFonts w:ascii="Arial" w:cs="Arial" w:eastAsia="Arial" w:hAnsi="Arial"/>
          <w:sz w:val="15"/>
          <w:szCs w:val="15"/>
          <w:color w:val="auto"/>
        </w:rPr>
        <w:t>Positive results in previous clinical studies of MG01CI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MG01CI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Obtaining approval of an NDA even after clinical trials that are believed to be successful is an uncertain process.</w:t>
      </w:r>
    </w:p>
    <w:p>
      <w:pPr>
        <w:spacing w:after="0" w:line="200" w:lineRule="exact"/>
        <w:rPr>
          <w:sz w:val="20"/>
          <w:szCs w:val="20"/>
          <w:color w:val="auto"/>
        </w:rPr>
      </w:pPr>
    </w:p>
    <w:p>
      <w:pPr>
        <w:ind w:right="220" w:firstLine="369"/>
        <w:spacing w:after="0" w:line="312" w:lineRule="auto"/>
        <w:rPr>
          <w:sz w:val="20"/>
          <w:szCs w:val="20"/>
          <w:color w:val="auto"/>
        </w:rPr>
      </w:pPr>
      <w:r>
        <w:rPr>
          <w:rFonts w:ascii="Arial" w:cs="Arial" w:eastAsia="Arial" w:hAnsi="Arial"/>
          <w:sz w:val="15"/>
          <w:szCs w:val="15"/>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MG01CI for many reasons, including:</w:t>
      </w:r>
    </w:p>
    <w:p>
      <w:pPr>
        <w:spacing w:after="0" w:line="128" w:lineRule="exact"/>
        <w:rPr>
          <w:sz w:val="20"/>
          <w:szCs w:val="20"/>
          <w:color w:val="auto"/>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we may not be able to demonstrate to the satisfaction of the FDA that MG01CI is safe and effective for any indication;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results of clinical trials may not meet the level of statistical significance or clinical significance required by the FDA for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disagree with the number, design, size, conduct or implementation of our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5"/>
          <w:szCs w:val="15"/>
          <w:color w:val="A6A6A6"/>
        </w:rPr>
      </w:pPr>
      <w:r>
        <w:rPr>
          <w:rFonts w:ascii="Arial" w:cs="Arial" w:eastAsia="Arial" w:hAnsi="Arial"/>
          <w:sz w:val="15"/>
          <w:szCs w:val="15"/>
          <w:color w:val="auto"/>
        </w:rPr>
        <w:t>the FDA may not find the data from preclinical studies and clinical trials sufficient to demonstrate that MG01CI’s clinical and other benefits outweigh its safety risks;</w:t>
      </w:r>
    </w:p>
    <w:p>
      <w:pPr>
        <w:spacing w:after="0" w:line="211" w:lineRule="exact"/>
        <w:rPr>
          <w:rFonts w:ascii="Arial" w:cs="Arial" w:eastAsia="Arial" w:hAnsi="Arial"/>
          <w:sz w:val="15"/>
          <w:szCs w:val="15"/>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disagree with our interpretation of data from preclinical studies or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not accept data generated at our clinical trial sites;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data collected from preclinical studies and clinical trials of MG01CI may not be sufficient to support the submission of an NDA;</w:t>
      </w:r>
    </w:p>
    <w:p>
      <w:pPr>
        <w:spacing w:after="0" w:line="200" w:lineRule="exact"/>
        <w:rPr>
          <w:rFonts w:ascii="Arial" w:cs="Arial" w:eastAsia="Arial" w:hAnsi="Arial"/>
          <w:sz w:val="16"/>
          <w:szCs w:val="16"/>
          <w:color w:val="A6A6A6"/>
        </w:rPr>
      </w:pPr>
    </w:p>
    <w:p>
      <w:pPr>
        <w:ind w:left="580" w:right="400" w:hanging="296"/>
        <w:spacing w:after="0" w:line="264" w:lineRule="auto"/>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61"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require development of a risk evaluation and mitigation strategy as a condition of approval;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0" w:name="page11"/>
    <w:bookmarkEnd w:id="10"/>
    <w:p>
      <w:pPr>
        <w:ind w:left="580" w:right="620" w:hanging="296"/>
        <w:spacing w:after="0" w:line="277" w:lineRule="auto"/>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identify deficiencies in the manufacturing processes or facilities of third party manufacturers with which we enter into agreements for clinical and commercial supplies;</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change its approval policies or adopt new regulations; and</w:t>
      </w:r>
    </w:p>
    <w:p>
      <w:pPr>
        <w:spacing w:after="0" w:line="200" w:lineRule="exact"/>
        <w:rPr>
          <w:rFonts w:ascii="Arial" w:cs="Arial" w:eastAsia="Arial" w:hAnsi="Arial"/>
          <w:sz w:val="16"/>
          <w:szCs w:val="16"/>
          <w:color w:val="A6A6A6"/>
        </w:rPr>
      </w:pPr>
    </w:p>
    <w:p>
      <w:pPr>
        <w:ind w:left="580" w:right="260" w:hanging="296"/>
        <w:spacing w:after="0" w:line="277" w:lineRule="auto"/>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require simultaneous approval for both adults and children delaying needed approvals, or we may have successful clinical trial results for adults but not children, or vice versa.</w:t>
      </w:r>
    </w:p>
    <w:p>
      <w:pPr>
        <w:spacing w:after="0" w:line="152" w:lineRule="exact"/>
        <w:rPr>
          <w:sz w:val="20"/>
          <w:szCs w:val="20"/>
          <w:color w:val="auto"/>
        </w:rPr>
      </w:pPr>
    </w:p>
    <w:p>
      <w:pPr>
        <w:ind w:firstLine="256"/>
        <w:spacing w:after="0" w:line="274" w:lineRule="auto"/>
        <w:rPr>
          <w:sz w:val="20"/>
          <w:szCs w:val="20"/>
          <w:color w:val="auto"/>
        </w:rPr>
      </w:pPr>
      <w:r>
        <w:rPr>
          <w:rFonts w:ascii="Arial" w:cs="Arial" w:eastAsia="Arial" w:hAnsi="Arial"/>
          <w:sz w:val="15"/>
          <w:szCs w:val="15"/>
          <w:color w:val="auto"/>
        </w:rPr>
        <w:t>Before we can submit an NDA to the FDA, we must conduct at least two Phase III clinical trials that will be substantially broader than our Phase II trial. We will also need to agree on a protocol with the FDA for the clinical trials before commencing those trials. Phase III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MG01CI and may be forced to cease operations.</w:t>
      </w:r>
    </w:p>
    <w:p>
      <w:pPr>
        <w:spacing w:after="0" w:line="159" w:lineRule="exact"/>
        <w:rPr>
          <w:sz w:val="20"/>
          <w:szCs w:val="20"/>
          <w:color w:val="auto"/>
        </w:rPr>
      </w:pPr>
    </w:p>
    <w:p>
      <w:pPr>
        <w:jc w:val="both"/>
        <w:ind w:right="480" w:firstLine="370"/>
        <w:spacing w:after="0" w:line="264" w:lineRule="auto"/>
        <w:rPr>
          <w:sz w:val="20"/>
          <w:szCs w:val="20"/>
          <w:color w:val="auto"/>
        </w:rPr>
      </w:pPr>
      <w:r>
        <w:rPr>
          <w:rFonts w:ascii="Arial" w:cs="Arial" w:eastAsia="Arial" w:hAnsi="Arial"/>
          <w:sz w:val="16"/>
          <w:szCs w:val="16"/>
          <w:color w:val="auto"/>
        </w:rPr>
        <w:t>Even if we obtain FDA approval for MG01CI for the treatment of ADHD,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MG01CI, we may be forced to cease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MG01CI may produce undesirable side effects after approval of an NDA.</w:t>
      </w:r>
    </w:p>
    <w:p>
      <w:pPr>
        <w:spacing w:after="0" w:line="200" w:lineRule="exact"/>
        <w:rPr>
          <w:sz w:val="20"/>
          <w:szCs w:val="20"/>
          <w:color w:val="auto"/>
        </w:rPr>
      </w:pPr>
    </w:p>
    <w:p>
      <w:pPr>
        <w:ind w:right="420" w:firstLine="369"/>
        <w:spacing w:after="0" w:line="277" w:lineRule="auto"/>
        <w:rPr>
          <w:sz w:val="20"/>
          <w:szCs w:val="20"/>
          <w:color w:val="auto"/>
        </w:rPr>
      </w:pPr>
      <w:r>
        <w:rPr>
          <w:rFonts w:ascii="Arial" w:cs="Arial" w:eastAsia="Arial" w:hAnsi="Arial"/>
          <w:sz w:val="16"/>
          <w:szCs w:val="16"/>
          <w:color w:val="auto"/>
        </w:rPr>
        <w:t>Even if MG01CI receives marketing approval, we or others may later identify undesirable side effects caused by the product, and in that event a number of potentially significant negative consequences could result, including:</w:t>
      </w:r>
    </w:p>
    <w:p>
      <w:pPr>
        <w:spacing w:after="0" w:line="152" w:lineRule="exact"/>
        <w:rPr>
          <w:sz w:val="20"/>
          <w:szCs w:val="20"/>
          <w:color w:val="auto"/>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suspend or withdraw their approval of the product;</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require the addition of labeling statements, such as warnings or contraindications or distribution and use restrictions;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require us to issue specific communications to healthcare professionals, such as “Dear Doctor” letters;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issue negative publicity regarding the affected product, including safety communications;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4"/>
          <w:szCs w:val="14"/>
          <w:color w:val="A6A6A6"/>
        </w:rPr>
      </w:pPr>
      <w:r>
        <w:rPr>
          <w:rFonts w:ascii="Arial" w:cs="Arial" w:eastAsia="Arial" w:hAnsi="Arial"/>
          <w:sz w:val="14"/>
          <w:szCs w:val="14"/>
          <w:color w:val="auto"/>
        </w:rPr>
        <w:t>we may be required to change the way the product is administered, conduct additional preclinical studies or clinical trials or restrict the distribution or use of the product;</w:t>
      </w:r>
    </w:p>
    <w:p>
      <w:pPr>
        <w:spacing w:after="0" w:line="223" w:lineRule="exact"/>
        <w:rPr>
          <w:rFonts w:ascii="Arial" w:cs="Arial" w:eastAsia="Arial" w:hAnsi="Arial"/>
          <w:sz w:val="14"/>
          <w:szCs w:val="14"/>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we could be sued and held liable for harm caused to patients;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our reputation may suffer.</w:t>
      </w:r>
    </w:p>
    <w:p>
      <w:pPr>
        <w:spacing w:after="0" w:line="200" w:lineRule="exact"/>
        <w:rPr>
          <w:sz w:val="20"/>
          <w:szCs w:val="20"/>
          <w:color w:val="auto"/>
        </w:rPr>
      </w:pPr>
    </w:p>
    <w:p>
      <w:pPr>
        <w:ind w:right="20" w:firstLine="31"/>
        <w:spacing w:after="0" w:line="277"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candidate and could substantially increase commercialization costs or even force us to cease operations.</w:t>
      </w:r>
    </w:p>
    <w:p>
      <w:pPr>
        <w:spacing w:after="0" w:line="152"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b w:val="1"/>
          <w:bCs w:val="1"/>
          <w:i w:val="1"/>
          <w:iCs w:val="1"/>
          <w:color w:val="auto"/>
        </w:rPr>
        <w:t>We have only minimal preliminary pre-clinical or clinical data that support the applicability of MG01CI to other cognitive conditions, and ultimate regulatory approval for any additional applications is speculative.</w:t>
      </w:r>
    </w:p>
    <w:p>
      <w:pPr>
        <w:spacing w:after="0" w:line="152" w:lineRule="exact"/>
        <w:rPr>
          <w:sz w:val="20"/>
          <w:szCs w:val="20"/>
          <w:color w:val="auto"/>
        </w:rPr>
      </w:pPr>
    </w:p>
    <w:p>
      <w:pPr>
        <w:ind w:right="100" w:firstLine="370"/>
        <w:spacing w:after="0" w:line="264" w:lineRule="auto"/>
        <w:rPr>
          <w:sz w:val="20"/>
          <w:szCs w:val="20"/>
          <w:color w:val="auto"/>
        </w:rPr>
      </w:pPr>
      <w:r>
        <w:rPr>
          <w:rFonts w:ascii="Arial" w:cs="Arial" w:eastAsia="Arial" w:hAnsi="Arial"/>
          <w:sz w:val="16"/>
          <w:szCs w:val="16"/>
          <w:color w:val="auto"/>
        </w:rPr>
        <w:t>We intend to investigate the use of MG01CI to treat other cognitive disorders and impairments. These efforts have just commenced, and very little data regarding such uses has been obtained. The regulatory approval process for additional indications would be as complex, time consuming and expensive as that for MG01CI in ADHD. As a result, ultimate regulatory approval for one or more of such indications is speculative.</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b w:val="1"/>
          <w:bCs w:val="1"/>
          <w:i w:val="1"/>
          <w:iCs w:val="1"/>
          <w:color w:val="auto"/>
        </w:rPr>
        <w:t>Obtaining regulatory approval for clinical trials of MGO1CI in children will be more difficult than obtaining such approvals for adult clinical trials since the requirements for regulatory approval to conduct pediatric clinical trials are more stringent.</w:t>
      </w:r>
    </w:p>
    <w:p>
      <w:pPr>
        <w:spacing w:after="0" w:line="152" w:lineRule="exact"/>
        <w:rPr>
          <w:sz w:val="20"/>
          <w:szCs w:val="20"/>
          <w:color w:val="auto"/>
        </w:rPr>
      </w:pPr>
    </w:p>
    <w:p>
      <w:pPr>
        <w:jc w:val="both"/>
        <w:ind w:right="220" w:firstLine="370"/>
        <w:spacing w:after="0" w:line="264" w:lineRule="auto"/>
        <w:rPr>
          <w:sz w:val="20"/>
          <w:szCs w:val="20"/>
          <w:color w:val="auto"/>
        </w:rPr>
      </w:pPr>
      <w:r>
        <w:rPr>
          <w:rFonts w:ascii="Arial" w:cs="Arial" w:eastAsia="Arial" w:hAnsi="Arial"/>
          <w:sz w:val="16"/>
          <w:szCs w:val="16"/>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162" w:lineRule="exact"/>
        <w:rPr>
          <w:sz w:val="20"/>
          <w:szCs w:val="20"/>
          <w:color w:val="auto"/>
        </w:rPr>
      </w:pPr>
    </w:p>
    <w:p>
      <w:pPr>
        <w:ind w:right="500"/>
        <w:spacing w:after="0" w:line="351" w:lineRule="auto"/>
        <w:rPr>
          <w:sz w:val="20"/>
          <w:szCs w:val="20"/>
          <w:color w:val="auto"/>
        </w:rPr>
      </w:pPr>
      <w:r>
        <w:rPr>
          <w:rFonts w:ascii="Arial" w:cs="Arial" w:eastAsia="Arial" w:hAnsi="Arial"/>
          <w:sz w:val="14"/>
          <w:szCs w:val="14"/>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06" w:lineRule="exact"/>
        <w:rPr>
          <w:sz w:val="20"/>
          <w:szCs w:val="20"/>
          <w:color w:val="auto"/>
        </w:rPr>
      </w:pPr>
    </w:p>
    <w:p>
      <w:pPr>
        <w:ind w:right="140" w:firstLine="370"/>
        <w:spacing w:after="0" w:line="259" w:lineRule="auto"/>
        <w:rPr>
          <w:sz w:val="20"/>
          <w:szCs w:val="20"/>
          <w:color w:val="auto"/>
        </w:rPr>
      </w:pPr>
      <w:r>
        <w:rPr>
          <w:rFonts w:ascii="Arial" w:cs="Arial" w:eastAsia="Arial" w:hAnsi="Arial"/>
          <w:sz w:val="16"/>
          <w:szCs w:val="16"/>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MG01CI would be harmed and our ability to generate product revenue would be delayed, possibly materially.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 w:name="page12"/>
    <w:bookmarkEnd w:id="11"/>
    <w:p>
      <w:pPr>
        <w:ind w:right="620"/>
        <w:spacing w:after="0" w:line="277"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MG01CI or any other product candidate that we develop and affect the prices we may obtain.</w:t>
      </w:r>
    </w:p>
    <w:p>
      <w:pPr>
        <w:spacing w:after="0" w:line="152" w:lineRule="exact"/>
        <w:rPr>
          <w:sz w:val="20"/>
          <w:szCs w:val="20"/>
          <w:color w:val="auto"/>
        </w:rPr>
      </w:pPr>
    </w:p>
    <w:p>
      <w:pPr>
        <w:jc w:val="both"/>
        <w:ind w:right="160" w:firstLine="370"/>
        <w:spacing w:after="0" w:line="264"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for MG01CI or any other product candidate that we develop, restrict or regulate post-approval activities and affect our ability to profitably sell MG01CI or any other product candidate for which we obtain marketing approval.</w:t>
      </w:r>
    </w:p>
    <w:p>
      <w:pPr>
        <w:spacing w:after="0" w:line="162" w:lineRule="exact"/>
        <w:rPr>
          <w:sz w:val="20"/>
          <w:szCs w:val="20"/>
          <w:color w:val="auto"/>
        </w:rPr>
      </w:pPr>
    </w:p>
    <w:p>
      <w:pPr>
        <w:ind w:firstLine="370"/>
        <w:spacing w:after="0" w:line="282" w:lineRule="auto"/>
        <w:rPr>
          <w:sz w:val="20"/>
          <w:szCs w:val="20"/>
          <w:color w:val="auto"/>
        </w:rPr>
      </w:pPr>
      <w:r>
        <w:rPr>
          <w:rFonts w:ascii="Arial" w:cs="Arial" w:eastAsia="Arial" w:hAnsi="Arial"/>
          <w:sz w:val="15"/>
          <w:szCs w:val="15"/>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MG01CI,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0" w:lineRule="exact"/>
        <w:rPr>
          <w:sz w:val="20"/>
          <w:szCs w:val="20"/>
          <w:color w:val="auto"/>
        </w:rPr>
      </w:pPr>
    </w:p>
    <w:p>
      <w:pPr>
        <w:ind w:firstLine="370"/>
        <w:spacing w:after="0" w:line="297" w:lineRule="auto"/>
        <w:rPr>
          <w:sz w:val="20"/>
          <w:szCs w:val="20"/>
          <w:color w:val="auto"/>
        </w:rPr>
      </w:pPr>
      <w:r>
        <w:rPr>
          <w:rFonts w:ascii="Arial" w:cs="Arial" w:eastAsia="Arial" w:hAnsi="Arial"/>
          <w:sz w:val="14"/>
          <w:szCs w:val="14"/>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43" w:lineRule="exact"/>
        <w:rPr>
          <w:sz w:val="20"/>
          <w:szCs w:val="20"/>
          <w:color w:val="auto"/>
        </w:rPr>
      </w:pPr>
    </w:p>
    <w:p>
      <w:pPr>
        <w:ind w:right="80" w:firstLine="370"/>
        <w:spacing w:after="0" w:line="273" w:lineRule="auto"/>
        <w:rPr>
          <w:sz w:val="20"/>
          <w:szCs w:val="20"/>
          <w:color w:val="auto"/>
        </w:rPr>
      </w:pPr>
      <w:r>
        <w:rPr>
          <w:rFonts w:ascii="Arial" w:cs="Arial" w:eastAsia="Arial" w:hAnsi="Arial"/>
          <w:sz w:val="15"/>
          <w:szCs w:val="15"/>
          <w:color w:val="auto"/>
        </w:rPr>
        <w:t>More recently, President Obama signed into law the Patient Protection and Affordable Care Act,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this law until applicable federal and state agencies issue regulations or guidance under it. Although it is too early to determine its effect, the new law appears likely to continue the pressure on pharmaceutical pricing, especially under the Medicare program, and may also increase our regulatory burdens and operating costs.</w:t>
      </w:r>
    </w:p>
    <w:p>
      <w:pPr>
        <w:spacing w:after="0" w:line="160"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b w:val="1"/>
          <w:bCs w:val="1"/>
          <w:i w:val="1"/>
          <w:iCs w:val="1"/>
          <w:color w:val="auto"/>
        </w:rPr>
        <w:t>Even if MG01CI or any other product candidate that we develop receives marketing approval, we will continue to face extensive regulatory requirements and the product may still face future development and regulatory difficulties.</w:t>
      </w:r>
    </w:p>
    <w:p>
      <w:pPr>
        <w:spacing w:after="0" w:line="152" w:lineRule="exact"/>
        <w:rPr>
          <w:sz w:val="20"/>
          <w:szCs w:val="20"/>
          <w:color w:val="auto"/>
        </w:rPr>
      </w:pPr>
    </w:p>
    <w:p>
      <w:pPr>
        <w:ind w:firstLine="370"/>
        <w:spacing w:after="0" w:line="294" w:lineRule="auto"/>
        <w:rPr>
          <w:sz w:val="20"/>
          <w:szCs w:val="20"/>
          <w:color w:val="auto"/>
        </w:rPr>
      </w:pPr>
      <w:r>
        <w:rPr>
          <w:rFonts w:ascii="Arial" w:cs="Arial" w:eastAsia="Arial" w:hAnsi="Arial"/>
          <w:sz w:val="14"/>
          <w:szCs w:val="14"/>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MG01CI, if it is approved for marketing, may include restrictions on use, such as limitations on how ADHD is defined and diagnosed or limiting MG01CI to second-line or concomitant therapy. In addition, the labeling may include significant restrictions on use. MG01CI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we, our drug products or the manufacturing facilities for our drug products fail to comply with applicable regulatory requirements, a regulatory agency may: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2" w:name="page13"/>
    <w:bookmarkEnd w:id="12"/>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issue warning letters or untitled letters;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seek an injunction or impose civil or criminal penalties or monetary fines;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suspend or withdraw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suspend any ongoing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refuse to approve pending applications or supplements to applications;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suspend or impose restrictions on operations, including costly new manufacturing requirements;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seize or detain products, refuse to permit the import or export of products or request that we initiate a product recall;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refuse to allow us to enter into supply contracts, including government contracts.</w:t>
      </w:r>
    </w:p>
    <w:p>
      <w:pPr>
        <w:spacing w:after="0" w:line="200" w:lineRule="exact"/>
        <w:rPr>
          <w:sz w:val="20"/>
          <w:szCs w:val="20"/>
          <w:color w:val="auto"/>
        </w:rPr>
      </w:pPr>
    </w:p>
    <w:p>
      <w:pPr>
        <w:ind w:right="60" w:firstLine="40"/>
        <w:spacing w:after="0" w:line="277" w:lineRule="auto"/>
        <w:rPr>
          <w:sz w:val="20"/>
          <w:szCs w:val="20"/>
          <w:color w:val="auto"/>
        </w:rPr>
      </w:pPr>
      <w:r>
        <w:rPr>
          <w:rFonts w:ascii="Arial" w:cs="Arial" w:eastAsia="Arial" w:hAnsi="Arial"/>
          <w:sz w:val="16"/>
          <w:szCs w:val="16"/>
          <w:b w:val="1"/>
          <w:bCs w:val="1"/>
          <w:i w:val="1"/>
          <w:iCs w:val="1"/>
          <w:color w:val="auto"/>
        </w:rPr>
        <w:t>If we obtain approval to commercialize MG01CI outside of the United States, a variety of risks associated with international operations could materially adversely affect our business.</w:t>
      </w:r>
    </w:p>
    <w:p>
      <w:pPr>
        <w:spacing w:after="0" w:line="152" w:lineRule="exact"/>
        <w:rPr>
          <w:sz w:val="20"/>
          <w:szCs w:val="20"/>
          <w:color w:val="auto"/>
        </w:rPr>
      </w:pPr>
    </w:p>
    <w:p>
      <w:pPr>
        <w:ind w:right="440" w:firstLine="392"/>
        <w:spacing w:after="0" w:line="312" w:lineRule="auto"/>
        <w:rPr>
          <w:sz w:val="20"/>
          <w:szCs w:val="20"/>
          <w:color w:val="auto"/>
        </w:rPr>
      </w:pPr>
      <w:r>
        <w:rPr>
          <w:rFonts w:ascii="Arial" w:cs="Arial" w:eastAsia="Arial" w:hAnsi="Arial"/>
          <w:sz w:val="15"/>
          <w:szCs w:val="15"/>
          <w:color w:val="auto"/>
        </w:rPr>
        <w:t>If MG01CI is approved for commercialization outside the United States, we will likely enter into agreements with third parties to market MG01CI outside the United States. We expect that we will be subject to additional risks related to entering into or maintaining international business relationships, including:</w:t>
      </w:r>
    </w:p>
    <w:p>
      <w:pPr>
        <w:spacing w:after="0" w:line="128" w:lineRule="exact"/>
        <w:rPr>
          <w:sz w:val="20"/>
          <w:szCs w:val="20"/>
          <w:color w:val="auto"/>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different regulatory requirements for drug approvals in foreign countries;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differing United States and foreign drug import and export rules;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reduced protection for intellectual property rights in foreign countries;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unexpected changes in tariffs, trade barriers and regulatory requirements;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different reimbursement systems;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economic weakness, including inflation, or political instability in particular foreign economies and markets;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compliance with tax, employment, immigration and labor laws for employees living or traveling abroad;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foreign taxes, including withholding of payroll taxes;</w:t>
      </w:r>
    </w:p>
    <w:p>
      <w:pPr>
        <w:spacing w:after="0" w:line="200" w:lineRule="exact"/>
        <w:rPr>
          <w:rFonts w:ascii="Arial" w:cs="Arial" w:eastAsia="Arial" w:hAnsi="Arial"/>
          <w:sz w:val="16"/>
          <w:szCs w:val="16"/>
          <w:color w:val="A6A6A6"/>
        </w:rPr>
      </w:pPr>
    </w:p>
    <w:p>
      <w:pPr>
        <w:ind w:left="580" w:hanging="296"/>
        <w:spacing w:after="0" w:line="277" w:lineRule="auto"/>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foreign currency fluctuations, which could result in increased operating expenses and reduced revenues, and other obligations incident to doing business in another country;</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workforce uncertainty in countries where labor unrest is more common than in the United States;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production shortages resulting from any events affecting raw material supply or manufacturing capabilities abroad;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potential liability resulting from development work conducted by these distributors;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business interruptions resulting from geopolitical actions, including war and terrorism, or natural disasters.</w:t>
      </w:r>
    </w:p>
    <w:p>
      <w:pPr>
        <w:spacing w:after="0" w:line="200" w:lineRule="exact"/>
        <w:rPr>
          <w:sz w:val="20"/>
          <w:szCs w:val="20"/>
          <w:color w:val="auto"/>
        </w:rPr>
      </w:pPr>
    </w:p>
    <w:p>
      <w:pPr>
        <w:ind w:right="20" w:firstLine="392"/>
        <w:spacing w:after="0" w:line="289"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MG01CI. If regulatory sanctions are applied or if regulatory approval is withdrawn, the value of our company and our operating results will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receive marketing approval for MG01CI, sales will be limited unless the product achieves broad market acceptance.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3" w:name="page14"/>
    <w:bookmarkEnd w:id="13"/>
    <w:p>
      <w:pPr>
        <w:jc w:val="both"/>
        <w:ind w:right="220" w:firstLine="369"/>
        <w:spacing w:after="0" w:line="264" w:lineRule="auto"/>
        <w:rPr>
          <w:sz w:val="20"/>
          <w:szCs w:val="20"/>
          <w:color w:val="auto"/>
        </w:rPr>
      </w:pPr>
      <w:r>
        <w:rPr>
          <w:rFonts w:ascii="Arial" w:cs="Arial" w:eastAsia="Arial" w:hAnsi="Arial"/>
          <w:sz w:val="16"/>
          <w:szCs w:val="16"/>
          <w:color w:val="auto"/>
        </w:rPr>
        <w:t>The commercial success of MG01CI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62" w:lineRule="exact"/>
        <w:rPr>
          <w:sz w:val="20"/>
          <w:szCs w:val="20"/>
          <w:color w:val="auto"/>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demonstration of clinical safety and efficacy compared to other products;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relative convenience and ease of administration;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prevalence and severity of any adverse side effects;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limitations or warnings contained in the product’s approved labeling;</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distribution and use restrictions imposed by the FDA or agreed to by us as part of a mandatory or voluntary risk management plan;</w:t>
      </w:r>
    </w:p>
    <w:p>
      <w:pPr>
        <w:spacing w:after="0" w:line="200" w:lineRule="exact"/>
        <w:rPr>
          <w:rFonts w:ascii="Arial" w:cs="Arial" w:eastAsia="Arial" w:hAnsi="Arial"/>
          <w:sz w:val="16"/>
          <w:szCs w:val="16"/>
          <w:color w:val="A6A6A6"/>
        </w:rPr>
      </w:pPr>
    </w:p>
    <w:p>
      <w:pPr>
        <w:ind w:left="580" w:hanging="296"/>
        <w:spacing w:after="0" w:line="277" w:lineRule="auto"/>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availability of alternative treatments, including, in the case of MG01CI, a number of competitive products already approved for the treatment of ADHD or expected to be commercially launched in the near future;</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pricing and cost effectiveness;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effectiveness of our or any future collaborators’ sales and marketing strategies;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our ability to obtain sufficient third-party coverage or reimbursement;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willingness of patients to pay for drugs out of pocket in the absence of third-party coverage.</w:t>
      </w:r>
    </w:p>
    <w:p>
      <w:pPr>
        <w:spacing w:after="0" w:line="200" w:lineRule="exact"/>
        <w:rPr>
          <w:sz w:val="20"/>
          <w:szCs w:val="20"/>
          <w:color w:val="auto"/>
        </w:rPr>
      </w:pPr>
    </w:p>
    <w:p>
      <w:pPr>
        <w:jc w:val="both"/>
        <w:ind w:right="20" w:firstLine="370"/>
        <w:spacing w:after="0" w:line="264" w:lineRule="auto"/>
        <w:rPr>
          <w:sz w:val="20"/>
          <w:szCs w:val="20"/>
          <w:color w:val="auto"/>
        </w:rPr>
      </w:pPr>
      <w:r>
        <w:rPr>
          <w:rFonts w:ascii="Arial" w:cs="Arial" w:eastAsia="Arial" w:hAnsi="Arial"/>
          <w:sz w:val="16"/>
          <w:szCs w:val="16"/>
          <w:color w:val="auto"/>
        </w:rPr>
        <w:t>If MG01CI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2" w:lineRule="exact"/>
        <w:rPr>
          <w:sz w:val="20"/>
          <w:szCs w:val="20"/>
          <w:color w:val="auto"/>
        </w:rPr>
      </w:pPr>
    </w:p>
    <w:p>
      <w:pPr>
        <w:ind w:firstLine="370"/>
        <w:spacing w:after="0" w:line="273" w:lineRule="auto"/>
        <w:rPr>
          <w:sz w:val="20"/>
          <w:szCs w:val="20"/>
          <w:color w:val="auto"/>
        </w:rPr>
      </w:pPr>
      <w:r>
        <w:rPr>
          <w:rFonts w:ascii="Arial" w:cs="Arial" w:eastAsia="Arial" w:hAnsi="Arial"/>
          <w:sz w:val="15"/>
          <w:szCs w:val="15"/>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MG01CI may include restrictions on use, such as limitations on how ADHD is defined and diagnosed or limiting MG01CI to second-line or concomitant therapy. The FDA may impose further requirements or restrictions on the distribution or use of MG01CI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MG01CI, physicians may nevertheless prescribe MG01CI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will be difficult for us to profitably sell MG01CI if reimbursement for the product is limited.</w:t>
      </w:r>
    </w:p>
    <w:p>
      <w:pPr>
        <w:spacing w:after="0" w:line="200" w:lineRule="exact"/>
        <w:rPr>
          <w:sz w:val="20"/>
          <w:szCs w:val="20"/>
          <w:color w:val="auto"/>
        </w:rPr>
      </w:pPr>
    </w:p>
    <w:p>
      <w:pPr>
        <w:ind w:right="20" w:firstLine="370"/>
        <w:spacing w:after="0" w:line="274" w:lineRule="auto"/>
        <w:rPr>
          <w:sz w:val="20"/>
          <w:szCs w:val="20"/>
          <w:color w:val="auto"/>
        </w:rPr>
      </w:pPr>
      <w:r>
        <w:rPr>
          <w:rFonts w:ascii="Arial" w:cs="Arial" w:eastAsia="Arial" w:hAnsi="Arial"/>
          <w:sz w:val="15"/>
          <w:szCs w:val="15"/>
          <w:color w:val="auto"/>
        </w:rPr>
        <w:t>Market acceptance and sales of MG01CI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MG01CI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59" w:lineRule="exact"/>
        <w:rPr>
          <w:sz w:val="20"/>
          <w:szCs w:val="20"/>
          <w:color w:val="auto"/>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a covered benefit under its health plan;</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safe, effective, and medically necessary;</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appropriate for the specific patient;</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cost effective; and</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neither experimental nor investigational.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4" w:name="page15"/>
    <w:bookmarkEnd w:id="14"/>
    <w:p>
      <w:pPr>
        <w:ind w:firstLine="392"/>
        <w:spacing w:after="0" w:line="278" w:lineRule="auto"/>
        <w:rPr>
          <w:sz w:val="20"/>
          <w:szCs w:val="20"/>
          <w:color w:val="auto"/>
        </w:rPr>
      </w:pPr>
      <w:r>
        <w:rPr>
          <w:rFonts w:ascii="Arial" w:cs="Arial" w:eastAsia="Arial" w:hAnsi="Arial"/>
          <w:sz w:val="15"/>
          <w:szCs w:val="15"/>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00" w:lineRule="exact"/>
        <w:rPr>
          <w:sz w:val="20"/>
          <w:szCs w:val="20"/>
          <w:color w:val="auto"/>
        </w:rPr>
      </w:pPr>
    </w:p>
    <w:p>
      <w:pPr>
        <w:ind w:firstLine="370"/>
        <w:spacing w:after="0" w:line="282" w:lineRule="auto"/>
        <w:rPr>
          <w:sz w:val="20"/>
          <w:szCs w:val="20"/>
          <w:color w:val="auto"/>
        </w:rPr>
      </w:pPr>
      <w:r>
        <w:rPr>
          <w:rFonts w:ascii="Arial" w:cs="Arial" w:eastAsia="Arial" w:hAnsi="Arial"/>
          <w:sz w:val="15"/>
          <w:szCs w:val="15"/>
          <w:color w:val="auto"/>
        </w:rPr>
        <w:t>Before they can begin commercial manufacture of MG01CI,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50" w:lineRule="exact"/>
        <w:rPr>
          <w:sz w:val="20"/>
          <w:szCs w:val="20"/>
          <w:color w:val="auto"/>
        </w:rPr>
      </w:pPr>
    </w:p>
    <w:p>
      <w:pPr>
        <w:ind w:right="100" w:firstLine="370"/>
        <w:spacing w:after="0" w:line="264" w:lineRule="auto"/>
        <w:rPr>
          <w:sz w:val="20"/>
          <w:szCs w:val="20"/>
          <w:color w:val="auto"/>
        </w:rPr>
      </w:pPr>
      <w:r>
        <w:rPr>
          <w:rFonts w:ascii="Arial" w:cs="Arial" w:eastAsia="Arial" w:hAnsi="Arial"/>
          <w:sz w:val="16"/>
          <w:szCs w:val="16"/>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rely primarily on third parties to market and sell MG01CI.</w:t>
      </w:r>
    </w:p>
    <w:p>
      <w:pPr>
        <w:spacing w:after="0" w:line="200"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We currently have no manufacturing, sales or distribution capabilities. To the extent we rely on third parties to commercialize MG01CI, if marketing approval is obtained, we may receive less revenue than if we commercialized MG01CI ourselves. In addition, we would have less control over the sales efforts of any third parties involved in our commercialization efforts. In the event we are unable to collaborate with a third-party marketing and sales organization to commercialize MG01CI, particularly for broader patient populations, our ability to generate revenue will be limited.</w:t>
      </w:r>
    </w:p>
    <w:p>
      <w:pPr>
        <w:spacing w:after="0" w:line="167" w:lineRule="exact"/>
        <w:rPr>
          <w:sz w:val="20"/>
          <w:szCs w:val="20"/>
          <w:color w:val="auto"/>
        </w:rPr>
      </w:pPr>
    </w:p>
    <w:p>
      <w:pPr>
        <w:ind w:right="920"/>
        <w:spacing w:after="0" w:line="277" w:lineRule="auto"/>
        <w:rPr>
          <w:sz w:val="20"/>
          <w:szCs w:val="20"/>
          <w:color w:val="auto"/>
        </w:rPr>
      </w:pPr>
      <w:r>
        <w:rPr>
          <w:rFonts w:ascii="Arial" w:cs="Arial" w:eastAsia="Arial" w:hAnsi="Arial"/>
          <w:sz w:val="16"/>
          <w:szCs w:val="16"/>
          <w:b w:val="1"/>
          <w:bCs w:val="1"/>
          <w:i w:val="1"/>
          <w:iCs w:val="1"/>
          <w:color w:val="auto"/>
        </w:rPr>
        <w:t>Our market is subject to intense competition. If we are unable to compete effectively, MG01CI or any other product candidate that we develop may be rendered noncompetitive or obsolete.</w:t>
      </w:r>
    </w:p>
    <w:p>
      <w:pPr>
        <w:spacing w:after="0" w:line="152" w:lineRule="exact"/>
        <w:rPr>
          <w:sz w:val="20"/>
          <w:szCs w:val="20"/>
          <w:color w:val="auto"/>
        </w:rPr>
      </w:pPr>
    </w:p>
    <w:p>
      <w:pPr>
        <w:ind w:right="20" w:firstLine="369"/>
        <w:spacing w:after="0" w:line="254"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we are. Patients and doctors are often unwilling to change medications, and this factor will make it difficult for MG01CI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MG01CI or other product candidates. Smaller or early stage companies may also prove to be significant competitors, particularly through collaborative arrangements with large, established companies. These companies may have products in development that are superior to MG01CI. Key competitive factors affecting the commercial success of MG01CI and any other product candidates that we develop are likely to be efficacy, time of onset, safety and tolerability profile, reliability, convenience of dosing, price and reimbursement.</w:t>
      </w:r>
    </w:p>
    <w:p>
      <w:pPr>
        <w:spacing w:after="0" w:line="170" w:lineRule="exact"/>
        <w:rPr>
          <w:sz w:val="20"/>
          <w:szCs w:val="20"/>
          <w:color w:val="auto"/>
        </w:rPr>
      </w:pPr>
    </w:p>
    <w:p>
      <w:pPr>
        <w:ind w:right="20" w:firstLine="400"/>
        <w:spacing w:after="0" w:line="274" w:lineRule="auto"/>
        <w:rPr>
          <w:sz w:val="20"/>
          <w:szCs w:val="20"/>
          <w:color w:val="auto"/>
        </w:rPr>
      </w:pPr>
      <w:r>
        <w:rPr>
          <w:rFonts w:ascii="Arial" w:cs="Arial" w:eastAsia="Arial" w:hAnsi="Arial"/>
          <w:sz w:val="15"/>
          <w:szCs w:val="15"/>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MG01CI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MG01CI or any other product candidate that we develop non-competitive or obsolete.</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We face potential product liability exposure, and, if claims are brought against us, we may incur substantial liability.</w:t>
      </w:r>
    </w:p>
    <w:p>
      <w:pPr>
        <w:spacing w:after="0" w:line="200" w:lineRule="exact"/>
        <w:rPr>
          <w:sz w:val="20"/>
          <w:szCs w:val="20"/>
          <w:color w:val="auto"/>
        </w:rPr>
      </w:pPr>
    </w:p>
    <w:p>
      <w:pPr>
        <w:ind w:firstLine="369"/>
        <w:spacing w:after="0" w:line="264" w:lineRule="auto"/>
        <w:rPr>
          <w:sz w:val="20"/>
          <w:szCs w:val="20"/>
          <w:color w:val="auto"/>
        </w:rPr>
      </w:pPr>
      <w:r>
        <w:rPr>
          <w:rFonts w:ascii="Arial" w:cs="Arial" w:eastAsia="Arial" w:hAnsi="Arial"/>
          <w:sz w:val="16"/>
          <w:szCs w:val="16"/>
          <w:color w:val="auto"/>
        </w:rPr>
        <w:t>The use of MG01CI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62" w:lineRule="exact"/>
        <w:rPr>
          <w:sz w:val="20"/>
          <w:szCs w:val="20"/>
          <w:color w:val="auto"/>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decreased demand for MG01CI or any other product candidate for which we obtain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impairment of our business reputation and exposure to adverse publicity;</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increased warnings on product labels;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withdrawal of clinical trial participants;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costs of related litigation;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distraction of management’s attention from our primary business;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substantial monetary awards to patients or other claimants;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loss of revenue;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the inability to successfully commercialize MG01CI or any other product candidate for which we obtain marketing approval.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product liability lawsuits are successfully brought against us, our insurance may be inadequate.</w:t>
      </w:r>
    </w:p>
    <w:p>
      <w:pPr>
        <w:spacing w:after="0" w:line="200" w:lineRule="exact"/>
        <w:rPr>
          <w:sz w:val="20"/>
          <w:szCs w:val="20"/>
          <w:color w:val="auto"/>
        </w:rPr>
      </w:pPr>
    </w:p>
    <w:p>
      <w:pPr>
        <w:ind w:right="20" w:firstLine="370"/>
        <w:spacing w:after="0" w:line="297" w:lineRule="auto"/>
        <w:rPr>
          <w:sz w:val="20"/>
          <w:szCs w:val="20"/>
          <w:color w:val="auto"/>
        </w:rPr>
      </w:pPr>
      <w:r>
        <w:rPr>
          <w:rFonts w:ascii="Arial" w:cs="Arial" w:eastAsia="Arial" w:hAnsi="Arial"/>
          <w:sz w:val="14"/>
          <w:szCs w:val="14"/>
          <w:color w:val="auto"/>
        </w:rPr>
        <w:t>We have obtained product liability insurance coverage for our clinical trials with a $5.0 million annual aggregate coverage limit. However, our insurance coverage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and when we obtain marketing approval for MG01CI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43"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Our Financial Position and Need for Additional Capital</w:t>
      </w:r>
    </w:p>
    <w:p>
      <w:pPr>
        <w:spacing w:after="0" w:line="204" w:lineRule="exact"/>
        <w:rPr>
          <w:sz w:val="20"/>
          <w:szCs w:val="20"/>
          <w:color w:val="auto"/>
        </w:rPr>
      </w:pPr>
    </w:p>
    <w:p>
      <w:pPr>
        <w:ind w:right="660"/>
        <w:spacing w:after="0" w:line="277" w:lineRule="auto"/>
        <w:rPr>
          <w:sz w:val="20"/>
          <w:szCs w:val="20"/>
          <w:color w:val="auto"/>
        </w:rPr>
      </w:pPr>
      <w:r>
        <w:rPr>
          <w:rFonts w:ascii="Arial" w:cs="Arial" w:eastAsia="Arial" w:hAnsi="Arial"/>
          <w:sz w:val="16"/>
          <w:szCs w:val="16"/>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52" w:lineRule="exact"/>
        <w:rPr>
          <w:sz w:val="20"/>
          <w:szCs w:val="20"/>
          <w:color w:val="auto"/>
        </w:rPr>
      </w:pPr>
    </w:p>
    <w:p>
      <w:pPr>
        <w:ind w:firstLine="370"/>
        <w:spacing w:after="0" w:line="254" w:lineRule="auto"/>
        <w:rPr>
          <w:sz w:val="20"/>
          <w:szCs w:val="20"/>
          <w:color w:val="auto"/>
        </w:rPr>
      </w:pPr>
      <w:r>
        <w:rPr>
          <w:rFonts w:ascii="Arial" w:cs="Arial" w:eastAsia="Arial" w:hAnsi="Arial"/>
          <w:sz w:val="16"/>
          <w:szCs w:val="16"/>
          <w:color w:val="auto"/>
        </w:rPr>
        <w:t>We are an emerging biopharmaceutical company with a limited operating history. To date, we have focused almost exclusively on developing our lead compound, MG01CI. We have funded our operations to date primarily through proceeds from the private placement of ordinary shares and convertible debt.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years ended December 31, 2011 and 2012 was approximately $4.1 million and $1.6 million, respectively. As of December 31, 2012, we had an accumulated deficit of $8.2 million. Substantially all of our operating losses resulted from costs incurred in connection with our development program and from general and administrative costs associated with our operations.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16" w:name="page17"/>
    <w:bookmarkEnd w:id="16"/>
    <w:p>
      <w:pPr>
        <w:ind w:firstLine="370"/>
        <w:spacing w:after="0" w:line="302" w:lineRule="auto"/>
        <w:rPr>
          <w:sz w:val="20"/>
          <w:szCs w:val="20"/>
          <w:color w:val="auto"/>
        </w:rPr>
      </w:pPr>
      <w:r>
        <w:rPr>
          <w:rFonts w:ascii="Arial" w:cs="Arial" w:eastAsia="Arial" w:hAnsi="Arial"/>
          <w:sz w:val="14"/>
          <w:szCs w:val="14"/>
          <w:color w:val="auto"/>
        </w:rPr>
        <w:t>We expect our research and development expenses to increase in connection with our planned expanded clinical trials. In addition, if we obtain marketing approval for MG01CI, we will likely incur significant sales, marketing and outsourced manufacturing expenses, as well as continued research and development expenses. Furthermore, in the period following this offering, we expect to incur additional costs associated with operating as a public company, which we estimate will be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generated any revenue from MG01CI or any other product candidate and may never be profitable.</w:t>
      </w:r>
    </w:p>
    <w:p>
      <w:pPr>
        <w:spacing w:after="0" w:line="200" w:lineRule="exact"/>
        <w:rPr>
          <w:sz w:val="20"/>
          <w:szCs w:val="20"/>
          <w:color w:val="auto"/>
        </w:rPr>
      </w:pPr>
    </w:p>
    <w:p>
      <w:pPr>
        <w:jc w:val="both"/>
        <w:ind w:right="60" w:firstLine="370"/>
        <w:spacing w:after="0" w:line="264"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our development stage product candidate, MG01CI, and we do not know when, or if, we will generate any revenue. We do not expect to generate significant revenue unless or until we obtain marketing approval of, and commercialize, MG01CI. Our ability to generate revenue depends on a number of factors, including our ability to:</w:t>
      </w:r>
    </w:p>
    <w:p>
      <w:pPr>
        <w:spacing w:after="0" w:line="162" w:lineRule="exact"/>
        <w:rPr>
          <w:sz w:val="20"/>
          <w:szCs w:val="20"/>
          <w:color w:val="auto"/>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obtain favorable results from and progress the clinical development of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develop and obtain regulatory approval for registration studies protocols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subject to successful completion of registration, clinical trials and perhaps additional clinical trials of MG01CI, apply for and obtain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contract for the manufacture of commercial quantities of MG01CI at acceptable cost levels if marketing approval is received;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establish sales and marketing capabilities, both internal and external, to effectively market and sell MG01CI in the United States and other countries.</w:t>
      </w:r>
    </w:p>
    <w:p>
      <w:pPr>
        <w:spacing w:after="0" w:line="200" w:lineRule="exact"/>
        <w:rPr>
          <w:sz w:val="20"/>
          <w:szCs w:val="20"/>
          <w:color w:val="auto"/>
        </w:rPr>
      </w:pPr>
    </w:p>
    <w:p>
      <w:pPr>
        <w:ind w:right="40" w:firstLine="370"/>
        <w:spacing w:after="0" w:line="264" w:lineRule="auto"/>
        <w:rPr>
          <w:sz w:val="20"/>
          <w:szCs w:val="20"/>
          <w:color w:val="auto"/>
        </w:rPr>
      </w:pPr>
      <w:r>
        <w:rPr>
          <w:rFonts w:ascii="Arial" w:cs="Arial" w:eastAsia="Arial" w:hAnsi="Arial"/>
          <w:sz w:val="16"/>
          <w:szCs w:val="16"/>
          <w:color w:val="auto"/>
        </w:rPr>
        <w:t>Even if MG01CI is approved for commercial sale for the treatment of ADHD,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substantial additional capital in the future. If additional capital is not available, we will have to delay, reduce or cease operations.</w:t>
      </w:r>
    </w:p>
    <w:p>
      <w:pPr>
        <w:spacing w:after="0" w:line="200" w:lineRule="exact"/>
        <w:rPr>
          <w:sz w:val="20"/>
          <w:szCs w:val="20"/>
          <w:color w:val="auto"/>
        </w:rPr>
      </w:pPr>
    </w:p>
    <w:p>
      <w:pPr>
        <w:ind w:right="40" w:firstLine="370"/>
        <w:spacing w:after="0" w:line="312" w:lineRule="auto"/>
        <w:rPr>
          <w:sz w:val="20"/>
          <w:szCs w:val="20"/>
          <w:color w:val="auto"/>
        </w:rPr>
      </w:pPr>
      <w:r>
        <w:rPr>
          <w:rFonts w:ascii="Arial" w:cs="Arial" w:eastAsia="Arial" w:hAnsi="Arial"/>
          <w:sz w:val="15"/>
          <w:szCs w:val="15"/>
          <w:color w:val="auto"/>
        </w:rPr>
        <w:t>We will need to raise substantial additional capital to fund our operations and to develop and commercialize MG01CI. As of December 31, 2012, we had negative working capital of $(588,000) and cash and cash equivalents of $97,000. Our future capital requirements may be substantial and will depend on many factors including:</w:t>
      </w:r>
    </w:p>
    <w:p>
      <w:pPr>
        <w:spacing w:after="0" w:line="128" w:lineRule="exact"/>
        <w:rPr>
          <w:sz w:val="20"/>
          <w:szCs w:val="20"/>
          <w:color w:val="auto"/>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our clinical trial results;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 timing and outcomes of seeking marketing approval of MG01CI;</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 of filing and prosecuting patent applications and the cost of defending our patents;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 of prosecuting infringement actions against third parties;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exploration and possible label expansion of MG01CI for the treatment of other conditions;</w:t>
      </w:r>
    </w:p>
    <w:p>
      <w:pPr>
        <w:spacing w:after="0" w:line="200" w:lineRule="exact"/>
        <w:rPr>
          <w:rFonts w:ascii="Arial" w:cs="Arial" w:eastAsia="Arial" w:hAnsi="Arial"/>
          <w:sz w:val="16"/>
          <w:szCs w:val="16"/>
          <w:color w:val="BFBFBF"/>
        </w:rPr>
      </w:pPr>
    </w:p>
    <w:p>
      <w:pPr>
        <w:ind w:left="580" w:right="140" w:hanging="296"/>
        <w:spacing w:after="0" w:line="277" w:lineRule="auto"/>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costs associated with commercializing MG01CI if we receive marketing approval, including the cost and timing of establishing sales and marketing capabilities to market and sell MG01CI;</w:t>
      </w:r>
    </w:p>
    <w:p>
      <w:pPr>
        <w:spacing w:after="0" w:line="151"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subject to receipt of marketing approval, revenue received from sales of approved products, if any, in the future;</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any product liability or other lawsuits related to our products;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expenses needed to attract and retain skilled personnel; and</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costs associated with being a public company.</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17" w:name="page18"/>
    <w:bookmarkEnd w:id="17"/>
    <w:p>
      <w:pPr>
        <w:ind w:firstLine="360"/>
        <w:spacing w:after="0" w:line="302" w:lineRule="auto"/>
        <w:rPr>
          <w:sz w:val="20"/>
          <w:szCs w:val="20"/>
          <w:color w:val="auto"/>
        </w:rPr>
      </w:pPr>
      <w:r>
        <w:rPr>
          <w:rFonts w:ascii="Arial" w:cs="Arial" w:eastAsia="Arial" w:hAnsi="Arial"/>
          <w:sz w:val="14"/>
          <w:szCs w:val="14"/>
          <w:color w:val="auto"/>
        </w:rPr>
        <w:t>Based on our current operating plan, we anticipate that the net proceeds of this offering, together with our existing resources, will be sufficient to enable us to maintain our currently planned operations, including our continued product development, at least through 2015. We believe these funds will enable us to complete any preparatory clinical and non-clinical work, as well as two Phase III clinical trials. We will require significant additional funds to initiate and complete the FDA approval process. However,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40" w:lineRule="exact"/>
        <w:rPr>
          <w:sz w:val="20"/>
          <w:szCs w:val="20"/>
          <w:color w:val="auto"/>
        </w:rPr>
      </w:pPr>
    </w:p>
    <w:p>
      <w:pPr>
        <w:ind w:left="580" w:hanging="296"/>
        <w:spacing w:after="0"/>
        <w:tabs>
          <w:tab w:leader="none" w:pos="580" w:val="left"/>
        </w:tabs>
        <w:numPr>
          <w:ilvl w:val="0"/>
          <w:numId w:val="21"/>
        </w:numPr>
        <w:rPr>
          <w:rFonts w:ascii="Arial" w:cs="Arial" w:eastAsia="Arial" w:hAnsi="Arial"/>
          <w:sz w:val="16"/>
          <w:szCs w:val="16"/>
          <w:color w:val="A6A6A6"/>
        </w:rPr>
      </w:pPr>
      <w:r>
        <w:rPr>
          <w:rFonts w:ascii="Arial" w:cs="Arial" w:eastAsia="Arial" w:hAnsi="Arial"/>
          <w:sz w:val="16"/>
          <w:szCs w:val="16"/>
          <w:color w:val="auto"/>
        </w:rPr>
        <w:t>terminate or delay clinical trials or other development activities for MG01CI;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1"/>
        </w:numPr>
        <w:rPr>
          <w:rFonts w:ascii="Arial" w:cs="Arial" w:eastAsia="Arial" w:hAnsi="Arial"/>
          <w:sz w:val="15"/>
          <w:szCs w:val="15"/>
          <w:color w:val="A6A6A6"/>
        </w:rPr>
      </w:pPr>
      <w:r>
        <w:rPr>
          <w:rFonts w:ascii="Arial" w:cs="Arial" w:eastAsia="Arial" w:hAnsi="Arial"/>
          <w:sz w:val="15"/>
          <w:szCs w:val="15"/>
          <w:color w:val="auto"/>
        </w:rPr>
        <w:t>delay our establishment of sales and marketing capabilities or other activities that may be necessary to commercialize MG01CI, if we obtain marketing approval.</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00" w:lineRule="exact"/>
        <w:rPr>
          <w:sz w:val="20"/>
          <w:szCs w:val="20"/>
          <w:color w:val="auto"/>
        </w:rPr>
      </w:pPr>
    </w:p>
    <w:p>
      <w:pPr>
        <w:ind w:right="60" w:firstLine="370"/>
        <w:spacing w:after="0" w:line="276" w:lineRule="auto"/>
        <w:rPr>
          <w:sz w:val="20"/>
          <w:szCs w:val="20"/>
          <w:color w:val="auto"/>
        </w:rPr>
      </w:pPr>
      <w:r>
        <w:rPr>
          <w:rFonts w:ascii="Arial" w:cs="Arial" w:eastAsia="Arial" w:hAnsi="Arial"/>
          <w:sz w:val="15"/>
          <w:szCs w:val="15"/>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recurring operating losses have raised substantial doubt regarding our ability to continue as a going concern.</w:t>
      </w:r>
    </w:p>
    <w:p>
      <w:pPr>
        <w:spacing w:after="0" w:line="200" w:lineRule="exact"/>
        <w:rPr>
          <w:sz w:val="20"/>
          <w:szCs w:val="20"/>
          <w:color w:val="auto"/>
        </w:rPr>
      </w:pPr>
    </w:p>
    <w:p>
      <w:pPr>
        <w:ind w:right="120" w:firstLine="370"/>
        <w:spacing w:after="0" w:line="273" w:lineRule="auto"/>
        <w:rPr>
          <w:sz w:val="20"/>
          <w:szCs w:val="20"/>
          <w:color w:val="auto"/>
        </w:rPr>
      </w:pPr>
      <w:r>
        <w:rPr>
          <w:rFonts w:ascii="Arial" w:cs="Arial" w:eastAsia="Arial" w:hAnsi="Arial"/>
          <w:sz w:val="15"/>
          <w:szCs w:val="15"/>
          <w:color w:val="auto"/>
        </w:rPr>
        <w:t>As of December 31, 2012, we had an accumulated deficit of $8.2 million. Our recurring operating losses raise substantial doubt about our ability to continue as a going concern. Our financial statements include a note describing the conditions which raise this substantial doubt. As a result, our independent registered public accounting firm included an explanatory paragraph in its report on our financial statements as of and for the year ended December 31, 2012 with respect to this uncertainty. We have no current source of revenue to sustain our present activities, and we do not expect to generate revenue until, and unless, the FDA or other regulatory authorities approve MG01CI and we successfully commercialize MG01CI. Accordingly, our ability to continue as a going concern will require us to obtain additional financing to fund our operations. According to our estimates, based on our budget, if we are not successful in obtaining additional capital resources, there is a substantial doubt that we will be able to continue our activities after June 30, 2013. The perception of our ability to continue as a going concern may make it more difficult for us to obtain financing for the continuation of our operations and could result in the loss of confidence by investors, suppliers and employees.</w:t>
      </w:r>
    </w:p>
    <w:p>
      <w:pPr>
        <w:spacing w:after="0" w:line="156"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Risks Related to Our Reliance on Third Parties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manufacturing capacity and anticipate reliance on third-party manufacturers for our products.</w:t>
      </w:r>
    </w:p>
    <w:p>
      <w:pPr>
        <w:spacing w:after="0" w:line="200" w:lineRule="exact"/>
        <w:rPr>
          <w:sz w:val="20"/>
          <w:szCs w:val="20"/>
          <w:color w:val="auto"/>
        </w:rPr>
      </w:pPr>
    </w:p>
    <w:p>
      <w:pPr>
        <w:ind w:right="40" w:firstLine="370"/>
        <w:spacing w:after="0" w:line="297" w:lineRule="auto"/>
        <w:rPr>
          <w:sz w:val="20"/>
          <w:szCs w:val="20"/>
          <w:color w:val="auto"/>
        </w:rPr>
      </w:pPr>
      <w:r>
        <w:rPr>
          <w:rFonts w:ascii="Arial" w:cs="Arial" w:eastAsia="Arial" w:hAnsi="Arial"/>
          <w:sz w:val="14"/>
          <w:szCs w:val="14"/>
          <w:color w:val="auto"/>
        </w:rPr>
        <w:t>We do not currently operate manufacturing facilities for clinical production of MG01CI. We do not intend to develop facilities for the manufacture of products for clinical trials or commercial purposes in the foreseeable future. We will rely on third-party manufacturers to produce bulk drug products required for our clinical trials. We plan to continue to rely upon contract manufacturers and, potentially, collaboration partners to manufacture commercial quantities of our drug product candidates if and when approved for marketing by the applicable regulatory authorities. 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MG01CI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18" w:name="page19"/>
    <w:bookmarkEnd w:id="18"/>
    <w:p>
      <w:pPr>
        <w:ind w:right="160" w:firstLine="370"/>
        <w:spacing w:after="0" w:line="259" w:lineRule="auto"/>
        <w:rPr>
          <w:sz w:val="20"/>
          <w:szCs w:val="20"/>
          <w:color w:val="auto"/>
        </w:rPr>
      </w:pPr>
      <w:r>
        <w:rPr>
          <w:rFonts w:ascii="Arial" w:cs="Arial" w:eastAsia="Arial" w:hAnsi="Arial"/>
          <w:sz w:val="16"/>
          <w:szCs w:val="16"/>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67" w:lineRule="exact"/>
        <w:rPr>
          <w:sz w:val="20"/>
          <w:szCs w:val="20"/>
          <w:color w:val="auto"/>
        </w:rPr>
      </w:pPr>
    </w:p>
    <w:p>
      <w:pPr>
        <w:jc w:val="both"/>
        <w:ind w:right="240" w:firstLine="370"/>
        <w:spacing w:after="0" w:line="264" w:lineRule="auto"/>
        <w:rPr>
          <w:sz w:val="20"/>
          <w:szCs w:val="20"/>
          <w:color w:val="auto"/>
        </w:rPr>
      </w:pPr>
      <w:r>
        <w:rPr>
          <w:rFonts w:ascii="Arial" w:cs="Arial" w:eastAsia="Arial" w:hAnsi="Arial"/>
          <w:sz w:val="16"/>
          <w:szCs w:val="16"/>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MG01CI would be interrupted, resulting in delays and additional costs.</w:t>
      </w:r>
    </w:p>
    <w:p>
      <w:pPr>
        <w:spacing w:after="0" w:line="162" w:lineRule="exact"/>
        <w:rPr>
          <w:sz w:val="20"/>
          <w:szCs w:val="20"/>
          <w:color w:val="auto"/>
        </w:rPr>
      </w:pPr>
    </w:p>
    <w:p>
      <w:pPr>
        <w:ind w:right="700" w:firstLine="370"/>
        <w:spacing w:after="0" w:line="351" w:lineRule="auto"/>
        <w:rPr>
          <w:sz w:val="20"/>
          <w:szCs w:val="20"/>
          <w:color w:val="auto"/>
        </w:rPr>
      </w:pPr>
      <w:r>
        <w:rPr>
          <w:rFonts w:ascii="Arial" w:cs="Arial" w:eastAsia="Arial" w:hAnsi="Arial"/>
          <w:sz w:val="14"/>
          <w:szCs w:val="14"/>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106" w:lineRule="exact"/>
        <w:rPr>
          <w:sz w:val="20"/>
          <w:szCs w:val="20"/>
          <w:color w:val="auto"/>
        </w:rPr>
      </w:pPr>
    </w:p>
    <w:p>
      <w:pPr>
        <w:ind w:right="520"/>
        <w:spacing w:after="0" w:line="277" w:lineRule="auto"/>
        <w:rPr>
          <w:sz w:val="20"/>
          <w:szCs w:val="20"/>
          <w:color w:val="auto"/>
        </w:rPr>
      </w:pPr>
      <w:r>
        <w:rPr>
          <w:rFonts w:ascii="Arial" w:cs="Arial" w:eastAsia="Arial" w:hAnsi="Arial"/>
          <w:sz w:val="16"/>
          <w:szCs w:val="16"/>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52" w:lineRule="exact"/>
        <w:rPr>
          <w:sz w:val="20"/>
          <w:szCs w:val="20"/>
          <w:color w:val="auto"/>
        </w:rPr>
      </w:pPr>
    </w:p>
    <w:p>
      <w:pPr>
        <w:ind w:right="300" w:firstLine="370"/>
        <w:spacing w:after="0" w:line="255"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169" w:lineRule="exact"/>
        <w:rPr>
          <w:sz w:val="20"/>
          <w:szCs w:val="20"/>
          <w:color w:val="auto"/>
        </w:rPr>
      </w:pPr>
    </w:p>
    <w:p>
      <w:pPr>
        <w:ind w:right="40" w:firstLine="370"/>
        <w:spacing w:after="0" w:line="308" w:lineRule="auto"/>
        <w:rPr>
          <w:sz w:val="20"/>
          <w:szCs w:val="20"/>
          <w:color w:val="auto"/>
        </w:rPr>
      </w:pPr>
      <w:r>
        <w:rPr>
          <w:rFonts w:ascii="Arial" w:cs="Arial" w:eastAsia="Arial" w:hAnsi="Arial"/>
          <w:sz w:val="14"/>
          <w:szCs w:val="14"/>
          <w:color w:val="auto"/>
        </w:rPr>
        <w:t>We previously had a collaboration with Teva Pharmaceuticals, Ltd., a large Israeli generic drug manufacturer. After our successful proof of concept trial in 2010, Teva made an equity investment in us, negotiated the right to acquire us should MG01CI reach market, and funded the next stage of clinical development of MG01CI. All of Teva’s rights with respect to the development of MG01CI and any outcomes thereof terminated when it failed to timely exercise an option to continue financing the development of MG01CI in November 2011. We do not have any continuing obligations to Teva other than that Teva continues to be a shareholder of the Company with related rights.</w:t>
      </w:r>
    </w:p>
    <w:p>
      <w:pPr>
        <w:spacing w:after="0" w:line="135" w:lineRule="exact"/>
        <w:rPr>
          <w:sz w:val="20"/>
          <w:szCs w:val="20"/>
          <w:color w:val="auto"/>
        </w:rPr>
      </w:pPr>
    </w:p>
    <w:p>
      <w:pPr>
        <w:ind w:right="260" w:firstLine="370"/>
        <w:spacing w:after="0" w:line="312" w:lineRule="auto"/>
        <w:rPr>
          <w:sz w:val="20"/>
          <w:szCs w:val="20"/>
          <w:color w:val="auto"/>
        </w:rPr>
      </w:pPr>
      <w:r>
        <w:rPr>
          <w:rFonts w:ascii="Arial" w:cs="Arial" w:eastAsia="Arial" w:hAnsi="Arial"/>
          <w:sz w:val="15"/>
          <w:szCs w:val="15"/>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28" w:lineRule="exact"/>
        <w:rPr>
          <w:sz w:val="20"/>
          <w:szCs w:val="20"/>
          <w:color w:val="auto"/>
        </w:rPr>
      </w:pPr>
    </w:p>
    <w:p>
      <w:pPr>
        <w:jc w:val="both"/>
        <w:ind w:firstLine="370"/>
        <w:spacing w:after="0" w:line="264" w:lineRule="auto"/>
        <w:rPr>
          <w:sz w:val="20"/>
          <w:szCs w:val="20"/>
          <w:color w:val="auto"/>
        </w:rPr>
      </w:pPr>
      <w:r>
        <w:rPr>
          <w:rFonts w:ascii="Arial" w:cs="Arial" w:eastAsia="Arial" w:hAnsi="Arial"/>
          <w:sz w:val="16"/>
          <w:szCs w:val="16"/>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2" w:lineRule="exact"/>
        <w:rPr>
          <w:sz w:val="20"/>
          <w:szCs w:val="20"/>
          <w:color w:val="auto"/>
        </w:rPr>
      </w:pPr>
    </w:p>
    <w:p>
      <w:pPr>
        <w:jc w:val="both"/>
        <w:ind w:right="20" w:firstLine="370"/>
        <w:spacing w:after="0" w:line="277" w:lineRule="auto"/>
        <w:rPr>
          <w:sz w:val="20"/>
          <w:szCs w:val="20"/>
          <w:color w:val="auto"/>
        </w:rPr>
      </w:pPr>
      <w:r>
        <w:rPr>
          <w:rFonts w:ascii="Arial" w:cs="Arial" w:eastAsia="Arial" w:hAnsi="Arial"/>
          <w:sz w:val="16"/>
          <w:szCs w:val="16"/>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depend on third parties to conduct our clinical trials.</w:t>
      </w:r>
    </w:p>
    <w:p>
      <w:pPr>
        <w:spacing w:after="0" w:line="200" w:lineRule="exact"/>
        <w:rPr>
          <w:sz w:val="20"/>
          <w:szCs w:val="20"/>
          <w:color w:val="auto"/>
        </w:rPr>
      </w:pPr>
    </w:p>
    <w:p>
      <w:pPr>
        <w:ind w:right="20" w:firstLine="370"/>
        <w:spacing w:after="0" w:line="256" w:lineRule="auto"/>
        <w:rPr>
          <w:sz w:val="20"/>
          <w:szCs w:val="20"/>
          <w:color w:val="auto"/>
        </w:rPr>
      </w:pPr>
      <w:r>
        <w:rPr>
          <w:rFonts w:ascii="Arial" w:cs="Arial" w:eastAsia="Arial" w:hAnsi="Arial"/>
          <w:sz w:val="16"/>
          <w:szCs w:val="16"/>
          <w:color w:val="auto"/>
        </w:rPr>
        <w:t>We rely on third parties, such as contract research organizations, medical institutions, clinical investigators and contract laboratories to oversee some of the operations of our clinical trials and to perform data collection and analysis. As a result,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MG01CI or any other potential product candidates could be harmed, our costs could increase and our ability to obtain regulatory approval and commence product sales could be delayed.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48" w:right="21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204" w:lineRule="exact"/>
        <w:rPr>
          <w:sz w:val="20"/>
          <w:szCs w:val="20"/>
          <w:color w:val="auto"/>
        </w:rPr>
      </w:pPr>
    </w:p>
    <w:p>
      <w:pPr>
        <w:ind w:right="120"/>
        <w:spacing w:after="0" w:line="351" w:lineRule="auto"/>
        <w:rPr>
          <w:sz w:val="20"/>
          <w:szCs w:val="20"/>
          <w:color w:val="auto"/>
        </w:rPr>
      </w:pPr>
      <w:r>
        <w:rPr>
          <w:rFonts w:ascii="Arial" w:cs="Arial" w:eastAsia="Arial" w:hAnsi="Arial"/>
          <w:sz w:val="14"/>
          <w:szCs w:val="14"/>
          <w:b w:val="1"/>
          <w:bCs w:val="1"/>
          <w:i w:val="1"/>
          <w:iCs w:val="1"/>
          <w:color w:val="auto"/>
        </w:rPr>
        <w:t>We have filed multiple patent applications but have no issued patents and only one of our patent applications has been allowed by the U.S. PTO. There can be no assurance that any of our patent applications will result in issued patents. As a result, we may not be able to protect our proprietary technology in the marketplace.</w:t>
      </w:r>
    </w:p>
    <w:p>
      <w:pPr>
        <w:spacing w:after="0" w:line="106" w:lineRule="exact"/>
        <w:rPr>
          <w:sz w:val="20"/>
          <w:szCs w:val="20"/>
          <w:color w:val="auto"/>
        </w:rPr>
      </w:pPr>
    </w:p>
    <w:p>
      <w:pPr>
        <w:ind w:right="380" w:firstLine="370"/>
        <w:spacing w:after="0" w:line="308" w:lineRule="auto"/>
        <w:rPr>
          <w:sz w:val="20"/>
          <w:szCs w:val="20"/>
          <w:color w:val="auto"/>
        </w:rPr>
      </w:pPr>
      <w:r>
        <w:rPr>
          <w:rFonts w:ascii="Arial" w:cs="Arial" w:eastAsia="Arial" w:hAnsi="Arial"/>
          <w:sz w:val="14"/>
          <w:szCs w:val="14"/>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Unless and until our pending applications issue, their protective scope is impossible to determine. It is impossible to predict whether or how many of these applications will result in issued patents. Even if pending applications issue, they may issue with claims significantly narrower than those we currently seek.</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i w:val="1"/>
          <w:iCs w:val="1"/>
          <w:color w:val="auto"/>
        </w:rPr>
        <w:t>Even if we are issued patents, because the patent positions of pharmaceutical products are complex and uncertain, we cannot predict the scope and extent of patent protection for MG01CI.</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Any patents that may issue to use will not ensure the protection of our intellectual property for a number of reasons, including without limitation the following:</w:t>
      </w:r>
    </w:p>
    <w:p>
      <w:pPr>
        <w:spacing w:after="0" w:line="200" w:lineRule="exact"/>
        <w:rPr>
          <w:sz w:val="20"/>
          <w:szCs w:val="20"/>
          <w:color w:val="auto"/>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any issued patents may not be broad or strong enough to prevent competition from other products including identical or similar products;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if we are not issued patents or if issued patents expire, there would be no protections against competitors making generic equivalents;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there may be prior art of which we are not aware that may affect the validity or enforceability of a patent claim;</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there may be other patents existing in the patent landscape for MG01CI that will affect our freedom to operate;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if our patents are challenged, a court could determine that they are not valid or enforceable;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a court could determine that a competitor’s technology or product does not infringe our patents;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our patents could irretrievably lapse due to failure to pay fees or otherwise comply with regulations, or could be subject to compulsory licensing;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4"/>
          <w:szCs w:val="14"/>
          <w:color w:val="A6A6A6"/>
        </w:rPr>
      </w:pPr>
      <w:r>
        <w:rPr>
          <w:rFonts w:ascii="Arial" w:cs="Arial" w:eastAsia="Arial" w:hAnsi="Arial"/>
          <w:sz w:val="14"/>
          <w:szCs w:val="14"/>
          <w:color w:val="auto"/>
        </w:rPr>
        <w:t>if we encounter delays in our development or clinical trials, the period of time during which we could market our products under patent protection would be reduced.</w:t>
      </w:r>
    </w:p>
    <w:p>
      <w:pPr>
        <w:spacing w:after="0" w:line="223" w:lineRule="exact"/>
        <w:rPr>
          <w:sz w:val="20"/>
          <w:szCs w:val="20"/>
          <w:color w:val="auto"/>
        </w:rPr>
      </w:pPr>
    </w:p>
    <w:p>
      <w:pPr>
        <w:ind w:right="440"/>
        <w:spacing w:after="0" w:line="277" w:lineRule="auto"/>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52" w:lineRule="exact"/>
        <w:rPr>
          <w:sz w:val="20"/>
          <w:szCs w:val="20"/>
          <w:color w:val="auto"/>
        </w:rPr>
      </w:pPr>
    </w:p>
    <w:p>
      <w:pPr>
        <w:ind w:right="180" w:firstLine="370"/>
        <w:spacing w:after="0" w:line="25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67" w:lineRule="exact"/>
        <w:rPr>
          <w:sz w:val="20"/>
          <w:szCs w:val="20"/>
          <w:color w:val="auto"/>
        </w:rPr>
      </w:pPr>
    </w:p>
    <w:p>
      <w:pPr>
        <w:ind w:right="40" w:firstLine="370"/>
        <w:spacing w:after="0" w:line="308" w:lineRule="auto"/>
        <w:rPr>
          <w:sz w:val="20"/>
          <w:szCs w:val="20"/>
          <w:color w:val="auto"/>
        </w:rPr>
      </w:pPr>
      <w:r>
        <w:rPr>
          <w:rFonts w:ascii="Arial" w:cs="Arial" w:eastAsia="Arial" w:hAnsi="Arial"/>
          <w:sz w:val="14"/>
          <w:szCs w:val="14"/>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35" w:lineRule="exact"/>
        <w:rPr>
          <w:sz w:val="20"/>
          <w:szCs w:val="20"/>
          <w:color w:val="auto"/>
        </w:rPr>
      </w:pPr>
    </w:p>
    <w:p>
      <w:pPr>
        <w:ind w:right="60" w:firstLine="370"/>
        <w:spacing w:after="0" w:line="289" w:lineRule="auto"/>
        <w:rPr>
          <w:sz w:val="20"/>
          <w:szCs w:val="20"/>
          <w:color w:val="auto"/>
        </w:rPr>
      </w:pPr>
      <w:r>
        <w:rPr>
          <w:rFonts w:ascii="Arial" w:cs="Arial" w:eastAsia="Arial" w:hAnsi="Arial"/>
          <w:sz w:val="15"/>
          <w:szCs w:val="15"/>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20" w:name="page21"/>
    <w:bookmarkEnd w:id="20"/>
    <w:p>
      <w:pPr>
        <w:ind w:right="320"/>
        <w:spacing w:after="0" w:line="277" w:lineRule="auto"/>
        <w:rPr>
          <w:sz w:val="20"/>
          <w:szCs w:val="20"/>
          <w:color w:val="auto"/>
        </w:rPr>
      </w:pPr>
      <w:r>
        <w:rPr>
          <w:rFonts w:ascii="Arial" w:cs="Arial" w:eastAsia="Arial" w:hAnsi="Arial"/>
          <w:sz w:val="16"/>
          <w:szCs w:val="16"/>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52" w:lineRule="exact"/>
        <w:rPr>
          <w:sz w:val="20"/>
          <w:szCs w:val="20"/>
          <w:color w:val="auto"/>
        </w:rPr>
      </w:pPr>
    </w:p>
    <w:p>
      <w:pPr>
        <w:ind w:right="140" w:firstLine="370"/>
        <w:spacing w:after="0" w:line="299" w:lineRule="auto"/>
        <w:rPr>
          <w:sz w:val="20"/>
          <w:szCs w:val="20"/>
          <w:color w:val="auto"/>
        </w:rPr>
      </w:pPr>
      <w:r>
        <w:rPr>
          <w:rFonts w:ascii="Arial" w:cs="Arial" w:eastAsia="Arial" w:hAnsi="Arial"/>
          <w:sz w:val="14"/>
          <w:szCs w:val="14"/>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42" w:lineRule="exact"/>
        <w:rPr>
          <w:sz w:val="20"/>
          <w:szCs w:val="20"/>
          <w:color w:val="auto"/>
        </w:rPr>
      </w:pPr>
    </w:p>
    <w:p>
      <w:pPr>
        <w:ind w:right="60" w:firstLine="370"/>
        <w:spacing w:after="0" w:line="257" w:lineRule="auto"/>
        <w:rPr>
          <w:sz w:val="20"/>
          <w:szCs w:val="20"/>
          <w:color w:val="auto"/>
        </w:rPr>
      </w:pPr>
      <w:r>
        <w:rPr>
          <w:rFonts w:ascii="Arial" w:cs="Arial" w:eastAsia="Arial" w:hAnsi="Arial"/>
          <w:sz w:val="16"/>
          <w:szCs w:val="16"/>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prevent disclosure of trade secrets and other proprietary information.</w:t>
      </w:r>
    </w:p>
    <w:p>
      <w:pPr>
        <w:spacing w:after="0" w:line="200" w:lineRule="exact"/>
        <w:rPr>
          <w:sz w:val="20"/>
          <w:szCs w:val="20"/>
          <w:color w:val="auto"/>
        </w:rPr>
      </w:pPr>
    </w:p>
    <w:p>
      <w:pPr>
        <w:ind w:right="20" w:firstLine="370"/>
        <w:spacing w:after="0" w:line="255" w:lineRule="auto"/>
        <w:rPr>
          <w:sz w:val="20"/>
          <w:szCs w:val="20"/>
          <w:color w:val="auto"/>
        </w:rPr>
      </w:pPr>
      <w:r>
        <w:rPr>
          <w:rFonts w:ascii="Arial" w:cs="Arial" w:eastAsia="Arial" w:hAnsi="Arial"/>
          <w:sz w:val="16"/>
          <w:szCs w:val="16"/>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69" w:lineRule="exact"/>
        <w:rPr>
          <w:sz w:val="20"/>
          <w:szCs w:val="20"/>
          <w:color w:val="auto"/>
        </w:rPr>
      </w:pPr>
    </w:p>
    <w:p>
      <w:pPr>
        <w:spacing w:after="0" w:line="351" w:lineRule="auto"/>
        <w:rPr>
          <w:sz w:val="20"/>
          <w:szCs w:val="20"/>
          <w:color w:val="auto"/>
        </w:rPr>
      </w:pPr>
      <w:r>
        <w:rPr>
          <w:rFonts w:ascii="Arial" w:cs="Arial" w:eastAsia="Arial" w:hAnsi="Arial"/>
          <w:sz w:val="14"/>
          <w:szCs w:val="14"/>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w:t>
      </w:r>
    </w:p>
    <w:p>
      <w:pPr>
        <w:spacing w:after="0" w:line="99" w:lineRule="exact"/>
        <w:rPr>
          <w:sz w:val="20"/>
          <w:szCs w:val="20"/>
          <w:color w:val="auto"/>
        </w:rPr>
      </w:pPr>
    </w:p>
    <w:p>
      <w:pPr>
        <w:ind w:right="40" w:firstLine="346"/>
        <w:spacing w:after="0" w:line="253" w:lineRule="auto"/>
        <w:rPr>
          <w:sz w:val="20"/>
          <w:szCs w:val="20"/>
          <w:color w:val="auto"/>
        </w:rPr>
      </w:pPr>
      <w:r>
        <w:rPr>
          <w:rFonts w:ascii="Arial" w:cs="Arial" w:eastAsia="Arial" w:hAnsi="Arial"/>
          <w:sz w:val="18"/>
          <w:szCs w:val="18"/>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the Israeli Supreme Court ruled in 2012 that an employee who receives a patent or contributes to an invention during his employment may be allowed to seek compensation for it from their employer, even if the employee’s contract of employment specifically states otherwise and the employee has transferred all intellectual property rights to the employer. The Supreme Court ruled that the fact that a contract revokes the employee’s right for royalties and compensation, does not rule out the right of the employee to claim their right for royalties. As a result, it is unclear if, and to what extent, our employees may be able to claim compensation with respect to our future revenue. As a result, we may receive less revenue from future products if such claims are successful which in turn could impact our future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12"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MG01CI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67" w:lineRule="exact"/>
        <w:rPr>
          <w:sz w:val="20"/>
          <w:szCs w:val="20"/>
          <w:color w:val="auto"/>
        </w:rPr>
      </w:pPr>
    </w:p>
    <w:p>
      <w:pPr>
        <w:ind w:right="200" w:firstLine="370"/>
        <w:spacing w:after="0" w:line="259" w:lineRule="auto"/>
        <w:rPr>
          <w:sz w:val="20"/>
          <w:szCs w:val="20"/>
          <w:color w:val="auto"/>
        </w:rPr>
      </w:pPr>
      <w:r>
        <w:rPr>
          <w:rFonts w:ascii="Arial" w:cs="Arial" w:eastAsia="Arial" w:hAnsi="Arial"/>
          <w:sz w:val="16"/>
          <w:szCs w:val="16"/>
          <w:color w:val="auto"/>
        </w:rPr>
        <w:t>In addition, our patents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patents and patent applications subject to challenge. Any of these challenges, regardless of their success, would likely be time consuming and expensive to defend and resolve and would divert our management’s time and attention.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products.</w:t>
      </w:r>
    </w:p>
    <w:p>
      <w:pPr>
        <w:spacing w:after="0" w:line="200" w:lineRule="exact"/>
        <w:rPr>
          <w:sz w:val="20"/>
          <w:szCs w:val="20"/>
          <w:color w:val="auto"/>
        </w:rPr>
      </w:pPr>
    </w:p>
    <w:p>
      <w:pPr>
        <w:ind w:firstLine="577"/>
        <w:spacing w:after="0" w:line="297" w:lineRule="auto"/>
        <w:rPr>
          <w:sz w:val="20"/>
          <w:szCs w:val="20"/>
          <w:color w:val="auto"/>
        </w:rPr>
      </w:pPr>
      <w:r>
        <w:rPr>
          <w:rFonts w:ascii="Arial" w:cs="Arial" w:eastAsia="Arial" w:hAnsi="Arial"/>
          <w:sz w:val="14"/>
          <w:szCs w:val="14"/>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1" w:name="page22"/>
    <w:bookmarkEnd w:id="21"/>
    <w:p>
      <w:pPr>
        <w:ind w:right="260"/>
        <w:spacing w:after="0" w:line="35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6"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5"/>
          <w:szCs w:val="15"/>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Business Operations and Industry</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12" w:lineRule="exact"/>
        <w:rPr>
          <w:sz w:val="20"/>
          <w:szCs w:val="20"/>
          <w:color w:val="auto"/>
        </w:rPr>
      </w:pPr>
    </w:p>
    <w:p>
      <w:pPr>
        <w:ind w:firstLine="370"/>
        <w:spacing w:after="0" w:line="276" w:lineRule="auto"/>
        <w:rPr>
          <w:sz w:val="20"/>
          <w:szCs w:val="20"/>
          <w:color w:val="auto"/>
        </w:rPr>
      </w:pPr>
      <w:r>
        <w:rPr>
          <w:rFonts w:ascii="Arial" w:cs="Arial" w:eastAsia="Arial" w:hAnsi="Arial"/>
          <w:sz w:val="15"/>
          <w:szCs w:val="15"/>
          <w:color w:val="auto"/>
        </w:rPr>
        <w:t>Our key employees include our Chief Executive Officer, Dr. Yaron Daniely, who has been with us since 2010. Key consultants include our Chief Financial Officer/Chief Accounting Officer, Udi Gilboa, who co-founded us in 2008 and has been with us since our founding; our Director of Non-Clinical Development, Hanna Ron, who has been with us since 2011; and our Clinical Advisory Board chairperson, Dr. Lenard A. Adler, who has been with us since 2011. Our future growth and success depend on our ability to recruit, retain, manage and motivate our employees and key consultants. The loss of the services of our chief executive officer or any of our key consultants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55" w:lineRule="exact"/>
        <w:rPr>
          <w:sz w:val="20"/>
          <w:szCs w:val="20"/>
          <w:color w:val="auto"/>
        </w:rPr>
      </w:pPr>
    </w:p>
    <w:p>
      <w:pPr>
        <w:ind w:right="80" w:firstLine="370"/>
        <w:spacing w:after="0" w:line="25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68"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52" w:lineRule="exact"/>
        <w:rPr>
          <w:sz w:val="20"/>
          <w:szCs w:val="20"/>
          <w:color w:val="auto"/>
        </w:rPr>
      </w:pPr>
    </w:p>
    <w:p>
      <w:pPr>
        <w:ind w:right="20" w:firstLine="369"/>
        <w:spacing w:after="0" w:line="288" w:lineRule="auto"/>
        <w:rPr>
          <w:sz w:val="20"/>
          <w:szCs w:val="20"/>
          <w:color w:val="auto"/>
        </w:rPr>
      </w:pPr>
      <w:r>
        <w:rPr>
          <w:rFonts w:ascii="Arial" w:cs="Arial" w:eastAsia="Arial" w:hAnsi="Arial"/>
          <w:sz w:val="14"/>
          <w:szCs w:val="14"/>
          <w:color w:val="auto"/>
        </w:rPr>
        <w:t>As a public company, we will operate in an increasingly challenging regulatory environment which requires us to comply with the Sarbanes-Oxley Act and the related rules and regulations of the Securities and Exchange Commission and securities exchanges, expanded disclosures,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will be required to disclose material changes made in our internal controls and procedures on a quarterly basis. However, our independent registered public accounting firm will not be required to attest to the effectiveness of our internal control over financial reporting pursuant to Section 404 of the Sarbanes-Oxley Act until the date we are no longer an “emerging growth company” as defined in the JOBS Act, because we are taking advantage of the exemptions contained in the JOBS Act. We will remain an emerging growth company until the earlier of (1) the last day of the fiscal year (a) following the fifth anniversary of the completion of this offering, (b) in which we have total annual gross revenue of at least</w:t>
      </w:r>
    </w:p>
    <w:p>
      <w:pPr>
        <w:spacing w:after="0" w:line="5"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$1.0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42" w:lineRule="exact"/>
        <w:rPr>
          <w:sz w:val="20"/>
          <w:szCs w:val="20"/>
          <w:color w:val="auto"/>
        </w:rPr>
      </w:pPr>
    </w:p>
    <w:p>
      <w:pPr>
        <w:jc w:val="both"/>
        <w:ind w:right="180" w:firstLine="577"/>
        <w:spacing w:after="0" w:line="278" w:lineRule="auto"/>
        <w:rPr>
          <w:sz w:val="20"/>
          <w:szCs w:val="20"/>
          <w:color w:val="auto"/>
        </w:rPr>
      </w:pPr>
      <w:r>
        <w:rPr>
          <w:rFonts w:ascii="Arial" w:cs="Arial" w:eastAsia="Arial" w:hAnsi="Arial"/>
          <w:sz w:val="15"/>
          <w:szCs w:val="15"/>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w:t>
      </w:r>
    </w:p>
    <w:p>
      <w:pPr>
        <w:spacing w:after="0" w:line="154" w:lineRule="exact"/>
        <w:rPr>
          <w:sz w:val="20"/>
          <w:szCs w:val="20"/>
          <w:color w:val="auto"/>
        </w:rPr>
      </w:pPr>
    </w:p>
    <w:p>
      <w:pPr>
        <w:ind w:right="500" w:firstLine="577"/>
        <w:spacing w:after="0" w:line="277" w:lineRule="auto"/>
        <w:rPr>
          <w:sz w:val="20"/>
          <w:szCs w:val="20"/>
          <w:color w:val="auto"/>
        </w:rPr>
      </w:pPr>
      <w:r>
        <w:rPr>
          <w:rFonts w:ascii="Arial" w:cs="Arial" w:eastAsia="Arial" w:hAnsi="Arial"/>
          <w:sz w:val="16"/>
          <w:szCs w:val="16"/>
          <w:color w:val="auto"/>
        </w:rPr>
        <w:t>To build our finance infrastructure, we will need to hire additional accounting personnel and improve our accounting systems, disclosure policies, procedures and controls. We are currently in the process of:</w:t>
      </w:r>
    </w:p>
    <w:p>
      <w:pPr>
        <w:spacing w:after="0" w:line="152" w:lineRule="exact"/>
        <w:rPr>
          <w:sz w:val="20"/>
          <w:szCs w:val="20"/>
          <w:color w:val="auto"/>
        </w:rPr>
      </w:pPr>
    </w:p>
    <w:p>
      <w:pPr>
        <w:ind w:left="580" w:hanging="296"/>
        <w:spacing w:after="0"/>
        <w:tabs>
          <w:tab w:leader="none" w:pos="58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initiating our plans to upgrade our computer systems, including hardware and software;</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establishing written policies and procedures;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enhancing internal controls and our financial statement review process.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2" w:name="page23"/>
    <w:bookmarkEnd w:id="22"/>
    <w:p>
      <w:pPr>
        <w:ind w:right="40" w:firstLine="577"/>
        <w:spacing w:after="0" w:line="308" w:lineRule="auto"/>
        <w:rPr>
          <w:sz w:val="20"/>
          <w:szCs w:val="20"/>
          <w:color w:val="auto"/>
        </w:rPr>
      </w:pPr>
      <w:r>
        <w:rPr>
          <w:rFonts w:ascii="Arial" w:cs="Arial" w:eastAsia="Arial" w:hAnsi="Arial"/>
          <w:sz w:val="14"/>
          <w:szCs w:val="14"/>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Capital Market or other adverse consequences that would materially harm to our business. If we cannot provide reliable financial reports or prevent fraud, our business and results of operations could be harmed and investors could lose confidence in our reported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significantly increase the size of our organization, and we may experience difficulties in managing growth.</w:t>
      </w:r>
    </w:p>
    <w:p>
      <w:pPr>
        <w:spacing w:after="0" w:line="200" w:lineRule="exact"/>
        <w:rPr>
          <w:sz w:val="20"/>
          <w:szCs w:val="20"/>
          <w:color w:val="auto"/>
        </w:rPr>
      </w:pPr>
    </w:p>
    <w:p>
      <w:pPr>
        <w:ind w:right="40" w:firstLine="370"/>
        <w:spacing w:after="0" w:line="264" w:lineRule="auto"/>
        <w:rPr>
          <w:sz w:val="20"/>
          <w:szCs w:val="20"/>
          <w:color w:val="auto"/>
        </w:rPr>
      </w:pPr>
      <w:r>
        <w:rPr>
          <w:rFonts w:ascii="Arial" w:cs="Arial" w:eastAsia="Arial" w:hAnsi="Arial"/>
          <w:sz w:val="16"/>
          <w:szCs w:val="16"/>
          <w:color w:val="auto"/>
        </w:rPr>
        <w:t>We currently have only one employee and in order to commercialize our products,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62" w:lineRule="exact"/>
        <w:rPr>
          <w:sz w:val="20"/>
          <w:szCs w:val="20"/>
          <w:color w:val="auto"/>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manage our clinical trials and the regulatory process effectively;</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develop our administrative, accounting and management information systems and controls;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hire and train additional qualified personnel;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integrate current and additional management, administrative, financial and sales and marketing personnel.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affected by macroeconomic conditions.</w:t>
      </w:r>
    </w:p>
    <w:p>
      <w:pPr>
        <w:spacing w:after="0" w:line="200" w:lineRule="exact"/>
        <w:rPr>
          <w:sz w:val="20"/>
          <w:szCs w:val="20"/>
          <w:color w:val="auto"/>
        </w:rPr>
      </w:pPr>
    </w:p>
    <w:p>
      <w:pPr>
        <w:ind w:right="140" w:firstLine="370"/>
        <w:spacing w:after="0" w:line="312" w:lineRule="auto"/>
        <w:rPr>
          <w:sz w:val="20"/>
          <w:szCs w:val="20"/>
          <w:color w:val="auto"/>
        </w:rPr>
      </w:pPr>
      <w:r>
        <w:rPr>
          <w:rFonts w:ascii="Arial" w:cs="Arial" w:eastAsia="Arial" w:hAnsi="Arial"/>
          <w:sz w:val="15"/>
          <w:szCs w:val="15"/>
          <w:color w:val="auto"/>
        </w:rPr>
        <w:t>A deterioration in global economic conditions and uncertainties may have an adverse effect on our business. For instance, interest rates, the liquidity of the credit markets and the volatility of the capital markets could also affect the value of our investments and our ability to liquidate our investments in order to fund our operations.</w:t>
      </w:r>
    </w:p>
    <w:p>
      <w:pPr>
        <w:spacing w:after="0" w:line="128" w:lineRule="exact"/>
        <w:rPr>
          <w:sz w:val="20"/>
          <w:szCs w:val="20"/>
          <w:color w:val="auto"/>
        </w:rPr>
      </w:pPr>
    </w:p>
    <w:p>
      <w:pPr>
        <w:ind w:right="80" w:firstLine="370"/>
        <w:spacing w:after="0" w:line="289" w:lineRule="auto"/>
        <w:rPr>
          <w:sz w:val="20"/>
          <w:szCs w:val="20"/>
          <w:color w:val="auto"/>
        </w:rPr>
      </w:pPr>
      <w:r>
        <w:rPr>
          <w:rFonts w:ascii="Arial" w:cs="Arial" w:eastAsia="Arial" w:hAnsi="Arial"/>
          <w:sz w:val="15"/>
          <w:szCs w:val="15"/>
          <w:color w:val="auto"/>
        </w:rPr>
        <w:t>Interest rates and the ability to access credit markets could also adversely affect the ability of patients and distributors to purchase, pay for and effectively distribute our products. Similarly, these macroeconomic factors could affect the ability of our contract manufacturers, sole-source or single-source suppliers to remain in business or otherwise manufacture or supply product. Failure by any of them to remain a going concern could affect our ability to manufacture products.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Risks Related to this Offering and Ownership of Our Ordinary Shares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ordinary shares may be highly volatile, and you may not be able to resell your shares at or above the initial public offering price.</w:t>
      </w:r>
    </w:p>
    <w:p>
      <w:pPr>
        <w:spacing w:after="0" w:line="212" w:lineRule="exact"/>
        <w:rPr>
          <w:sz w:val="20"/>
          <w:szCs w:val="20"/>
          <w:color w:val="auto"/>
        </w:rPr>
      </w:pPr>
    </w:p>
    <w:p>
      <w:pPr>
        <w:ind w:firstLine="369"/>
        <w:spacing w:after="0" w:line="264" w:lineRule="auto"/>
        <w:rPr>
          <w:sz w:val="20"/>
          <w:szCs w:val="20"/>
          <w:color w:val="auto"/>
        </w:rPr>
      </w:pPr>
      <w:r>
        <w:rPr>
          <w:rFonts w:ascii="Arial" w:cs="Arial" w:eastAsia="Arial" w:hAnsi="Arial"/>
          <w:sz w:val="16"/>
          <w:szCs w:val="16"/>
          <w:color w:val="auto"/>
        </w:rPr>
        <w:t>Prior to this offering, there has not been a public market for our ordinary shares. If an active trading market for our ordinary shares does not develop following this offering, you may not be able to sell your shares quickly or at the market price. The initial public offering price for the shares will be determined by negotiations between us and representatives of the underwriters and may not be indicative of prices that will prevail in the trading market.</w:t>
      </w:r>
    </w:p>
    <w:p>
      <w:pPr>
        <w:spacing w:after="0" w:line="162" w:lineRule="exact"/>
        <w:rPr>
          <w:sz w:val="20"/>
          <w:szCs w:val="20"/>
          <w:color w:val="auto"/>
        </w:rPr>
      </w:pPr>
    </w:p>
    <w:p>
      <w:pPr>
        <w:ind w:right="400" w:firstLine="369"/>
        <w:spacing w:after="0" w:line="277" w:lineRule="auto"/>
        <w:rPr>
          <w:sz w:val="20"/>
          <w:szCs w:val="20"/>
          <w:color w:val="auto"/>
        </w:rPr>
      </w:pPr>
      <w:r>
        <w:rPr>
          <w:rFonts w:ascii="Arial" w:cs="Arial" w:eastAsia="Arial" w:hAnsi="Arial"/>
          <w:sz w:val="16"/>
          <w:szCs w:val="16"/>
          <w:color w:val="auto"/>
        </w:rPr>
        <w:t>The trading price of our ordinary shares is likely to be volatile. The following factors, in addition to other risk factors described in this section, may have a significant impact on the market price of our ordinary shares:</w:t>
      </w:r>
    </w:p>
    <w:p>
      <w:pPr>
        <w:spacing w:after="0" w:line="152" w:lineRule="exact"/>
        <w:rPr>
          <w:sz w:val="20"/>
          <w:szCs w:val="20"/>
          <w:color w:val="auto"/>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inability to obtain the approvals necessary to commence further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unsatisfactory results of clinical trials;</w:t>
      </w:r>
    </w:p>
    <w:p>
      <w:pPr>
        <w:spacing w:after="0" w:line="200" w:lineRule="exact"/>
        <w:rPr>
          <w:rFonts w:ascii="Arial" w:cs="Arial" w:eastAsia="Arial" w:hAnsi="Arial"/>
          <w:sz w:val="16"/>
          <w:szCs w:val="16"/>
          <w:color w:val="A6A6A6"/>
        </w:rPr>
      </w:pPr>
    </w:p>
    <w:p>
      <w:pPr>
        <w:ind w:left="580" w:right="300" w:hanging="296"/>
        <w:spacing w:after="0" w:line="277" w:lineRule="auto"/>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announcements of regulatory approval or the failure to obtain it, or specific label indications or patient populations for its use, or changes or delays in the regulatory review process;</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announcements of therapeutic innovations or new products by us or our competitors;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adverse actions taken by regulatory agencies with respect to our clinical trials, manufacturing supply chain or sales and marketing activities;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changes or developments in laws or regulations applicable to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any adverse changes to our relationship with manufacturers or suppliers;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any intellectual property infringement actions in which we may become involved;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23" w:name="page24"/>
    <w:bookmarkEnd w:id="23"/>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announcements concerning our competitors or the pharmaceutical industry in general;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achievement of expected product sales and profitability or our failure to meet expectations;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our commencement of, or involvement in, litigation;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any major changes in our board of directors or management;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legislation in the United States relating to the sale or pricing of pharmaceuticals.</w:t>
      </w:r>
    </w:p>
    <w:p>
      <w:pPr>
        <w:spacing w:after="0" w:line="200" w:lineRule="exact"/>
        <w:rPr>
          <w:sz w:val="20"/>
          <w:szCs w:val="20"/>
          <w:color w:val="auto"/>
        </w:rPr>
      </w:pPr>
    </w:p>
    <w:p>
      <w:pPr>
        <w:ind w:right="120" w:firstLine="370"/>
        <w:spacing w:after="0" w:line="259" w:lineRule="auto"/>
        <w:rPr>
          <w:sz w:val="20"/>
          <w:szCs w:val="20"/>
          <w:color w:val="auto"/>
        </w:rPr>
      </w:pPr>
      <w:r>
        <w:rPr>
          <w:rFonts w:ascii="Arial" w:cs="Arial" w:eastAsia="Arial" w:hAnsi="Arial"/>
          <w:sz w:val="16"/>
          <w:szCs w:val="16"/>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200" w:lineRule="exact"/>
        <w:rPr>
          <w:sz w:val="20"/>
          <w:szCs w:val="20"/>
          <w:color w:val="auto"/>
        </w:rPr>
      </w:pPr>
    </w:p>
    <w:p>
      <w:pPr>
        <w:ind w:right="220" w:firstLine="370"/>
        <w:spacing w:after="0" w:line="264" w:lineRule="auto"/>
        <w:rPr>
          <w:sz w:val="20"/>
          <w:szCs w:val="20"/>
          <w:color w:val="auto"/>
        </w:rPr>
      </w:pPr>
      <w:r>
        <w:rPr>
          <w:rFonts w:ascii="Arial" w:cs="Arial" w:eastAsia="Arial" w:hAnsi="Arial"/>
          <w:sz w:val="16"/>
          <w:szCs w:val="16"/>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2" w:lineRule="exact"/>
        <w:rPr>
          <w:sz w:val="20"/>
          <w:szCs w:val="20"/>
          <w:color w:val="auto"/>
        </w:rPr>
      </w:pPr>
    </w:p>
    <w:p>
      <w:pPr>
        <w:ind w:right="580"/>
        <w:spacing w:after="0" w:line="397" w:lineRule="auto"/>
        <w:rPr>
          <w:sz w:val="20"/>
          <w:szCs w:val="20"/>
          <w:color w:val="auto"/>
        </w:rPr>
      </w:pPr>
      <w:r>
        <w:rPr>
          <w:rFonts w:ascii="Arial" w:cs="Arial" w:eastAsia="Arial" w:hAnsi="Arial"/>
          <w:sz w:val="13"/>
          <w:szCs w:val="13"/>
          <w:b w:val="1"/>
          <w:bCs w:val="1"/>
          <w:i w:val="1"/>
          <w:iCs w:val="1"/>
          <w:color w:val="auto"/>
        </w:rPr>
        <w:t>Our principal shareholders, chief executive officer and directors currently own approximately 80% of our outstanding ordinary shares and will own over 60% of our ordinary shares upon the closing of this offering. They will therefore be able to exert significant control over matters submitted to our shareholders for approval.</w:t>
      </w:r>
    </w:p>
    <w:p>
      <w:pPr>
        <w:spacing w:after="0" w:line="82"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After this offering, our chief executive officer and directors, and shareholders who own more than 5% of our outstanding ordinary shares before this offering will, in the aggregate, beneficially own approximately 63% of our ordinary shares (assuming no exercise of the underwriters’ over-allotment option and no exercise of outstanding options).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ordinary shares in this offering, you will incur immediate and substantial dilution in the book value of your shares.</w:t>
      </w:r>
    </w:p>
    <w:p>
      <w:pPr>
        <w:spacing w:after="0" w:line="200" w:lineRule="exact"/>
        <w:rPr>
          <w:sz w:val="20"/>
          <w:szCs w:val="20"/>
          <w:color w:val="auto"/>
        </w:rPr>
      </w:pPr>
    </w:p>
    <w:p>
      <w:pPr>
        <w:ind w:right="20" w:firstLine="370"/>
        <w:spacing w:after="0" w:line="299" w:lineRule="auto"/>
        <w:rPr>
          <w:sz w:val="20"/>
          <w:szCs w:val="20"/>
          <w:color w:val="auto"/>
        </w:rPr>
      </w:pPr>
      <w:r>
        <w:rPr>
          <w:rFonts w:ascii="Arial" w:cs="Arial" w:eastAsia="Arial" w:hAnsi="Arial"/>
          <w:sz w:val="14"/>
          <w:szCs w:val="14"/>
          <w:color w:val="auto"/>
        </w:rPr>
        <w:t>The initial public offering price is substantially higher than the net tangible book value per share of our ordinary shares. Investors purchasing ordinary shares in this offering will pay a price per share that substantially exceeds the net tangible book value of our ordinary shares. As a result, investors purchasing ordinary shares in this offering will incur immediate dilution of $8.82 per share, based on an assumed initial public offering price of $11.00 per share, and our pro forma net tangible book value as of December 31, 2012. In addition, as of that date, options and warrants to purchase 952,402 of our ordinary shares at a weighted average exercise price of $2.847 per share were outstanding. The exercise of these options and warrants would result in additional dilution. As a result of this dilution, investors purchasing shares in this offering may receive significantly less than the purchase price paid in this offering in the event of liquidation. For more information, please refer to the section of this prospectus entitled “Dilution.”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ordinary shares in the public market by our existing shareholders could cause our share price to fall.</w:t>
      </w:r>
    </w:p>
    <w:p>
      <w:pPr>
        <w:spacing w:after="0" w:line="200" w:lineRule="exact"/>
        <w:rPr>
          <w:sz w:val="20"/>
          <w:szCs w:val="20"/>
          <w:color w:val="auto"/>
        </w:rPr>
      </w:pPr>
    </w:p>
    <w:p>
      <w:pPr>
        <w:ind w:right="220" w:firstLine="370"/>
        <w:spacing w:after="0" w:line="274" w:lineRule="auto"/>
        <w:rPr>
          <w:sz w:val="20"/>
          <w:szCs w:val="20"/>
          <w:color w:val="auto"/>
        </w:rPr>
      </w:pPr>
      <w:r>
        <w:rPr>
          <w:rFonts w:ascii="Arial" w:cs="Arial" w:eastAsia="Arial" w:hAnsi="Arial"/>
          <w:sz w:val="15"/>
          <w:szCs w:val="15"/>
          <w:color w:val="auto"/>
        </w:rPr>
        <w:t>Sales of a substantial number of shares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Substantially all of the shares owned by our existing shareholders and option holders are subject to lock-up agreements with the underwriters of this offering that restrict the shareholders’ ability to transfer our ordinary shares for at least six months from the date of this prospectus. Substantially all of our outstanding shares will become eligible for unrestricted sale upon expiration of the lockup period, as described in the section of this prospectus entitled “Shares Eligible for Future Sale.”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4" w:name="page25"/>
    <w:bookmarkEnd w:id="24"/>
    <w:p>
      <w:pPr>
        <w:ind w:right="80"/>
        <w:spacing w:after="0" w:line="277"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52" w:lineRule="exact"/>
        <w:rPr>
          <w:sz w:val="20"/>
          <w:szCs w:val="20"/>
          <w:color w:val="auto"/>
        </w:rPr>
      </w:pPr>
    </w:p>
    <w:p>
      <w:pPr>
        <w:ind w:right="40" w:firstLine="370"/>
        <w:spacing w:after="0" w:line="257"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68"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our ordinary shares could have adverse U.S. income tax consequences.</w:t>
      </w:r>
    </w:p>
    <w:p>
      <w:pPr>
        <w:spacing w:after="0" w:line="152" w:lineRule="exact"/>
        <w:rPr>
          <w:sz w:val="20"/>
          <w:szCs w:val="20"/>
          <w:color w:val="auto"/>
        </w:rPr>
      </w:pPr>
    </w:p>
    <w:p>
      <w:pPr>
        <w:ind w:right="160" w:firstLine="370"/>
        <w:spacing w:after="0" w:line="259" w:lineRule="auto"/>
        <w:rPr>
          <w:sz w:val="20"/>
          <w:szCs w:val="20"/>
          <w:color w:val="auto"/>
        </w:rPr>
      </w:pPr>
      <w:r>
        <w:rPr>
          <w:rFonts w:ascii="Arial" w:cs="Arial" w:eastAsia="Arial" w:hAnsi="Arial"/>
          <w:sz w:val="16"/>
          <w:szCs w:val="16"/>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167" w:lineRule="exact"/>
        <w:rPr>
          <w:sz w:val="20"/>
          <w:szCs w:val="20"/>
          <w:color w:val="auto"/>
        </w:rPr>
      </w:pPr>
    </w:p>
    <w:p>
      <w:pPr>
        <w:ind w:right="1040"/>
        <w:spacing w:after="0" w:line="351" w:lineRule="auto"/>
        <w:rPr>
          <w:sz w:val="20"/>
          <w:szCs w:val="20"/>
          <w:color w:val="auto"/>
        </w:rPr>
      </w:pPr>
      <w:r>
        <w:rPr>
          <w:rFonts w:ascii="Arial" w:cs="Arial" w:eastAsia="Arial" w:hAnsi="Arial"/>
          <w:sz w:val="14"/>
          <w:szCs w:val="14"/>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06" w:lineRule="exact"/>
        <w:rPr>
          <w:sz w:val="20"/>
          <w:szCs w:val="20"/>
          <w:color w:val="auto"/>
        </w:rPr>
      </w:pPr>
    </w:p>
    <w:p>
      <w:pPr>
        <w:ind w:right="80" w:firstLine="370"/>
        <w:spacing w:after="0" w:line="257" w:lineRule="auto"/>
        <w:rPr>
          <w:sz w:val="20"/>
          <w:szCs w:val="20"/>
          <w:color w:val="auto"/>
        </w:rPr>
      </w:pPr>
      <w:r>
        <w:rPr>
          <w:rFonts w:ascii="Arial" w:cs="Arial" w:eastAsia="Arial" w:hAnsi="Arial"/>
          <w:sz w:val="16"/>
          <w:szCs w:val="16"/>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68"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52" w:lineRule="exact"/>
        <w:rPr>
          <w:sz w:val="20"/>
          <w:szCs w:val="20"/>
          <w:color w:val="auto"/>
        </w:rPr>
      </w:pPr>
    </w:p>
    <w:p>
      <w:pPr>
        <w:ind w:right="520" w:firstLine="370"/>
        <w:spacing w:after="0" w:line="319" w:lineRule="auto"/>
        <w:rPr>
          <w:sz w:val="20"/>
          <w:szCs w:val="20"/>
          <w:color w:val="auto"/>
        </w:rPr>
      </w:pPr>
      <w:r>
        <w:rPr>
          <w:rFonts w:ascii="Arial" w:cs="Arial" w:eastAsia="Arial" w:hAnsi="Arial"/>
          <w:sz w:val="14"/>
          <w:szCs w:val="14"/>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“Description of Share Capital—Dividend and Liquidation Rights”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associated with being a public company will require significant company resources and management attention.</w:t>
      </w:r>
    </w:p>
    <w:p>
      <w:pPr>
        <w:spacing w:after="0" w:line="200" w:lineRule="exact"/>
        <w:rPr>
          <w:sz w:val="20"/>
          <w:szCs w:val="20"/>
          <w:color w:val="auto"/>
        </w:rPr>
      </w:pPr>
    </w:p>
    <w:p>
      <w:pPr>
        <w:ind w:firstLine="370"/>
        <w:spacing w:after="0" w:line="294" w:lineRule="auto"/>
        <w:rPr>
          <w:sz w:val="20"/>
          <w:szCs w:val="20"/>
          <w:color w:val="auto"/>
        </w:rPr>
      </w:pPr>
      <w:r>
        <w:rPr>
          <w:rFonts w:ascii="Arial" w:cs="Arial" w:eastAsia="Arial" w:hAnsi="Arial"/>
          <w:sz w:val="14"/>
          <w:szCs w:val="14"/>
          <w:color w:val="auto"/>
        </w:rPr>
        <w:t>Following this offering, we will become subject to the reporting requirements of the Exchange Act, the Sarbanes-Oxley Act, the listing requirements of the securities exchange on which our ordinary shares is traded,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b w:val="1"/>
          <w:bCs w:val="1"/>
          <w:i w:val="1"/>
          <w:iCs w:val="1"/>
          <w:color w:val="auto"/>
        </w:rPr>
        <w:t>The recently enacted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62" w:lineRule="exact"/>
        <w:rPr>
          <w:sz w:val="20"/>
          <w:szCs w:val="20"/>
          <w:color w:val="auto"/>
        </w:rPr>
      </w:pPr>
    </w:p>
    <w:p>
      <w:pPr>
        <w:jc w:val="both"/>
        <w:ind w:right="20" w:firstLine="369"/>
        <w:spacing w:after="0" w:line="277" w:lineRule="auto"/>
        <w:rPr>
          <w:sz w:val="20"/>
          <w:szCs w:val="20"/>
          <w:color w:val="auto"/>
        </w:rPr>
      </w:pPr>
      <w:r>
        <w:rPr>
          <w:rFonts w:ascii="Arial" w:cs="Arial" w:eastAsia="Arial" w:hAnsi="Arial"/>
          <w:sz w:val="16"/>
          <w:szCs w:val="16"/>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52" w:lineRule="exact"/>
        <w:rPr>
          <w:sz w:val="20"/>
          <w:szCs w:val="20"/>
          <w:color w:val="auto"/>
        </w:rPr>
      </w:pPr>
    </w:p>
    <w:p>
      <w:pPr>
        <w:ind w:left="580" w:right="480" w:hanging="296"/>
        <w:spacing w:after="0" w:line="277" w:lineRule="auto"/>
        <w:tabs>
          <w:tab w:leader="none" w:pos="580" w:val="left"/>
        </w:tabs>
        <w:numPr>
          <w:ilvl w:val="0"/>
          <w:numId w:val="27"/>
        </w:numPr>
        <w:rPr>
          <w:rFonts w:ascii="Arial" w:cs="Arial" w:eastAsia="Arial" w:hAnsi="Arial"/>
          <w:sz w:val="16"/>
          <w:szCs w:val="16"/>
          <w:color w:val="A6A6A6"/>
        </w:rPr>
      </w:pPr>
      <w:r>
        <w:rPr>
          <w:rFonts w:ascii="Arial" w:cs="Arial" w:eastAsia="Arial" w:hAnsi="Arial"/>
          <w:sz w:val="16"/>
          <w:szCs w:val="16"/>
          <w:color w:val="auto"/>
        </w:rPr>
        <w:t>the provisions of the Sarbanes-Oxley Act requiring that our independent registered public accounting firm provide an attestation report on the effectiveness of our internal control over financial reporting;</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5" w:name="page26"/>
    <w:bookmarkEnd w:id="25"/>
    <w:p>
      <w:pPr>
        <w:ind w:left="584" w:hanging="296"/>
        <w:spacing w:after="0" w:line="319" w:lineRule="auto"/>
        <w:tabs>
          <w:tab w:leader="none" w:pos="584" w:val="left"/>
        </w:tabs>
        <w:numPr>
          <w:ilvl w:val="0"/>
          <w:numId w:val="28"/>
        </w:numPr>
        <w:rPr>
          <w:rFonts w:ascii="Arial" w:cs="Arial" w:eastAsia="Arial" w:hAnsi="Arial"/>
          <w:sz w:val="14"/>
          <w:szCs w:val="14"/>
          <w:color w:val="A6A6A6"/>
        </w:rPr>
      </w:pPr>
      <w:r>
        <w:rPr>
          <w:rFonts w:ascii="Arial" w:cs="Arial" w:eastAsia="Arial" w:hAnsi="Arial"/>
          <w:sz w:val="14"/>
          <w:szCs w:val="14"/>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126" w:lineRule="exact"/>
        <w:rPr>
          <w:rFonts w:ascii="Arial" w:cs="Arial" w:eastAsia="Arial" w:hAnsi="Arial"/>
          <w:sz w:val="14"/>
          <w:szCs w:val="14"/>
          <w:color w:val="A6A6A6"/>
        </w:rPr>
      </w:pPr>
    </w:p>
    <w:p>
      <w:pPr>
        <w:ind w:left="584" w:hanging="296"/>
        <w:spacing w:after="0"/>
        <w:tabs>
          <w:tab w:leader="none" w:pos="584" w:val="left"/>
        </w:tabs>
        <w:numPr>
          <w:ilvl w:val="0"/>
          <w:numId w:val="28"/>
        </w:numPr>
        <w:rPr>
          <w:rFonts w:ascii="Arial" w:cs="Arial" w:eastAsia="Arial" w:hAnsi="Arial"/>
          <w:sz w:val="14"/>
          <w:szCs w:val="14"/>
          <w:color w:val="A6A6A6"/>
        </w:rPr>
      </w:pPr>
      <w:r>
        <w:rPr>
          <w:rFonts w:ascii="Arial" w:cs="Arial" w:eastAsia="Arial" w:hAnsi="Arial"/>
          <w:sz w:val="14"/>
          <w:szCs w:val="14"/>
          <w:color w:val="auto"/>
        </w:rPr>
        <w:t>our ability not to comply with new accounting principles that do not apply to public companies until such accounting principles become applicable to private companies;</w:t>
      </w:r>
    </w:p>
    <w:p>
      <w:pPr>
        <w:spacing w:after="0" w:line="223" w:lineRule="exact"/>
        <w:rPr>
          <w:rFonts w:ascii="Arial" w:cs="Arial" w:eastAsia="Arial" w:hAnsi="Arial"/>
          <w:sz w:val="14"/>
          <w:szCs w:val="14"/>
          <w:color w:val="A6A6A6"/>
        </w:rPr>
      </w:pPr>
    </w:p>
    <w:p>
      <w:pPr>
        <w:ind w:left="584" w:hanging="296"/>
        <w:spacing w:after="0" w:line="277" w:lineRule="auto"/>
        <w:tabs>
          <w:tab w:leader="none" w:pos="584" w:val="left"/>
        </w:tabs>
        <w:numPr>
          <w:ilvl w:val="0"/>
          <w:numId w:val="28"/>
        </w:numPr>
        <w:rPr>
          <w:rFonts w:ascii="Arial" w:cs="Arial" w:eastAsia="Arial" w:hAnsi="Arial"/>
          <w:sz w:val="16"/>
          <w:szCs w:val="16"/>
          <w:color w:val="A6A6A6"/>
        </w:rPr>
      </w:pPr>
      <w:r>
        <w:rPr>
          <w:rFonts w:ascii="Arial" w:cs="Arial" w:eastAsia="Arial" w:hAnsi="Arial"/>
          <w:sz w:val="16"/>
          <w:szCs w:val="16"/>
          <w:color w:val="auto"/>
        </w:rPr>
        <w:t>any rules that may be adopted by the Public Company Accounting Oversight Board requiring mandatory audit firm rotation or a supplement to the auditor’s report on the financial statements; and</w:t>
      </w:r>
    </w:p>
    <w:p>
      <w:pPr>
        <w:spacing w:after="0" w:line="151" w:lineRule="exact"/>
        <w:rPr>
          <w:rFonts w:ascii="Arial" w:cs="Arial" w:eastAsia="Arial" w:hAnsi="Arial"/>
          <w:sz w:val="16"/>
          <w:szCs w:val="16"/>
          <w:color w:val="A6A6A6"/>
        </w:rPr>
      </w:pPr>
    </w:p>
    <w:p>
      <w:pPr>
        <w:ind w:left="584" w:hanging="296"/>
        <w:spacing w:after="0"/>
        <w:tabs>
          <w:tab w:leader="none" w:pos="584" w:val="left"/>
        </w:tabs>
        <w:numPr>
          <w:ilvl w:val="0"/>
          <w:numId w:val="28"/>
        </w:numPr>
        <w:rPr>
          <w:rFonts w:ascii="Arial" w:cs="Arial" w:eastAsia="Arial" w:hAnsi="Arial"/>
          <w:sz w:val="16"/>
          <w:szCs w:val="16"/>
          <w:color w:val="A6A6A6"/>
        </w:rPr>
      </w:pPr>
      <w:r>
        <w:rPr>
          <w:rFonts w:ascii="Arial" w:cs="Arial" w:eastAsia="Arial" w:hAnsi="Arial"/>
          <w:sz w:val="16"/>
          <w:szCs w:val="16"/>
          <w:color w:val="auto"/>
        </w:rPr>
        <w:t>our ability to furnish two rather than three years of income statements and statements of cash flows in various required filings.</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We intend to take advantage of these exemptions until we are no longer an “emerging growth company.” We will remain an emerging growth company until the earlier of</w:t>
      </w:r>
    </w:p>
    <w:p>
      <w:pPr>
        <w:spacing w:after="0" w:line="32" w:lineRule="exact"/>
        <w:rPr>
          <w:sz w:val="20"/>
          <w:szCs w:val="20"/>
          <w:color w:val="auto"/>
        </w:rPr>
      </w:pPr>
    </w:p>
    <w:p>
      <w:pPr>
        <w:ind w:left="224" w:hanging="224"/>
        <w:spacing w:after="0"/>
        <w:tabs>
          <w:tab w:leader="none" w:pos="224"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last day of the fiscal year (a) following the fifth anniversary of the completion of this offering, (b) in which we have total annual gross revenue of at least $1.0 billion, or</w:t>
      </w:r>
    </w:p>
    <w:p>
      <w:pPr>
        <w:spacing w:after="0" w:line="19" w:lineRule="exact"/>
        <w:rPr>
          <w:rFonts w:ascii="Arial" w:cs="Arial" w:eastAsia="Arial" w:hAnsi="Arial"/>
          <w:sz w:val="15"/>
          <w:szCs w:val="15"/>
          <w:color w:val="auto"/>
        </w:rPr>
      </w:pPr>
    </w:p>
    <w:p>
      <w:pPr>
        <w:ind w:left="4" w:right="160"/>
        <w:spacing w:after="0" w:line="278" w:lineRule="auto"/>
        <w:rPr>
          <w:rFonts w:ascii="Arial" w:cs="Arial" w:eastAsia="Arial" w:hAnsi="Arial"/>
          <w:sz w:val="15"/>
          <w:szCs w:val="15"/>
          <w:color w:val="auto"/>
        </w:rPr>
      </w:pPr>
      <w:r>
        <w:rPr>
          <w:rFonts w:ascii="Arial" w:cs="Arial" w:eastAsia="Arial" w:hAnsi="Arial"/>
          <w:sz w:val="16"/>
          <w:szCs w:val="16"/>
          <w:color w:val="auto"/>
        </w:rPr>
        <w:t>(c) in which we are deemed to be a large accelerated filer, which means the market value of our common stock that is held by non-affiliates exceeds $700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 (2) the date on which we have issued more than $1.0 billion in non-convertible debt during the prior three-year period.</w:t>
      </w:r>
    </w:p>
    <w:p>
      <w:pPr>
        <w:spacing w:after="0" w:line="41" w:lineRule="exact"/>
        <w:rPr>
          <w:sz w:val="20"/>
          <w:szCs w:val="20"/>
          <w:color w:val="auto"/>
        </w:rPr>
      </w:pPr>
    </w:p>
    <w:p>
      <w:pPr>
        <w:ind w:left="4" w:right="40" w:firstLine="288"/>
        <w:spacing w:after="0" w:line="277"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52" w:lineRule="exact"/>
        <w:rPr>
          <w:sz w:val="20"/>
          <w:szCs w:val="20"/>
          <w:color w:val="auto"/>
        </w:rPr>
      </w:pPr>
    </w:p>
    <w:p>
      <w:pPr>
        <w:ind w:left="4" w:right="780"/>
        <w:spacing w:after="0" w:line="277" w:lineRule="auto"/>
        <w:rPr>
          <w:sz w:val="20"/>
          <w:szCs w:val="20"/>
          <w:color w:val="auto"/>
        </w:rPr>
      </w:pPr>
      <w:r>
        <w:rPr>
          <w:rFonts w:ascii="Arial" w:cs="Arial" w:eastAsia="Arial" w:hAnsi="Arial"/>
          <w:sz w:val="16"/>
          <w:szCs w:val="16"/>
          <w:b w:val="1"/>
          <w:bCs w:val="1"/>
          <w:i w:val="1"/>
          <w:iCs w:val="1"/>
          <w:color w:val="auto"/>
        </w:rPr>
        <w:t>Our election to use the extended transition period for complying with new or revised accounting standards under the recently enacted JOBS Act could undermine investor confidence in our company and adversely affect the market price of our ordinary shares.</w:t>
      </w:r>
    </w:p>
    <w:p>
      <w:pPr>
        <w:spacing w:after="0" w:line="152" w:lineRule="exact"/>
        <w:rPr>
          <w:sz w:val="20"/>
          <w:szCs w:val="20"/>
          <w:color w:val="auto"/>
        </w:rPr>
      </w:pPr>
    </w:p>
    <w:p>
      <w:pPr>
        <w:ind w:left="4" w:right="20" w:firstLine="288"/>
        <w:spacing w:after="0" w:line="259" w:lineRule="auto"/>
        <w:rPr>
          <w:sz w:val="20"/>
          <w:szCs w:val="20"/>
          <w:color w:val="auto"/>
        </w:rPr>
      </w:pPr>
      <w:r>
        <w:rPr>
          <w:rFonts w:ascii="Arial" w:cs="Arial" w:eastAsia="Arial" w:hAnsi="Arial"/>
          <w:sz w:val="16"/>
          <w:szCs w:val="16"/>
          <w:color w:val="auto"/>
        </w:rPr>
        <w:t>Our election to use the extended transition period for complying with new or revised accounting standards means that we may delay the adoption of new or revised accounting standards that have different effective dates for public and private companies until those standards apply to private companies. This election could undermine investor confidence in our company and adversely affect the market price of our ordinary shares in part because our financial statements may not be comparable to companies that comply with public company effective dates.</w:t>
      </w:r>
    </w:p>
    <w:p>
      <w:pPr>
        <w:spacing w:after="0" w:line="167" w:lineRule="exact"/>
        <w:rPr>
          <w:sz w:val="20"/>
          <w:szCs w:val="20"/>
          <w:color w:val="auto"/>
        </w:rPr>
      </w:pPr>
    </w:p>
    <w:p>
      <w:pPr>
        <w:ind w:left="4" w:right="140"/>
        <w:spacing w:after="0" w:line="312"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8" w:lineRule="exact"/>
        <w:rPr>
          <w:sz w:val="20"/>
          <w:szCs w:val="20"/>
          <w:color w:val="auto"/>
        </w:rPr>
      </w:pPr>
    </w:p>
    <w:p>
      <w:pPr>
        <w:ind w:left="4" w:right="120" w:firstLine="346"/>
        <w:spacing w:after="0" w:line="254" w:lineRule="auto"/>
        <w:rPr>
          <w:sz w:val="20"/>
          <w:szCs w:val="20"/>
          <w:color w:val="auto"/>
        </w:rPr>
      </w:pPr>
      <w:r>
        <w:rPr>
          <w:rFonts w:ascii="Arial" w:cs="Arial" w:eastAsia="Arial" w:hAnsi="Arial"/>
          <w:sz w:val="16"/>
          <w:szCs w:val="16"/>
          <w:color w:val="auto"/>
        </w:rPr>
        <w:t>As a foreign private issuer, we will be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72" w:lineRule="exact"/>
        <w:rPr>
          <w:sz w:val="20"/>
          <w:szCs w:val="20"/>
          <w:color w:val="auto"/>
        </w:rPr>
      </w:pPr>
    </w:p>
    <w:p>
      <w:pPr>
        <w:ind w:left="4" w:right="120" w:firstLine="346"/>
        <w:spacing w:after="0" w:line="257" w:lineRule="auto"/>
        <w:rPr>
          <w:sz w:val="20"/>
          <w:szCs w:val="20"/>
          <w:color w:val="auto"/>
        </w:rPr>
      </w:pPr>
      <w:r>
        <w:rPr>
          <w:rFonts w:ascii="Arial" w:cs="Arial" w:eastAsia="Arial" w:hAnsi="Arial"/>
          <w:sz w:val="16"/>
          <w:szCs w:val="16"/>
          <w:color w:val="auto"/>
        </w:rPr>
        <w:t>In addition, as a foreign private issuer,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Risks Related to Israeli Law and Our Operations in Israel</w:t>
      </w:r>
    </w:p>
    <w:p>
      <w:pPr>
        <w:spacing w:after="0" w:line="204" w:lineRule="exact"/>
        <w:rPr>
          <w:sz w:val="20"/>
          <w:szCs w:val="20"/>
          <w:color w:val="auto"/>
        </w:rPr>
      </w:pPr>
    </w:p>
    <w:p>
      <w:pPr>
        <w:ind w:left="4" w:right="60"/>
        <w:spacing w:after="0" w:line="277" w:lineRule="auto"/>
        <w:rPr>
          <w:sz w:val="20"/>
          <w:szCs w:val="20"/>
          <w:color w:val="auto"/>
        </w:rPr>
      </w:pPr>
      <w:r>
        <w:rPr>
          <w:rFonts w:ascii="Arial" w:cs="Arial" w:eastAsia="Arial" w:hAnsi="Arial"/>
          <w:sz w:val="16"/>
          <w:szCs w:val="16"/>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52" w:lineRule="exact"/>
        <w:rPr>
          <w:sz w:val="20"/>
          <w:szCs w:val="20"/>
          <w:color w:val="auto"/>
        </w:rPr>
      </w:pPr>
    </w:p>
    <w:p>
      <w:pPr>
        <w:ind w:left="4" w:firstLine="360"/>
        <w:spacing w:after="0" w:line="271" w:lineRule="auto"/>
        <w:rPr>
          <w:sz w:val="20"/>
          <w:szCs w:val="20"/>
          <w:color w:val="auto"/>
        </w:rPr>
      </w:pPr>
      <w:r>
        <w:rPr>
          <w:rFonts w:ascii="Arial" w:cs="Arial" w:eastAsia="Arial" w:hAnsi="Arial"/>
          <w:sz w:val="15"/>
          <w:szCs w:val="15"/>
          <w:color w:val="auto"/>
        </w:rPr>
        <w:t>Our executive offices are located in Tel-Aviv,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64" w:lineRule="exact"/>
        <w:rPr>
          <w:sz w:val="20"/>
          <w:szCs w:val="20"/>
          <w:color w:val="auto"/>
        </w:rPr>
      </w:pPr>
    </w:p>
    <w:p>
      <w:pPr>
        <w:ind w:left="4" w:right="100" w:firstLine="360"/>
        <w:spacing w:after="0" w:line="257" w:lineRule="auto"/>
        <w:rPr>
          <w:sz w:val="20"/>
          <w:szCs w:val="20"/>
          <w:color w:val="auto"/>
        </w:rPr>
      </w:pPr>
      <w:r>
        <w:rPr>
          <w:rFonts w:ascii="Arial" w:cs="Arial" w:eastAsia="Arial" w:hAnsi="Arial"/>
          <w:sz w:val="16"/>
          <w:szCs w:val="16"/>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168" w:lineRule="exact"/>
        <w:rPr>
          <w:sz w:val="20"/>
          <w:szCs w:val="20"/>
          <w:color w:val="auto"/>
        </w:rPr>
      </w:pPr>
    </w:p>
    <w:p>
      <w:pPr>
        <w:ind w:left="4" w:right="60" w:firstLine="360"/>
        <w:spacing w:after="0" w:line="351" w:lineRule="auto"/>
        <w:rPr>
          <w:sz w:val="20"/>
          <w:szCs w:val="20"/>
          <w:color w:val="auto"/>
        </w:rPr>
      </w:pPr>
      <w:r>
        <w:rPr>
          <w:rFonts w:ascii="Arial" w:cs="Arial" w:eastAsia="Arial" w:hAnsi="Arial"/>
          <w:sz w:val="14"/>
          <w:szCs w:val="14"/>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w:t>
      </w:r>
    </w:p>
    <w:p>
      <w:pPr>
        <w:spacing w:after="0" w:line="2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Our operations may be disrupted as a result of the obligation of management or key personnel or consultants to perform military service.</w:t>
      </w:r>
    </w:p>
    <w:p>
      <w:pPr>
        <w:spacing w:after="0" w:line="200" w:lineRule="exact"/>
        <w:rPr>
          <w:sz w:val="20"/>
          <w:szCs w:val="20"/>
          <w:color w:val="auto"/>
        </w:rPr>
      </w:pPr>
    </w:p>
    <w:p>
      <w:pPr>
        <w:ind w:right="100" w:firstLine="360"/>
        <w:spacing w:after="0" w:line="256" w:lineRule="auto"/>
        <w:rPr>
          <w:sz w:val="20"/>
          <w:szCs w:val="20"/>
          <w:color w:val="auto"/>
        </w:rPr>
      </w:pPr>
      <w:r>
        <w:rPr>
          <w:rFonts w:ascii="Arial" w:cs="Arial" w:eastAsia="Arial" w:hAnsi="Arial"/>
          <w:sz w:val="16"/>
          <w:szCs w:val="16"/>
          <w:color w:val="auto"/>
        </w:rPr>
        <w:t>Our male employees and consultants in Israel, including members of our senior management, may be obligated to perform one month, and in some cases longer periods, of annual military reserve duty until they reach the age of 45 (or older, for citizens who hold certain positions in the Israeli armed forces reserves). In this connection, we note that our chief executive officer, Yaron Daniely, is 37 years old. In the event of a military conflict, he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fluctuations between the U.S. dollar and the New Israeli Shekel currencies may negatively affect our earnings.</w:t>
      </w:r>
    </w:p>
    <w:p>
      <w:pPr>
        <w:spacing w:after="0" w:line="200" w:lineRule="exact"/>
        <w:rPr>
          <w:sz w:val="20"/>
          <w:szCs w:val="20"/>
          <w:color w:val="auto"/>
        </w:rPr>
      </w:pPr>
    </w:p>
    <w:p>
      <w:pPr>
        <w:ind w:right="40" w:firstLine="360"/>
        <w:spacing w:after="0" w:line="257" w:lineRule="auto"/>
        <w:rPr>
          <w:sz w:val="20"/>
          <w:szCs w:val="20"/>
          <w:color w:val="auto"/>
        </w:rPr>
      </w:pPr>
      <w:r>
        <w:rPr>
          <w:rFonts w:ascii="Arial" w:cs="Arial" w:eastAsia="Arial" w:hAnsi="Arial"/>
          <w:sz w:val="16"/>
          <w:szCs w:val="16"/>
          <w:color w:val="auto"/>
        </w:rPr>
        <w:t>We incur expenses both in U.S. dollars and New Israeli Shekels, or NIS. Our functional currency is the U.S. dollar. As a result, we are exposed to the risks that the NIS may appreciate relative to the U.S. dollar, or, if the NIS instead devalues relative to the U.S. dollar, that the inflation rate in Israel may exceed such rate of devaluation of the NIS, or that the timing of such devaluation may lag behind inflation in Israel. In any such event, the U.S. dollar cost of our operations in Israel would increase and our U.S. dollar-denominated results of operations would be adversely affected. The exchange rate as of April 30, 2013 was $1.00 = NIS 3.587. We cannot predict any future trends in the rate of inflation in Israel or the rate of devaluation (if any) of the NIS against the U.S. dollar.</w:t>
      </w:r>
    </w:p>
    <w:p>
      <w:pPr>
        <w:spacing w:after="0" w:line="16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62" w:lineRule="exact"/>
        <w:rPr>
          <w:sz w:val="20"/>
          <w:szCs w:val="20"/>
          <w:color w:val="auto"/>
        </w:rPr>
      </w:pPr>
    </w:p>
    <w:p>
      <w:pPr>
        <w:ind w:right="60" w:firstLine="360"/>
        <w:spacing w:after="0" w:line="270" w:lineRule="auto"/>
        <w:rPr>
          <w:sz w:val="20"/>
          <w:szCs w:val="20"/>
          <w:color w:val="auto"/>
        </w:rPr>
      </w:pPr>
      <w:r>
        <w:rPr>
          <w:rFonts w:ascii="Arial" w:cs="Arial" w:eastAsia="Arial" w:hAnsi="Arial"/>
          <w:sz w:val="15"/>
          <w:szCs w:val="15"/>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MG01CI, according to the OCS approval, the company is required to pay royalties from any income generated in connection with delayed release Metadoxine tablets up to the total amount of grants received, linked to the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may under certain circumstances be considered a transfer of know-how and therefore requires approval as aforementioned.</w:t>
      </w:r>
    </w:p>
    <w:p>
      <w:pPr>
        <w:spacing w:after="0" w:line="166" w:lineRule="exact"/>
        <w:rPr>
          <w:sz w:val="20"/>
          <w:szCs w:val="20"/>
          <w:color w:val="auto"/>
        </w:rPr>
      </w:pPr>
    </w:p>
    <w:p>
      <w:pPr>
        <w:ind w:right="20" w:firstLine="360"/>
        <w:spacing w:after="0" w:line="276" w:lineRule="auto"/>
        <w:rPr>
          <w:sz w:val="20"/>
          <w:szCs w:val="20"/>
          <w:color w:val="auto"/>
        </w:rPr>
      </w:pPr>
      <w:r>
        <w:rPr>
          <w:rFonts w:ascii="Arial" w:cs="Arial" w:eastAsia="Arial" w:hAnsi="Arial"/>
          <w:sz w:val="15"/>
          <w:szCs w:val="15"/>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55" w:lineRule="exact"/>
        <w:rPr>
          <w:sz w:val="20"/>
          <w:szCs w:val="20"/>
          <w:color w:val="auto"/>
        </w:rPr>
      </w:pPr>
    </w:p>
    <w:p>
      <w:pPr>
        <w:ind w:right="80" w:firstLine="360"/>
        <w:spacing w:after="0" w:line="308" w:lineRule="auto"/>
        <w:rPr>
          <w:sz w:val="20"/>
          <w:szCs w:val="20"/>
          <w:color w:val="auto"/>
        </w:rPr>
      </w:pPr>
      <w:r>
        <w:rPr>
          <w:rFonts w:ascii="Arial" w:cs="Arial" w:eastAsia="Arial" w:hAnsi="Arial"/>
          <w:sz w:val="14"/>
          <w:szCs w:val="14"/>
          <w:color w:val="auto"/>
        </w:rPr>
        <w:t>Our obligations and limitations pursuant to the Research Law are not limited in time and may not be terminated by us at will. As of the date of this prospectus, we have not been required to pay any royalties with respect to the OCS grants. As of the date of this prospectus,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 Patheon Inc., located in Cincinnati, Ohio.</w:t>
      </w:r>
    </w:p>
    <w:p>
      <w:pPr>
        <w:spacing w:after="0" w:line="135" w:lineRule="exact"/>
        <w:rPr>
          <w:sz w:val="20"/>
          <w:szCs w:val="20"/>
          <w:color w:val="auto"/>
        </w:rPr>
      </w:pPr>
    </w:p>
    <w:p>
      <w:pPr>
        <w:ind w:right="360"/>
        <w:spacing w:after="0" w:line="312"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28" w:lineRule="exact"/>
        <w:rPr>
          <w:sz w:val="20"/>
          <w:szCs w:val="20"/>
          <w:color w:val="auto"/>
        </w:rPr>
      </w:pPr>
    </w:p>
    <w:p>
      <w:pPr>
        <w:ind w:firstLine="360"/>
        <w:spacing w:after="0" w:line="294" w:lineRule="auto"/>
        <w:rPr>
          <w:sz w:val="20"/>
          <w:szCs w:val="20"/>
          <w:color w:val="auto"/>
        </w:rPr>
      </w:pPr>
      <w:r>
        <w:rPr>
          <w:rFonts w:ascii="Arial" w:cs="Arial" w:eastAsia="Arial" w:hAnsi="Arial"/>
          <w:sz w:val="14"/>
          <w:szCs w:val="14"/>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7" w:name="page28"/>
    <w:bookmarkEnd w:id="27"/>
    <w:p>
      <w:pPr>
        <w:ind w:right="60" w:firstLine="360"/>
        <w:spacing w:after="0" w:line="277"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52" w:lineRule="exact"/>
        <w:rPr>
          <w:sz w:val="20"/>
          <w:szCs w:val="20"/>
          <w:color w:val="auto"/>
        </w:rPr>
      </w:pPr>
    </w:p>
    <w:p>
      <w:pPr>
        <w:ind w:firstLine="360"/>
        <w:spacing w:after="0" w:line="312" w:lineRule="auto"/>
        <w:rPr>
          <w:sz w:val="20"/>
          <w:szCs w:val="20"/>
          <w:color w:val="auto"/>
        </w:rPr>
      </w:pPr>
      <w:r>
        <w:rPr>
          <w:rFonts w:ascii="Arial" w:cs="Arial" w:eastAsia="Arial" w:hAnsi="Arial"/>
          <w:sz w:val="15"/>
          <w:szCs w:val="15"/>
          <w:color w:val="auto"/>
        </w:rPr>
        <w:t>Our amended and restated articles of association that will be in effect immediately prior to the consummation of this offering will also contain provisions that could delay or prevent changes in control or changes in our management without the consent of our board of directors. These provisions will include the following:</w:t>
      </w:r>
    </w:p>
    <w:p>
      <w:pPr>
        <w:spacing w:after="0" w:line="128" w:lineRule="exact"/>
        <w:rPr>
          <w:sz w:val="20"/>
          <w:szCs w:val="20"/>
          <w:color w:val="auto"/>
        </w:rPr>
      </w:pPr>
    </w:p>
    <w:p>
      <w:pPr>
        <w:ind w:left="1140" w:hanging="279"/>
        <w:spacing w:after="0"/>
        <w:tabs>
          <w:tab w:leader="none" w:pos="1140" w:val="left"/>
        </w:tabs>
        <w:numPr>
          <w:ilvl w:val="0"/>
          <w:numId w:val="30"/>
        </w:numPr>
        <w:rPr>
          <w:rFonts w:ascii="Arial" w:cs="Arial" w:eastAsia="Arial" w:hAnsi="Arial"/>
          <w:sz w:val="16"/>
          <w:szCs w:val="16"/>
          <w:color w:val="A6A6A6"/>
        </w:rPr>
      </w:pPr>
      <w:r>
        <w:rPr>
          <w:rFonts w:ascii="Arial" w:cs="Arial" w:eastAsia="Arial" w:hAnsi="Arial"/>
          <w:sz w:val="16"/>
          <w:szCs w:val="16"/>
          <w:color w:val="auto"/>
        </w:rPr>
        <w:t>no cumulative voting in the election of directors, which limits the ability of minority stockholders to elect director candidates; and</w:t>
      </w:r>
    </w:p>
    <w:p>
      <w:pPr>
        <w:spacing w:after="0" w:line="200" w:lineRule="exact"/>
        <w:rPr>
          <w:rFonts w:ascii="Arial" w:cs="Arial" w:eastAsia="Arial" w:hAnsi="Arial"/>
          <w:sz w:val="16"/>
          <w:szCs w:val="16"/>
          <w:color w:val="A6A6A6"/>
        </w:rPr>
      </w:pPr>
    </w:p>
    <w:p>
      <w:pPr>
        <w:ind w:left="1140" w:right="260" w:hanging="279"/>
        <w:spacing w:after="0" w:line="277" w:lineRule="auto"/>
        <w:tabs>
          <w:tab w:leader="none" w:pos="1140" w:val="left"/>
        </w:tabs>
        <w:numPr>
          <w:ilvl w:val="0"/>
          <w:numId w:val="30"/>
        </w:numPr>
        <w:rPr>
          <w:rFonts w:ascii="Arial" w:cs="Arial" w:eastAsia="Arial" w:hAnsi="Arial"/>
          <w:sz w:val="16"/>
          <w:szCs w:val="16"/>
          <w:color w:val="A6A6A6"/>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2"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b w:val="1"/>
          <w:bCs w:val="1"/>
          <w:i w:val="1"/>
          <w:iCs w:val="1"/>
          <w:color w:val="auto"/>
        </w:rPr>
        <w:t>It may be difficult to enforce a judgment of a United States court against us and our officers and directors and the Israeli experts named in this prospectus in Israel or the United States, to assert United States securities laws claims in Israel or to serve process on our officers and directors and these experts.</w:t>
      </w:r>
    </w:p>
    <w:p>
      <w:pPr>
        <w:spacing w:after="0" w:line="128" w:lineRule="exact"/>
        <w:rPr>
          <w:sz w:val="20"/>
          <w:szCs w:val="20"/>
          <w:color w:val="auto"/>
        </w:rPr>
      </w:pPr>
    </w:p>
    <w:p>
      <w:pPr>
        <w:ind w:firstLine="360"/>
        <w:spacing w:after="0" w:line="271" w:lineRule="auto"/>
        <w:rPr>
          <w:sz w:val="20"/>
          <w:szCs w:val="20"/>
          <w:color w:val="auto"/>
        </w:rPr>
      </w:pPr>
      <w:r>
        <w:rPr>
          <w:rFonts w:ascii="Arial" w:cs="Arial" w:eastAsia="Arial" w:hAnsi="Arial"/>
          <w:sz w:val="15"/>
          <w:szCs w:val="15"/>
          <w:color w:val="auto"/>
        </w:rPr>
        <w:t>We were incorporated in Israel. Substantially all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 See "Enforceability of Civil Liabilities" for additional information on your ability to enforce a civil claim against us and our executive officers or directors named in this prospectus.</w:t>
      </w:r>
    </w:p>
    <w:p>
      <w:pPr>
        <w:spacing w:after="0" w:line="164"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b w:val="1"/>
          <w:bCs w:val="1"/>
          <w:i w:val="1"/>
          <w:iCs w:val="1"/>
          <w:color w:val="auto"/>
        </w:rPr>
        <w:t>Your liabilities and responsibilities as a shareholder will be governed by Israeli law, which differs in some material respects from the U.S. law that governs the liabilities and responsibilities of shareholders of U.S. companies.</w:t>
      </w:r>
    </w:p>
    <w:p>
      <w:pPr>
        <w:spacing w:after="0" w:line="152" w:lineRule="exact"/>
        <w:rPr>
          <w:sz w:val="20"/>
          <w:szCs w:val="20"/>
          <w:color w:val="auto"/>
        </w:rPr>
      </w:pPr>
    </w:p>
    <w:p>
      <w:pPr>
        <w:ind w:firstLine="360"/>
        <w:spacing w:after="0" w:line="276" w:lineRule="auto"/>
        <w:rPr>
          <w:sz w:val="20"/>
          <w:szCs w:val="20"/>
          <w:color w:val="auto"/>
        </w:rPr>
      </w:pPr>
      <w:r>
        <w:rPr>
          <w:rFonts w:ascii="Arial" w:cs="Arial" w:eastAsia="Arial" w:hAnsi="Arial"/>
          <w:sz w:val="15"/>
          <w:szCs w:val="15"/>
          <w:color w:val="auto"/>
        </w:rPr>
        <w:t>The liabilities and responsibilities of the holders of our ordinary shares are governed by our amended and restated articles of association and by Israeli law. These liabilities and responsibilities differ in some material respects from the liabilities and responsibilities of shareholders in typical U.S.-based corporations. In particular, a shareholder of an Israeli company has certain duties to act in good faith and fairness towards the company and other shareholders, and to refrain from abusing its power in the Company. See "Management—Approval of Related Party Transactions under Israeli Law—Shareholder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04" w:lineRule="exact"/>
        <w:rPr>
          <w:sz w:val="20"/>
          <w:szCs w:val="20"/>
          <w:color w:val="auto"/>
        </w:rPr>
      </w:pPr>
    </w:p>
    <w:p>
      <w:pPr>
        <w:ind w:right="160" w:firstLine="369"/>
        <w:spacing w:after="0" w:line="259" w:lineRule="auto"/>
        <w:rPr>
          <w:sz w:val="20"/>
          <w:szCs w:val="20"/>
          <w:color w:val="auto"/>
        </w:rPr>
      </w:pPr>
      <w:r>
        <w:rPr>
          <w:rFonts w:ascii="Arial" w:cs="Arial" w:eastAsia="Arial" w:hAnsi="Arial"/>
          <w:sz w:val="16"/>
          <w:szCs w:val="16"/>
          <w:color w:val="auto"/>
        </w:rPr>
        <w:t>Some of the statements made under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Forward-looking statements include, but are not limited to, statements about:</w:t>
      </w:r>
    </w:p>
    <w:p>
      <w:pPr>
        <w:spacing w:after="0" w:line="200" w:lineRule="exact"/>
        <w:rPr>
          <w:sz w:val="20"/>
          <w:szCs w:val="20"/>
          <w:color w:val="auto"/>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FDA approval of, or other regulatory action with respect to,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commercial launch and future sales of MG01CI or any other future products or product candidates;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ability to achieve favorable pricing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expectations regarding the commercial supply of our ADHD products;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third-party payor reimbursement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estimates regarding anticipated capital requirements and our needs for additional financing;</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ADHD patient market size and market adoption of MG01CI by physicians and patients;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timing, cost or other aspects of the commercial launch of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timing and cost of Phase III trials for MG01CI or whether such trials will be conducted at all;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completion and receiving favorable results of Phase III trials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development and approval of the use of MG01CI for additional indications or in combination therapy;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expectations regarding licensing, acquisitions and strategic operations.</w:t>
      </w:r>
    </w:p>
    <w:p>
      <w:pPr>
        <w:spacing w:after="0" w:line="200"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67" w:lineRule="exact"/>
        <w:rPr>
          <w:sz w:val="20"/>
          <w:szCs w:val="20"/>
          <w:color w:val="auto"/>
        </w:rPr>
      </w:pPr>
    </w:p>
    <w:p>
      <w:pPr>
        <w:jc w:val="both"/>
        <w:ind w:firstLine="370"/>
        <w:spacing w:after="0" w:line="264"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6"/>
          <w:szCs w:val="16"/>
          <w:b w:val="1"/>
          <w:bCs w:val="1"/>
          <w:color w:val="auto"/>
        </w:rPr>
        <w:t>USE OF PROCEEDS</w:t>
      </w:r>
    </w:p>
    <w:p>
      <w:pPr>
        <w:spacing w:after="0" w:line="204" w:lineRule="exact"/>
        <w:rPr>
          <w:sz w:val="20"/>
          <w:szCs w:val="20"/>
          <w:color w:val="auto"/>
        </w:rPr>
      </w:pPr>
    </w:p>
    <w:p>
      <w:pPr>
        <w:ind w:firstLine="370"/>
        <w:spacing w:after="0" w:line="312" w:lineRule="auto"/>
        <w:rPr>
          <w:sz w:val="20"/>
          <w:szCs w:val="20"/>
          <w:color w:val="auto"/>
        </w:rPr>
      </w:pPr>
      <w:r>
        <w:rPr>
          <w:rFonts w:ascii="Arial" w:cs="Arial" w:eastAsia="Arial" w:hAnsi="Arial"/>
          <w:sz w:val="15"/>
          <w:szCs w:val="15"/>
          <w:color w:val="auto"/>
        </w:rPr>
        <w:t>We expect to receive approximately $22,214,362 in net proceeds from the sale of 2,275,000 ordinary shares offered by us in this offering (approximately $25,707,213 if the underwriters exercise their over-allotment option in full), after deducting the underwriting discounts and commissions and estimated offering expenses payable by us.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currently expect to use the net proceeds from this offering for:</w:t>
      </w:r>
    </w:p>
    <w:p>
      <w:pPr>
        <w:spacing w:after="0" w:line="200" w:lineRule="exact"/>
        <w:rPr>
          <w:sz w:val="20"/>
          <w:szCs w:val="20"/>
          <w:color w:val="auto"/>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completing at least two advanced clinical trials of MG01CI for adult ADHD, estimated at $6,000,000 each;</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Completing a Phase I/II clinical study in children for MG01CI, estimated at $1,000,000 to $2,000,000;</w:t>
      </w:r>
    </w:p>
    <w:p>
      <w:pPr>
        <w:spacing w:after="0" w:line="200" w:lineRule="exact"/>
        <w:rPr>
          <w:rFonts w:ascii="Arial" w:cs="Arial" w:eastAsia="Arial" w:hAnsi="Arial"/>
          <w:sz w:val="16"/>
          <w:szCs w:val="16"/>
          <w:color w:val="A6A6A6"/>
        </w:rPr>
      </w:pPr>
    </w:p>
    <w:p>
      <w:pPr>
        <w:ind w:left="580" w:right="520" w:hanging="296"/>
        <w:spacing w:after="0" w:line="277" w:lineRule="auto"/>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preparing for our proposed studies in adults and children for MG01CI, including engaging the FDA in discussions related to protocols for the trials, estimated at $1,000,000 to $3,000,000;</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evaluating MG01CI in Phase II trials for additional disorders of cognitive function, estimated at $1,000,000 to $2,000,000;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the remainder for working capital and general corporate purposes.</w:t>
      </w:r>
    </w:p>
    <w:p>
      <w:pPr>
        <w:spacing w:after="0" w:line="200" w:lineRule="exact"/>
        <w:rPr>
          <w:sz w:val="20"/>
          <w:szCs w:val="20"/>
          <w:color w:val="auto"/>
        </w:rPr>
      </w:pPr>
    </w:p>
    <w:p>
      <w:pPr>
        <w:ind w:firstLine="370"/>
        <w:spacing w:after="0" w:line="264"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have no current understandings, commitments or agreements with respect to any material acquisition of or investment in any technologies, products or companies.</w:t>
      </w:r>
    </w:p>
    <w:p>
      <w:pPr>
        <w:spacing w:after="0" w:line="223" w:lineRule="exact"/>
        <w:rPr>
          <w:sz w:val="20"/>
          <w:szCs w:val="20"/>
          <w:color w:val="auto"/>
        </w:rPr>
      </w:pPr>
    </w:p>
    <w:p>
      <w:pPr>
        <w:ind w:right="120" w:firstLine="370"/>
        <w:spacing w:after="0" w:line="277" w:lineRule="auto"/>
        <w:rPr>
          <w:sz w:val="20"/>
          <w:szCs w:val="20"/>
          <w:color w:val="auto"/>
        </w:rPr>
      </w:pPr>
      <w:r>
        <w:rPr>
          <w:rFonts w:ascii="Arial" w:cs="Arial" w:eastAsia="Arial" w:hAnsi="Arial"/>
          <w:sz w:val="16"/>
          <w:szCs w:val="16"/>
          <w:color w:val="auto"/>
        </w:rPr>
        <w:t>We expect to conduct two Phase III clinical trials for adult ADHD. We do not expect that these funds will be adequate to complete the Phase III clinical trials required for pediatric approval, which will require us to raise additional funds for this purpose.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DIVIDEND POLICY</w:t>
      </w:r>
    </w:p>
    <w:p>
      <w:pPr>
        <w:spacing w:after="0" w:line="204" w:lineRule="exact"/>
        <w:rPr>
          <w:sz w:val="20"/>
          <w:szCs w:val="20"/>
          <w:color w:val="auto"/>
        </w:rPr>
      </w:pPr>
    </w:p>
    <w:p>
      <w:pPr>
        <w:ind w:right="80" w:firstLine="370"/>
        <w:spacing w:after="0" w:line="289" w:lineRule="auto"/>
        <w:rPr>
          <w:sz w:val="20"/>
          <w:szCs w:val="20"/>
          <w:color w:val="auto"/>
        </w:rPr>
      </w:pPr>
      <w:r>
        <w:rPr>
          <w:rFonts w:ascii="Arial" w:cs="Arial" w:eastAsia="Arial" w:hAnsi="Arial"/>
          <w:sz w:val="15"/>
          <w:szCs w:val="15"/>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6"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The Israeli Companies Law imposes further restrictions on our ability to declare and pay dividends. See “Description of Share Capital—Dividend and Liquidation Rights” for additional information.</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Payment of dividends may be subject to Israeli withholding taxes. See “Taxation—Israeli Tax Considerations” for additional information.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0" w:right="29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CAPITALIZATION</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our cash and cash equivalents and our capitalization as of December 31, 2012:</w:t>
      </w:r>
    </w:p>
    <w:p>
      <w:pPr>
        <w:spacing w:after="0" w:line="200" w:lineRule="exact"/>
        <w:rPr>
          <w:sz w:val="20"/>
          <w:szCs w:val="20"/>
          <w:color w:val="auto"/>
        </w:rPr>
      </w:pPr>
    </w:p>
    <w:p>
      <w:pPr>
        <w:ind w:left="580" w:hanging="296"/>
        <w:spacing w:after="0"/>
        <w:tabs>
          <w:tab w:leader="none" w:pos="580" w:val="left"/>
        </w:tabs>
        <w:numPr>
          <w:ilvl w:val="0"/>
          <w:numId w:val="33"/>
        </w:numPr>
        <w:rPr>
          <w:rFonts w:ascii="Arial" w:cs="Arial" w:eastAsia="Arial" w:hAnsi="Arial"/>
          <w:sz w:val="16"/>
          <w:szCs w:val="16"/>
          <w:color w:val="A6A6A6"/>
        </w:rPr>
      </w:pPr>
      <w:r>
        <w:rPr>
          <w:rFonts w:ascii="Arial" w:cs="Arial" w:eastAsia="Arial" w:hAnsi="Arial"/>
          <w:sz w:val="16"/>
          <w:szCs w:val="16"/>
          <w:color w:val="auto"/>
        </w:rPr>
        <w:t>on an actual basis;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3"/>
        </w:numPr>
        <w:rPr>
          <w:rFonts w:ascii="Arial" w:cs="Arial" w:eastAsia="Arial" w:hAnsi="Arial"/>
          <w:sz w:val="15"/>
          <w:szCs w:val="15"/>
          <w:color w:val="A6A6A6"/>
        </w:rPr>
      </w:pPr>
      <w:r>
        <w:rPr>
          <w:rFonts w:ascii="Arial" w:cs="Arial" w:eastAsia="Arial" w:hAnsi="Arial"/>
          <w:sz w:val="15"/>
          <w:szCs w:val="15"/>
          <w:color w:val="auto"/>
        </w:rPr>
        <w:t>on a pro forma basis to give effect to the mandatory conversion of our Convertible Notes at the closing of this offering and the Warrant Cashless Exercise; and</w:t>
      </w:r>
    </w:p>
    <w:p>
      <w:pPr>
        <w:spacing w:after="0" w:line="211" w:lineRule="exact"/>
        <w:rPr>
          <w:rFonts w:ascii="Arial" w:cs="Arial" w:eastAsia="Arial" w:hAnsi="Arial"/>
          <w:sz w:val="15"/>
          <w:szCs w:val="15"/>
          <w:color w:val="A6A6A6"/>
        </w:rPr>
      </w:pPr>
    </w:p>
    <w:p>
      <w:pPr>
        <w:ind w:left="580" w:right="60" w:hanging="296"/>
        <w:spacing w:after="0" w:line="302" w:lineRule="auto"/>
        <w:tabs>
          <w:tab w:leader="none" w:pos="580" w:val="left"/>
        </w:tabs>
        <w:numPr>
          <w:ilvl w:val="0"/>
          <w:numId w:val="33"/>
        </w:numPr>
        <w:rPr>
          <w:rFonts w:ascii="Arial" w:cs="Arial" w:eastAsia="Arial" w:hAnsi="Arial"/>
          <w:sz w:val="14"/>
          <w:szCs w:val="14"/>
          <w:color w:val="A6A6A6"/>
        </w:rPr>
      </w:pPr>
      <w:r>
        <w:rPr>
          <w:rFonts w:ascii="Arial" w:cs="Arial" w:eastAsia="Arial" w:hAnsi="Arial"/>
          <w:sz w:val="14"/>
          <w:szCs w:val="14"/>
          <w:color w:val="auto"/>
        </w:rPr>
        <w:t>on a pro forma, as adjusted, basis to also give effect to: (i) the sale of 2,275,000 ordinary shares in this offering at an assumed initial public offering price of $11.00 per share (the midpoint of the range set forth on the cover page of this prospectus), after deducting underwriting discounts and commissions and estimated offering expenses payable by us; (ii) the conversion of Convertible Notes in the principal amount of $600,000 and accrued interest in the amount of $10,000 (as of December 31, 2012) at the closing of the offering, at an assumed conversion price of $8.25 (75% of an assumed initial public offering price of $11.00, which is the midpoint of the price range set forth on the cover page of this prospectus) as if the sale of the shares in each case had occurred on December 31, 2012; and (iii) the Warrant Cashless Exercise.</w:t>
      </w:r>
    </w:p>
    <w:p>
      <w:pPr>
        <w:spacing w:after="0" w:line="140" w:lineRule="exact"/>
        <w:rPr>
          <w:sz w:val="20"/>
          <w:szCs w:val="20"/>
          <w:color w:val="auto"/>
        </w:rPr>
      </w:pPr>
    </w:p>
    <w:p>
      <w:pPr>
        <w:ind w:right="40" w:firstLine="370"/>
        <w:spacing w:after="0" w:line="277"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December 31, 2012</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8"/>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14"/>
                <w:szCs w:val="14"/>
                <w:color w:val="auto"/>
              </w:rPr>
            </w:pPr>
          </w:p>
        </w:tc>
      </w:tr>
      <w:tr>
        <w:trPr>
          <w:trHeight w:val="192"/>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300"/>
              <w:spacing w:after="0"/>
              <w:rPr>
                <w:sz w:val="20"/>
                <w:szCs w:val="20"/>
                <w:color w:val="auto"/>
              </w:rPr>
            </w:pPr>
            <w:r>
              <w:rPr>
                <w:rFonts w:ascii="Arial" w:cs="Arial" w:eastAsia="Arial" w:hAnsi="Arial"/>
                <w:sz w:val="16"/>
                <w:szCs w:val="16"/>
                <w:b w:val="1"/>
                <w:bCs w:val="1"/>
                <w:color w:val="auto"/>
                <w:w w:val="88"/>
              </w:rPr>
              <w:t>Adjustments</w:t>
            </w:r>
          </w:p>
        </w:tc>
        <w:tc>
          <w:tcPr>
            <w:tcW w:w="2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as adjusted</w:t>
            </w:r>
          </w:p>
        </w:tc>
      </w:tr>
      <w:tr>
        <w:trPr>
          <w:trHeight w:val="209"/>
        </w:trPr>
        <w:tc>
          <w:tcPr>
            <w:tcW w:w="670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except share and per share data)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520"/>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8"/>
                <w:szCs w:val="18"/>
                <w:color w:val="auto"/>
              </w:rPr>
            </w:pPr>
          </w:p>
        </w:tc>
        <w:tc>
          <w:tcPr>
            <w:tcW w:w="1320" w:type="dxa"/>
            <w:vAlign w:val="bottom"/>
          </w:tcPr>
          <w:p>
            <w:pPr>
              <w:jc w:val="center"/>
              <w:ind w:right="240"/>
              <w:spacing w:after="0"/>
              <w:rPr>
                <w:sz w:val="20"/>
                <w:szCs w:val="20"/>
                <w:color w:val="auto"/>
              </w:rPr>
            </w:pPr>
            <w:r>
              <w:rPr>
                <w:rFonts w:ascii="Arial" w:cs="Arial" w:eastAsia="Arial" w:hAnsi="Arial"/>
                <w:sz w:val="16"/>
                <w:szCs w:val="16"/>
                <w:b w:val="1"/>
                <w:bCs w:val="1"/>
                <w:color w:val="auto"/>
                <w:w w:val="91"/>
              </w:rPr>
              <w:t>(unaudited)</w:t>
            </w:r>
          </w:p>
        </w:tc>
        <w:tc>
          <w:tcPr>
            <w:tcW w:w="2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(unaudited)</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Convertible Notes</w:t>
            </w:r>
          </w:p>
        </w:tc>
        <w:tc>
          <w:tcPr>
            <w:tcW w:w="4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662</w:t>
            </w:r>
          </w:p>
        </w:tc>
        <w:tc>
          <w:tcPr>
            <w:tcW w:w="2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rPr>
              <w:t>(662)</w:t>
            </w:r>
          </w:p>
        </w:tc>
        <w:tc>
          <w:tcPr>
            <w:tcW w:w="2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6700" w:type="dxa"/>
            <w:vAlign w:val="bottom"/>
          </w:tcPr>
          <w:p>
            <w:pPr>
              <w:spacing w:after="0" w:line="180" w:lineRule="exact"/>
              <w:rPr>
                <w:sz w:val="20"/>
                <w:szCs w:val="20"/>
                <w:color w:val="auto"/>
              </w:rPr>
            </w:pPr>
            <w:r>
              <w:rPr>
                <w:rFonts w:ascii="Arial" w:cs="Arial" w:eastAsia="Arial" w:hAnsi="Arial"/>
                <w:sz w:val="16"/>
                <w:szCs w:val="16"/>
                <w:color w:val="auto"/>
              </w:rPr>
              <w:t>Ordinary shares of NIS 0.01 par value -</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6700" w:type="dxa"/>
            <w:vAlign w:val="bottom"/>
          </w:tcPr>
          <w:p>
            <w:pPr>
              <w:ind w:left="140"/>
              <w:spacing w:after="0"/>
              <w:rPr>
                <w:sz w:val="20"/>
                <w:szCs w:val="20"/>
                <w:color w:val="auto"/>
              </w:rPr>
            </w:pPr>
            <w:r>
              <w:rPr>
                <w:rFonts w:ascii="Arial" w:cs="Arial" w:eastAsia="Arial" w:hAnsi="Arial"/>
                <w:sz w:val="16"/>
                <w:szCs w:val="16"/>
                <w:color w:val="auto"/>
                <w:w w:val="95"/>
              </w:rPr>
              <w:t>10,000,000 shares authorized at December 31, 2012 and 2011; 8,098,581 and 8,096,109 issued</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700" w:type="dxa"/>
            <w:vAlign w:val="bottom"/>
          </w:tcPr>
          <w:p>
            <w:pPr>
              <w:ind w:left="140"/>
              <w:spacing w:after="0"/>
              <w:rPr>
                <w:sz w:val="20"/>
                <w:szCs w:val="20"/>
                <w:color w:val="auto"/>
              </w:rPr>
            </w:pPr>
            <w:r>
              <w:rPr>
                <w:rFonts w:ascii="Arial" w:cs="Arial" w:eastAsia="Arial" w:hAnsi="Arial"/>
                <w:sz w:val="16"/>
                <w:szCs w:val="16"/>
                <w:color w:val="auto"/>
                <w:w w:val="90"/>
              </w:rPr>
              <w:t>shares at December 31, 2012 and 2011, respectively; 7,794,256 and 8,096,109 shares outstanding at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6700" w:type="dxa"/>
            <w:vAlign w:val="bottom"/>
          </w:tcPr>
          <w:p>
            <w:pPr>
              <w:ind w:left="140"/>
              <w:spacing w:after="0"/>
              <w:rPr>
                <w:sz w:val="20"/>
                <w:szCs w:val="20"/>
                <w:color w:val="auto"/>
              </w:rPr>
            </w:pPr>
            <w:r>
              <w:rPr>
                <w:rFonts w:ascii="Arial" w:cs="Arial" w:eastAsia="Arial" w:hAnsi="Arial"/>
                <w:sz w:val="16"/>
                <w:szCs w:val="16"/>
                <w:color w:val="auto"/>
              </w:rPr>
              <w:t>December 31, 2012 and 2011, respectively</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2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7,615</w:t>
            </w:r>
          </w:p>
        </w:tc>
        <w:tc>
          <w:tcPr>
            <w:tcW w:w="280" w:type="dxa"/>
            <w:vAlign w:val="bottom"/>
            <w:shd w:val="clear" w:color="auto" w:fill="CCFFCC"/>
          </w:tcPr>
          <w:p>
            <w:pPr>
              <w:spacing w:after="0"/>
              <w:rPr>
                <w:sz w:val="16"/>
                <w:szCs w:val="16"/>
                <w:color w:val="auto"/>
              </w:rPr>
            </w:pPr>
          </w:p>
        </w:tc>
        <w:tc>
          <w:tcPr>
            <w:tcW w:w="132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23,018</w:t>
            </w:r>
          </w:p>
        </w:tc>
        <w:tc>
          <w:tcPr>
            <w:tcW w:w="28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30,633</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Deficit accumulated during the development stage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(8,186)</w:t>
            </w:r>
          </w:p>
        </w:tc>
        <w:tc>
          <w:tcPr>
            <w:tcW w:w="28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(148)</w:t>
            </w:r>
          </w:p>
        </w:tc>
        <w:tc>
          <w:tcPr>
            <w:tcW w:w="28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(8,334)</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Total shareholders’ equity (deficiency)</w:t>
            </w:r>
          </w:p>
        </w:tc>
        <w:tc>
          <w:tcPr>
            <w:tcW w:w="1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2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rPr>
              <w:t>(567)</w:t>
            </w:r>
          </w:p>
        </w:tc>
        <w:tc>
          <w:tcPr>
            <w:tcW w:w="280" w:type="dxa"/>
            <w:vAlign w:val="bottom"/>
            <w:shd w:val="clear" w:color="auto" w:fill="CCFFCC"/>
          </w:tcPr>
          <w:p>
            <w:pPr>
              <w:spacing w:after="0"/>
              <w:rPr>
                <w:sz w:val="16"/>
                <w:szCs w:val="16"/>
                <w:color w:val="auto"/>
              </w:rPr>
            </w:pPr>
          </w:p>
        </w:tc>
        <w:tc>
          <w:tcPr>
            <w:tcW w:w="132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22,876</w:t>
            </w:r>
          </w:p>
        </w:tc>
        <w:tc>
          <w:tcPr>
            <w:tcW w:w="28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22,309</w:t>
            </w:r>
          </w:p>
        </w:tc>
      </w:tr>
      <w:tr>
        <w:trPr>
          <w:trHeight w:val="205"/>
        </w:trPr>
        <w:tc>
          <w:tcPr>
            <w:tcW w:w="6700" w:type="dxa"/>
            <w:vAlign w:val="bottom"/>
          </w:tcPr>
          <w:p>
            <w:pPr>
              <w:spacing w:after="0"/>
              <w:rPr>
                <w:sz w:val="20"/>
                <w:szCs w:val="20"/>
                <w:color w:val="auto"/>
              </w:rPr>
            </w:pPr>
            <w:r>
              <w:rPr>
                <w:rFonts w:ascii="Arial" w:cs="Arial" w:eastAsia="Arial" w:hAnsi="Arial"/>
                <w:sz w:val="16"/>
                <w:szCs w:val="16"/>
                <w:color w:val="auto"/>
              </w:rPr>
              <w:t>Total capitalization</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22,214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22,309</w:t>
            </w:r>
          </w:p>
        </w:tc>
      </w:tr>
    </w:tbl>
    <w:p>
      <w:pPr>
        <w:spacing w:after="0" w:line="167" w:lineRule="exact"/>
        <w:rPr>
          <w:sz w:val="20"/>
          <w:szCs w:val="20"/>
          <w:color w:val="auto"/>
        </w:rPr>
      </w:pPr>
    </w:p>
    <w:p>
      <w:pPr>
        <w:ind w:right="100" w:firstLine="357"/>
        <w:spacing w:after="0" w:line="319" w:lineRule="auto"/>
        <w:rPr>
          <w:sz w:val="20"/>
          <w:szCs w:val="20"/>
          <w:color w:val="auto"/>
        </w:rPr>
      </w:pPr>
      <w:r>
        <w:rPr>
          <w:rFonts w:ascii="Arial" w:cs="Arial" w:eastAsia="Arial" w:hAnsi="Arial"/>
          <w:sz w:val="14"/>
          <w:szCs w:val="14"/>
          <w:color w:val="auto"/>
        </w:rPr>
        <w:t>The number of our ordinary shares to be outstanding immediately after this offering is based on 7,794,256 ordinary shares outstanding as of April 1, 2013 (giving prospective effect to the issuance of bonus shares equivalent to a stock split described below) and includes also: (i) 89,044 shares resulting from the mandatory conversion of our outstanding convertible notes upon closing of this offering and (ii) 97,214 shares issued in connection with the Warrant Cashless Exercise. This number excludes:</w:t>
      </w:r>
    </w:p>
    <w:p>
      <w:pPr>
        <w:spacing w:after="0" w:line="127" w:lineRule="exact"/>
        <w:rPr>
          <w:sz w:val="20"/>
          <w:szCs w:val="20"/>
          <w:color w:val="auto"/>
        </w:rPr>
      </w:pPr>
    </w:p>
    <w:p>
      <w:pPr>
        <w:ind w:left="640" w:hanging="284"/>
        <w:spacing w:after="0"/>
        <w:tabs>
          <w:tab w:leader="none" w:pos="640" w:val="left"/>
        </w:tabs>
        <w:numPr>
          <w:ilvl w:val="0"/>
          <w:numId w:val="34"/>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April 1, 2013 under our equity incentive plan;</w:t>
      </w:r>
    </w:p>
    <w:p>
      <w:pPr>
        <w:spacing w:after="0" w:line="200" w:lineRule="exact"/>
        <w:rPr>
          <w:rFonts w:ascii="Arial" w:cs="Arial" w:eastAsia="Arial" w:hAnsi="Arial"/>
          <w:sz w:val="16"/>
          <w:szCs w:val="16"/>
          <w:color w:val="A6A6A6"/>
        </w:rPr>
      </w:pPr>
    </w:p>
    <w:p>
      <w:pPr>
        <w:ind w:left="640" w:right="140" w:hanging="284"/>
        <w:spacing w:after="0" w:line="277" w:lineRule="auto"/>
        <w:tabs>
          <w:tab w:leader="none" w:pos="640" w:val="left"/>
        </w:tabs>
        <w:numPr>
          <w:ilvl w:val="0"/>
          <w:numId w:val="34"/>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April 1, 2013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34"/>
        </w:numPr>
        <w:rPr>
          <w:rFonts w:ascii="Arial" w:cs="Arial" w:eastAsia="Arial" w:hAnsi="Arial"/>
          <w:sz w:val="16"/>
          <w:szCs w:val="16"/>
          <w:color w:val="A6A6A6"/>
        </w:rPr>
      </w:pPr>
      <w:r>
        <w:rPr>
          <w:rFonts w:ascii="Arial" w:cs="Arial" w:eastAsia="Arial" w:hAnsi="Arial"/>
          <w:sz w:val="16"/>
          <w:szCs w:val="16"/>
          <w:color w:val="auto"/>
        </w:rPr>
        <w:t>7,009 shares reserved as of April 1, 2013 for future grants under our equity incentive plan.</w:t>
      </w:r>
    </w:p>
    <w:p>
      <w:pPr>
        <w:spacing w:after="0" w:line="20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6"/>
          <w:szCs w:val="16"/>
          <w:color w:val="auto"/>
        </w:rPr>
        <w:t>As of December 31, 2012, we had Convertible Notes outstanding in the aggregate redemption amount of $662,000. This debt will be converted into ordinary shares at the closing of the offering at a conversion price equal to 75% of the initial public offering price.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DILUTION</w:t>
      </w:r>
    </w:p>
    <w:p>
      <w:pPr>
        <w:spacing w:after="0" w:line="204" w:lineRule="exact"/>
        <w:rPr>
          <w:sz w:val="20"/>
          <w:szCs w:val="20"/>
          <w:color w:val="auto"/>
        </w:rPr>
      </w:pPr>
    </w:p>
    <w:p>
      <w:pPr>
        <w:ind w:right="300" w:firstLine="370"/>
        <w:spacing w:after="0" w:line="312" w:lineRule="auto"/>
        <w:rPr>
          <w:sz w:val="20"/>
          <w:szCs w:val="20"/>
          <w:color w:val="auto"/>
        </w:rPr>
      </w:pPr>
      <w:r>
        <w:rPr>
          <w:rFonts w:ascii="Arial" w:cs="Arial" w:eastAsia="Arial" w:hAnsi="Arial"/>
          <w:sz w:val="15"/>
          <w:szCs w:val="15"/>
          <w:color w:val="auto"/>
        </w:rPr>
        <w:t>If you invest in our ordinary shares, you will experience immediate and substantial dilution to the extent of the difference between the initial public offering price of our ordinary shares and the pro forma as adjusted net tangible book value (deficit) per share of our ordinary shares immediately after the offering.</w:t>
      </w:r>
    </w:p>
    <w:p>
      <w:pPr>
        <w:spacing w:after="0" w:line="128" w:lineRule="exact"/>
        <w:rPr>
          <w:sz w:val="20"/>
          <w:szCs w:val="20"/>
          <w:color w:val="auto"/>
        </w:rPr>
      </w:pPr>
    </w:p>
    <w:p>
      <w:pPr>
        <w:ind w:right="20" w:firstLine="370"/>
        <w:spacing w:after="0" w:line="308" w:lineRule="auto"/>
        <w:rPr>
          <w:sz w:val="20"/>
          <w:szCs w:val="20"/>
          <w:color w:val="auto"/>
        </w:rPr>
      </w:pPr>
      <w:r>
        <w:rPr>
          <w:rFonts w:ascii="Arial" w:cs="Arial" w:eastAsia="Arial" w:hAnsi="Arial"/>
          <w:sz w:val="14"/>
          <w:szCs w:val="14"/>
          <w:color w:val="auto"/>
        </w:rPr>
        <w:t>Our historical net tangible book value (deficit) per share is determined by dividing our total tangible assets, less total liabilities, by the actual number of outstanding ordinary shares. The historical net tangible book value (deficit) of our ordinary shares as of December 31, 2012 was $(567,000), or $(0.07) per share. On a pro forma basis, giving effect to the conversion of our outstanding promissory notes in the principal amount of $600,000 and accrued interest in the amount of $10,000 at a price of $8.25 into 73,939 ordinary shares and the cashless exercise of 129,257 warrants resulting in the issuance of 97,214 shares, our historical net tangible book value per share was $0.012.</w:t>
      </w:r>
    </w:p>
    <w:p>
      <w:pPr>
        <w:spacing w:after="0" w:line="135" w:lineRule="exact"/>
        <w:rPr>
          <w:sz w:val="20"/>
          <w:szCs w:val="20"/>
          <w:color w:val="auto"/>
        </w:rPr>
      </w:pPr>
    </w:p>
    <w:p>
      <w:pPr>
        <w:ind w:right="200" w:firstLine="360"/>
        <w:spacing w:after="0" w:line="257" w:lineRule="auto"/>
        <w:rPr>
          <w:sz w:val="20"/>
          <w:szCs w:val="20"/>
          <w:color w:val="auto"/>
        </w:rPr>
      </w:pPr>
      <w:r>
        <w:rPr>
          <w:rFonts w:ascii="Arial" w:cs="Arial" w:eastAsia="Arial" w:hAnsi="Arial"/>
          <w:sz w:val="16"/>
          <w:szCs w:val="16"/>
          <w:color w:val="auto"/>
        </w:rPr>
        <w:t>The pro forma as adjusted net tangible book value of our ordinary shares as of December 31, 2012 was $22,309,362, or $2.18 per share. The pro forma as adjusted net tangible book value gives effect to the sale of ordinary shares in this offering at an assumed initial public offering price of $11.00 per share (the midpoint of the price range set forth on the cover page of this prospectus), after deducting underwriting discounts and commissions and estimated offering expenses payable by us. The difference between the initial public offering price and the pro forma as adjusted net tangible book value (deficit) per share represents an immediate dilution of $8.82 per share to new investors purchasing ordinary shares in this offering.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200" w:type="dxa"/>
            <w:vAlign w:val="bottom"/>
          </w:tcPr>
          <w:p>
            <w:pPr>
              <w:ind w:left="380"/>
              <w:spacing w:after="0"/>
              <w:rPr>
                <w:sz w:val="20"/>
                <w:szCs w:val="20"/>
                <w:color w:val="auto"/>
              </w:rPr>
            </w:pPr>
            <w:r>
              <w:rPr>
                <w:rFonts w:ascii="Arial" w:cs="Arial" w:eastAsia="Arial" w:hAnsi="Arial"/>
                <w:sz w:val="16"/>
                <w:szCs w:val="16"/>
                <w:color w:val="auto"/>
              </w:rPr>
              <w:t>The following table illustrates this dilution on a per share basis to new investors:</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rPr>
              <w:t>Assumed initial public offering price per share</w:t>
            </w:r>
          </w:p>
        </w:tc>
        <w:tc>
          <w:tcPr>
            <w:tcW w:w="68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Net tangible book value per share before this offering, as of December 31, 2012</w:t>
            </w:r>
          </w:p>
        </w:tc>
        <w:tc>
          <w:tcPr>
            <w:tcW w:w="134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(0.07)</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w w:val="99"/>
              </w:rPr>
              <w:t>Pro forma increase in net tangible book value per share attributable to conversion of promissory notes</w:t>
            </w:r>
          </w:p>
        </w:tc>
        <w:tc>
          <w:tcPr>
            <w:tcW w:w="6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0.082</w:t>
            </w:r>
          </w:p>
        </w:tc>
        <w:tc>
          <w:tcPr>
            <w:tcW w:w="14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Pro forma net tangible book value per share as of December 31, 2012</w:t>
            </w:r>
          </w:p>
        </w:tc>
        <w:tc>
          <w:tcPr>
            <w:tcW w:w="6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0.012</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rPr>
              <w:t>Increase in net tangible book value per share attributable to new investors in this offering</w:t>
            </w:r>
          </w:p>
        </w:tc>
        <w:tc>
          <w:tcPr>
            <w:tcW w:w="6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2.17</w:t>
            </w:r>
          </w:p>
        </w:tc>
        <w:tc>
          <w:tcPr>
            <w:tcW w:w="14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Pro forma as adjusted net tangible book value per share after offering</w:t>
            </w:r>
          </w:p>
        </w:tc>
        <w:tc>
          <w:tcPr>
            <w:tcW w:w="6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rPr>
              <w:t>Dilution in pro forma tangible book value (deficit) per share to new investors</w:t>
            </w:r>
          </w:p>
        </w:tc>
        <w:tc>
          <w:tcPr>
            <w:tcW w:w="680" w:type="dxa"/>
            <w:vAlign w:val="bottom"/>
            <w:tcBorders>
              <w:top w:val="single" w:sz="8" w:color="CCFFCC"/>
            </w:tcBorders>
            <w:shd w:val="clear" w:color="auto" w:fill="CCFFCC"/>
          </w:tcPr>
          <w:p>
            <w:pPr>
              <w:spacing w:after="0"/>
              <w:rPr>
                <w:sz w:val="17"/>
                <w:szCs w:val="17"/>
                <w:color w:val="auto"/>
              </w:rPr>
            </w:pPr>
          </w:p>
        </w:tc>
        <w:tc>
          <w:tcPr>
            <w:tcW w:w="660" w:type="dxa"/>
            <w:vAlign w:val="bottom"/>
            <w:tcBorders>
              <w:top w:val="single" w:sz="8" w:color="CCFFCC"/>
            </w:tcBorders>
            <w:shd w:val="clear" w:color="auto" w:fill="CCFFCC"/>
          </w:tcPr>
          <w:p>
            <w:pPr>
              <w:spacing w:after="0"/>
              <w:rPr>
                <w:sz w:val="17"/>
                <w:szCs w:val="17"/>
                <w:color w:val="auto"/>
              </w:rPr>
            </w:pPr>
          </w:p>
        </w:tc>
        <w:tc>
          <w:tcPr>
            <w:tcW w:w="128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8.82</w:t>
            </w:r>
          </w:p>
        </w:tc>
        <w:tc>
          <w:tcPr>
            <w:tcW w:w="12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0" w:firstLine="369"/>
        <w:spacing w:after="0" w:line="259" w:lineRule="auto"/>
        <w:rPr>
          <w:sz w:val="20"/>
          <w:szCs w:val="20"/>
          <w:color w:val="auto"/>
        </w:rPr>
      </w:pPr>
      <w:r>
        <w:rPr>
          <w:rFonts w:ascii="Arial" w:cs="Arial" w:eastAsia="Arial" w:hAnsi="Arial"/>
          <w:sz w:val="16"/>
          <w:szCs w:val="16"/>
          <w:color w:val="auto"/>
        </w:rPr>
        <w:t>If the underwriters’ over-allotment option to purchase additional shares from us is exercised in full, and based on an assumed initial public offering price of $11.00 per share, the pro forma as adjusted net tangible book value per share after this offering would be approximately $2.44 per share, the increase in the pro forma net tangible book value per share attributable to new investors would be approximately $2.43 per share and the dilution to new investors purchasing shares in this offering would be approximately $8.56 per share.</w:t>
      </w:r>
    </w:p>
    <w:p>
      <w:pPr>
        <w:spacing w:after="0" w:line="167" w:lineRule="exact"/>
        <w:rPr>
          <w:sz w:val="20"/>
          <w:szCs w:val="20"/>
          <w:color w:val="auto"/>
        </w:rPr>
      </w:pPr>
    </w:p>
    <w:p>
      <w:pPr>
        <w:ind w:right="60" w:firstLine="360"/>
        <w:spacing w:after="0" w:line="319" w:lineRule="auto"/>
        <w:rPr>
          <w:sz w:val="20"/>
          <w:szCs w:val="20"/>
          <w:color w:val="auto"/>
        </w:rPr>
      </w:pPr>
      <w:r>
        <w:rPr>
          <w:rFonts w:ascii="Arial" w:cs="Arial" w:eastAsia="Arial" w:hAnsi="Arial"/>
          <w:sz w:val="14"/>
          <w:szCs w:val="14"/>
          <w:color w:val="auto"/>
        </w:rPr>
        <w:t>The table below summarizes as of December 31, 2012, on the pro forma as adjusted basis described above, the number of ordinary shares we issued and sold, the total consideration we received and the average price per share (1) paid by our existing shareholders and (2) to be paid by new investors purchasing our ordinary shares in this offering at the initial public offering price of $11.00 per share, before deducting underwriting discounts and commissions and estimated offering expenses payable by 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r>
      <w:tr>
        <w:trPr>
          <w:trHeight w:val="209"/>
        </w:trPr>
        <w:tc>
          <w:tcPr>
            <w:tcW w:w="3660" w:type="dxa"/>
            <w:vAlign w:val="bottom"/>
          </w:tcPr>
          <w:p>
            <w:pPr>
              <w:spacing w:after="0"/>
              <w:rPr>
                <w:sz w:val="18"/>
                <w:szCs w:val="18"/>
                <w:color w:val="auto"/>
              </w:rPr>
            </w:pPr>
          </w:p>
        </w:tc>
        <w:tc>
          <w:tcPr>
            <w:tcW w:w="2520" w:type="dxa"/>
            <w:vAlign w:val="bottom"/>
            <w:gridSpan w:val="3"/>
          </w:tcPr>
          <w:p>
            <w:pPr>
              <w:ind w:left="800"/>
              <w:spacing w:after="0"/>
              <w:rPr>
                <w:sz w:val="20"/>
                <w:szCs w:val="20"/>
                <w:color w:val="auto"/>
              </w:rPr>
            </w:pPr>
            <w:r>
              <w:rPr>
                <w:rFonts w:ascii="Arial" w:cs="Arial" w:eastAsia="Arial" w:hAnsi="Arial"/>
                <w:sz w:val="16"/>
                <w:szCs w:val="16"/>
                <w:b w:val="1"/>
                <w:bCs w:val="1"/>
                <w:color w:val="auto"/>
              </w:rPr>
              <w:t>Shares Purchased</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3"/>
          </w:tcPr>
          <w:p>
            <w:pPr>
              <w:jc w:val="right"/>
              <w:ind w:right="342"/>
              <w:spacing w:after="0"/>
              <w:rPr>
                <w:sz w:val="20"/>
                <w:szCs w:val="20"/>
                <w:color w:val="auto"/>
              </w:rPr>
            </w:pPr>
            <w:r>
              <w:rPr>
                <w:rFonts w:ascii="Arial" w:cs="Arial" w:eastAsia="Arial" w:hAnsi="Arial"/>
                <w:sz w:val="16"/>
                <w:szCs w:val="16"/>
                <w:b w:val="1"/>
                <w:bCs w:val="1"/>
                <w:color w:val="auto"/>
              </w:rPr>
              <w:t>Total Consideration</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r>
      <w:tr>
        <w:trPr>
          <w:trHeight w:val="196"/>
        </w:trPr>
        <w:tc>
          <w:tcPr>
            <w:tcW w:w="3660" w:type="dxa"/>
            <w:vAlign w:val="bottom"/>
            <w:tcBorders>
              <w:bottom w:val="single" w:sz="8" w:color="CCFFCC"/>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Number</w:t>
            </w:r>
          </w:p>
        </w:tc>
        <w:tc>
          <w:tcPr>
            <w:tcW w:w="340" w:type="dxa"/>
            <w:vAlign w:val="bottom"/>
            <w:tcBorders>
              <w:top w:val="single" w:sz="8" w:color="auto"/>
              <w:bottom w:val="single" w:sz="8" w:color="CCFFCC"/>
            </w:tcBorders>
          </w:tcPr>
          <w:p>
            <w:pPr>
              <w:spacing w:after="0"/>
              <w:rPr>
                <w:sz w:val="17"/>
                <w:szCs w:val="17"/>
                <w:color w:val="auto"/>
              </w:rPr>
            </w:pPr>
          </w:p>
        </w:tc>
        <w:tc>
          <w:tcPr>
            <w:tcW w:w="9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w w:val="95"/>
              </w:rPr>
              <w:t>Percent</w:t>
            </w:r>
          </w:p>
        </w:tc>
        <w:tc>
          <w:tcPr>
            <w:tcW w:w="320" w:type="dxa"/>
            <w:vAlign w:val="bottom"/>
            <w:tcBorders>
              <w:top w:val="single" w:sz="8" w:color="auto"/>
              <w:bottom w:val="single" w:sz="8" w:color="auto"/>
            </w:tcBorders>
          </w:tcPr>
          <w:p>
            <w:pPr>
              <w:spacing w:after="0"/>
              <w:rPr>
                <w:sz w:val="17"/>
                <w:szCs w:val="17"/>
                <w:color w:val="auto"/>
              </w:rPr>
            </w:pPr>
          </w:p>
        </w:tc>
        <w:tc>
          <w:tcPr>
            <w:tcW w:w="360" w:type="dxa"/>
            <w:vAlign w:val="bottom"/>
            <w:tcBorders>
              <w:bottom w:val="single" w:sz="8" w:color="CCFFC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Amount</w:t>
            </w:r>
          </w:p>
        </w:tc>
        <w:tc>
          <w:tcPr>
            <w:tcW w:w="340" w:type="dxa"/>
            <w:vAlign w:val="bottom"/>
            <w:tcBorders>
              <w:top w:val="single" w:sz="8" w:color="auto"/>
              <w:bottom w:val="single" w:sz="8" w:color="CCFFCC"/>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320" w:type="dxa"/>
            <w:vAlign w:val="bottom"/>
            <w:tcBorders>
              <w:top w:val="single" w:sz="8" w:color="auto"/>
              <w:bottom w:val="single" w:sz="8" w:color="auto"/>
            </w:tcBorders>
          </w:tcPr>
          <w:p>
            <w:pPr>
              <w:spacing w:after="0"/>
              <w:rPr>
                <w:sz w:val="17"/>
                <w:szCs w:val="17"/>
                <w:color w:val="auto"/>
              </w:rPr>
            </w:pPr>
          </w:p>
        </w:tc>
        <w:tc>
          <w:tcPr>
            <w:tcW w:w="26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0"/>
              </w:rPr>
              <w:t>Per Share</w:t>
            </w:r>
          </w:p>
        </w:tc>
        <w:tc>
          <w:tcPr>
            <w:tcW w:w="120" w:type="dxa"/>
            <w:vAlign w:val="bottom"/>
            <w:tcBorders>
              <w:bottom w:val="single" w:sz="8" w:color="CCFFCC"/>
            </w:tcBorders>
          </w:tcPr>
          <w:p>
            <w:pPr>
              <w:spacing w:after="0"/>
              <w:rPr>
                <w:sz w:val="17"/>
                <w:szCs w:val="17"/>
                <w:color w:val="auto"/>
              </w:rPr>
            </w:pPr>
          </w:p>
        </w:tc>
      </w:tr>
      <w:tr>
        <w:trPr>
          <w:trHeight w:val="184"/>
        </w:trPr>
        <w:tc>
          <w:tcPr>
            <w:tcW w:w="3660" w:type="dxa"/>
            <w:vAlign w:val="bottom"/>
            <w:shd w:val="clear" w:color="auto" w:fill="CCFFCC"/>
          </w:tcPr>
          <w:p>
            <w:pPr>
              <w:spacing w:after="0"/>
              <w:rPr>
                <w:sz w:val="20"/>
                <w:szCs w:val="20"/>
                <w:color w:val="auto"/>
              </w:rPr>
            </w:pPr>
            <w:r>
              <w:rPr>
                <w:rFonts w:ascii="Arial" w:cs="Arial" w:eastAsia="Arial" w:hAnsi="Arial"/>
                <w:sz w:val="16"/>
                <w:szCs w:val="16"/>
                <w:color w:val="auto"/>
              </w:rPr>
              <w:t>Existing shareholders</w:t>
            </w:r>
          </w:p>
        </w:tc>
        <w:tc>
          <w:tcPr>
            <w:tcW w:w="12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7,965,409</w:t>
            </w:r>
          </w:p>
        </w:tc>
        <w:tc>
          <w:tcPr>
            <w:tcW w:w="34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65"/>
              <w:spacing w:after="0"/>
              <w:rPr>
                <w:sz w:val="20"/>
                <w:szCs w:val="20"/>
                <w:color w:val="auto"/>
              </w:rPr>
            </w:pPr>
            <w:r>
              <w:rPr>
                <w:rFonts w:ascii="Arial" w:cs="Arial" w:eastAsia="Arial" w:hAnsi="Arial"/>
                <w:sz w:val="16"/>
                <w:szCs w:val="16"/>
                <w:color w:val="auto"/>
                <w:w w:val="92"/>
              </w:rPr>
              <w:t>77.8%</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5,761,000</w:t>
            </w:r>
          </w:p>
        </w:tc>
        <w:tc>
          <w:tcPr>
            <w:tcW w:w="3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6"/>
              </w:rPr>
              <w:t>18.7%</w:t>
            </w:r>
          </w:p>
        </w:tc>
        <w:tc>
          <w:tcPr>
            <w:tcW w:w="120" w:type="dxa"/>
            <w:vAlign w:val="bottom"/>
            <w:shd w:val="clear" w:color="auto" w:fill="CCFFCC"/>
          </w:tcPr>
          <w:p>
            <w:pPr>
              <w:spacing w:after="0"/>
              <w:rPr>
                <w:sz w:val="16"/>
                <w:szCs w:val="16"/>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FFCC"/>
          </w:tcPr>
          <w:p>
            <w:pPr>
              <w:spacing w:after="0"/>
              <w:rPr>
                <w:sz w:val="16"/>
                <w:szCs w:val="16"/>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6"/>
                <w:szCs w:val="16"/>
                <w:color w:val="auto"/>
              </w:rPr>
              <w:t>New investors</w:t>
            </w:r>
          </w:p>
        </w:tc>
        <w:tc>
          <w:tcPr>
            <w:tcW w:w="1580" w:type="dxa"/>
            <w:vAlign w:val="bottom"/>
            <w:gridSpan w:val="2"/>
          </w:tcPr>
          <w:p>
            <w:pPr>
              <w:jc w:val="right"/>
              <w:ind w:right="340"/>
              <w:spacing w:after="0"/>
              <w:rPr>
                <w:sz w:val="20"/>
                <w:szCs w:val="20"/>
                <w:color w:val="auto"/>
              </w:rPr>
            </w:pPr>
            <w:r>
              <w:rPr>
                <w:rFonts w:ascii="Arial" w:cs="Arial" w:eastAsia="Arial" w:hAnsi="Arial"/>
                <w:sz w:val="16"/>
                <w:szCs w:val="16"/>
                <w:color w:val="auto"/>
              </w:rPr>
              <w:t>2,275,000</w:t>
            </w:r>
          </w:p>
        </w:tc>
        <w:tc>
          <w:tcPr>
            <w:tcW w:w="940" w:type="dxa"/>
            <w:vAlign w:val="bottom"/>
          </w:tcPr>
          <w:p>
            <w:pPr>
              <w:spacing w:after="0"/>
              <w:rPr>
                <w:sz w:val="17"/>
                <w:szCs w:val="17"/>
                <w:color w:val="auto"/>
              </w:rPr>
            </w:pPr>
          </w:p>
        </w:tc>
        <w:tc>
          <w:tcPr>
            <w:tcW w:w="680" w:type="dxa"/>
            <w:vAlign w:val="bottom"/>
            <w:gridSpan w:val="2"/>
          </w:tcPr>
          <w:p>
            <w:pPr>
              <w:jc w:val="right"/>
              <w:ind w:right="165"/>
              <w:spacing w:after="0"/>
              <w:rPr>
                <w:sz w:val="20"/>
                <w:szCs w:val="20"/>
                <w:color w:val="auto"/>
              </w:rPr>
            </w:pPr>
            <w:r>
              <w:rPr>
                <w:rFonts w:ascii="Arial" w:cs="Arial" w:eastAsia="Arial" w:hAnsi="Arial"/>
                <w:sz w:val="16"/>
                <w:szCs w:val="16"/>
                <w:color w:val="auto"/>
                <w:w w:val="92"/>
              </w:rPr>
              <w:t>22.2%</w:t>
            </w:r>
          </w:p>
        </w:tc>
        <w:tc>
          <w:tcPr>
            <w:tcW w:w="22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25,025,000</w:t>
            </w:r>
          </w:p>
        </w:tc>
        <w:tc>
          <w:tcPr>
            <w:tcW w:w="9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w w:val="96"/>
              </w:rPr>
              <w:t>81.3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11.00</w:t>
            </w:r>
          </w:p>
        </w:tc>
      </w:tr>
      <w:tr>
        <w:trPr>
          <w:trHeight w:val="196"/>
        </w:trPr>
        <w:tc>
          <w:tcPr>
            <w:tcW w:w="36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Total</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10,240,409</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940" w:type="dxa"/>
            <w:vAlign w:val="bottom"/>
            <w:tcBorders>
              <w:top w:val="single" w:sz="8" w:color="auto"/>
              <w:bottom w:val="single" w:sz="8" w:color="auto"/>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Borders>
              <w:top w:val="single" w:sz="8" w:color="CCFFCC"/>
              <w:bottom w:val="single" w:sz="8" w:color="CCFFCC"/>
            </w:tcBorders>
            <w:shd w:val="clear" w:color="auto" w:fill="CCFFCC"/>
          </w:tcPr>
          <w:p>
            <w:pPr>
              <w:jc w:val="right"/>
              <w:ind w:right="165"/>
              <w:spacing w:after="0"/>
              <w:rPr>
                <w:sz w:val="20"/>
                <w:szCs w:val="20"/>
                <w:color w:val="auto"/>
              </w:rPr>
            </w:pPr>
            <w:r>
              <w:rPr>
                <w:rFonts w:ascii="Arial" w:cs="Arial" w:eastAsia="Arial" w:hAnsi="Arial"/>
                <w:sz w:val="15"/>
                <w:szCs w:val="15"/>
                <w:color w:val="auto"/>
                <w:w w:val="74"/>
              </w:rPr>
              <w:t>%</w:t>
            </w: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30,786,000</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920" w:type="dxa"/>
            <w:vAlign w:val="bottom"/>
            <w:tcBorders>
              <w:top w:val="single" w:sz="8" w:color="auto"/>
              <w:bottom w:val="single" w:sz="8" w:color="auto"/>
            </w:tcBorders>
            <w:shd w:val="clear" w:color="auto" w:fill="CCFFCC"/>
          </w:tcPr>
          <w:p>
            <w:pPr>
              <w:jc w:val="right"/>
              <w:ind w:right="762"/>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Borders>
              <w:top w:val="single" w:sz="8" w:color="CCFFCC"/>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84"/>
              </w:rPr>
              <w:t>%</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right="100" w:firstLine="357"/>
        <w:spacing w:after="0" w:line="259" w:lineRule="auto"/>
        <w:rPr>
          <w:sz w:val="20"/>
          <w:szCs w:val="20"/>
          <w:color w:val="auto"/>
        </w:rPr>
      </w:pPr>
      <w:r>
        <w:rPr>
          <w:rFonts w:ascii="Arial" w:cs="Arial" w:eastAsia="Arial" w:hAnsi="Arial"/>
          <w:sz w:val="16"/>
          <w:szCs w:val="16"/>
          <w:color w:val="auto"/>
        </w:rPr>
        <w:t>The number of our ordinary shares to be outstanding immediately after this offering is based on 7,794,256 ordinary shares outstanding as of December 31, 2012 (giving prospective effect to the issuance of bonus shares equivalent to a stock split described below) and includes also: (i) 73,939 shares resulting from the mandatory conversion of our outstanding convertible notes upon closing of this offering as if the conversion had occurred on December 31, 2012 and (ii) 97,214 shares issued in connection with the Warrant Cashless Exercise. This number excludes:</w:t>
      </w:r>
    </w:p>
    <w:p>
      <w:pPr>
        <w:spacing w:after="0" w:line="167" w:lineRule="exact"/>
        <w:rPr>
          <w:sz w:val="20"/>
          <w:szCs w:val="20"/>
          <w:color w:val="auto"/>
        </w:rPr>
      </w:pPr>
    </w:p>
    <w:p>
      <w:pPr>
        <w:ind w:left="940" w:hanging="295"/>
        <w:spacing w:after="0"/>
        <w:tabs>
          <w:tab w:leader="none" w:pos="9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December 31, 2012 under our equity incentive plan;</w:t>
      </w:r>
    </w:p>
    <w:p>
      <w:pPr>
        <w:spacing w:after="0" w:line="200" w:lineRule="exact"/>
        <w:rPr>
          <w:rFonts w:ascii="Arial" w:cs="Arial" w:eastAsia="Arial" w:hAnsi="Arial"/>
          <w:sz w:val="16"/>
          <w:szCs w:val="16"/>
          <w:color w:val="A6A6A6"/>
        </w:rPr>
      </w:pPr>
    </w:p>
    <w:p>
      <w:pPr>
        <w:ind w:left="940" w:right="240" w:hanging="295"/>
        <w:spacing w:after="0" w:line="277" w:lineRule="auto"/>
        <w:tabs>
          <w:tab w:leader="none" w:pos="9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December 31, 2012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940" w:hanging="295"/>
        <w:spacing w:after="0"/>
        <w:tabs>
          <w:tab w:leader="none" w:pos="9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7,009 shares reserved as of December 31, 2012 for future grants under our equity incentive plan.</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To the extent that new options are granted under our equity benefit plans, there will be further dilution to investors purchasing ordinary shares in this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SELECTED FINANCIAL DATA</w:t>
      </w:r>
    </w:p>
    <w:p>
      <w:pPr>
        <w:spacing w:after="0" w:line="204" w:lineRule="exact"/>
        <w:rPr>
          <w:sz w:val="20"/>
          <w:szCs w:val="20"/>
          <w:color w:val="auto"/>
        </w:rPr>
      </w:pPr>
    </w:p>
    <w:p>
      <w:pPr>
        <w:ind w:right="40" w:firstLine="352"/>
        <w:spacing w:after="0" w:line="282" w:lineRule="auto"/>
        <w:rPr>
          <w:sz w:val="20"/>
          <w:szCs w:val="20"/>
          <w:color w:val="auto"/>
        </w:rPr>
      </w:pPr>
      <w:r>
        <w:rPr>
          <w:rFonts w:ascii="Arial" w:cs="Arial" w:eastAsia="Arial" w:hAnsi="Arial"/>
          <w:sz w:val="15"/>
          <w:szCs w:val="15"/>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thousands of U.S. dollars, except share and per share amounts)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Years ended December 31,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40" w:type="dxa"/>
            <w:vAlign w:val="bottom"/>
            <w:gridSpan w:val="2"/>
            <w:vMerge w:val="continue"/>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3"/>
              </w:rPr>
              <w:t>Research and development expenses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818</w:t>
            </w:r>
          </w:p>
        </w:tc>
        <w:tc>
          <w:tcPr>
            <w:tcW w:w="580" w:type="dxa"/>
            <w:vAlign w:val="bottom"/>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1,822</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4"/>
              </w:rPr>
              <w:t>General and administrative expenses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683</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2,084</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shd w:val="clear" w:color="auto" w:fill="CCFFCC"/>
          </w:tcPr>
          <w:p>
            <w:pPr>
              <w:ind w:left="120"/>
              <w:spacing w:after="0"/>
              <w:rPr>
                <w:sz w:val="20"/>
                <w:szCs w:val="20"/>
                <w:color w:val="auto"/>
              </w:rPr>
            </w:pPr>
            <w:r>
              <w:rPr>
                <w:rFonts w:ascii="Arial" w:cs="Arial" w:eastAsia="Arial" w:hAnsi="Arial"/>
                <w:sz w:val="16"/>
                <w:szCs w:val="16"/>
                <w:color w:val="auto"/>
              </w:rPr>
              <w:t>Financial expense, net</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shd w:val="clear" w:color="auto" w:fill="CCFFCC"/>
          </w:tcPr>
          <w:p>
            <w:pPr>
              <w:ind w:left="120"/>
              <w:spacing w:after="0"/>
              <w:rPr>
                <w:sz w:val="20"/>
                <w:szCs w:val="20"/>
                <w:color w:val="auto"/>
              </w:rPr>
            </w:pPr>
            <w:r>
              <w:rPr>
                <w:rFonts w:ascii="Arial" w:cs="Arial" w:eastAsia="Arial" w:hAnsi="Arial"/>
                <w:sz w:val="16"/>
                <w:szCs w:val="16"/>
                <w:color w:val="auto"/>
              </w:rPr>
              <w:t>Deemed dividend</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180</w:t>
            </w: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1"/>
              </w:rPr>
              <w:t>Loss attributable to holders of ordinary</w:t>
            </w:r>
          </w:p>
        </w:tc>
        <w:tc>
          <w:tcPr>
            <w:tcW w:w="4000" w:type="dxa"/>
            <w:vAlign w:val="bottom"/>
            <w:gridSpan w:val="2"/>
            <w:shd w:val="clear" w:color="auto" w:fill="CCFFCC"/>
          </w:tcPr>
          <w:p>
            <w:pPr>
              <w:jc w:val="right"/>
              <w:ind w:right="3480"/>
              <w:spacing w:after="0"/>
              <w:rPr>
                <w:sz w:val="20"/>
                <w:szCs w:val="20"/>
                <w:color w:val="auto"/>
              </w:rPr>
            </w:pPr>
            <w:r>
              <w:rPr>
                <w:rFonts w:ascii="Arial" w:cs="Arial" w:eastAsia="Arial" w:hAnsi="Arial"/>
                <w:sz w:val="16"/>
                <w:szCs w:val="16"/>
                <w:color w:val="auto"/>
                <w:w w:val="87"/>
              </w:rPr>
              <w:t>shares</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1,579</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4,109</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4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520" w:type="dxa"/>
            <w:vAlign w:val="bottom"/>
            <w:gridSpan w:val="3"/>
            <w:shd w:val="clear" w:color="auto" w:fill="CCFFCC"/>
          </w:tcPr>
          <w:p>
            <w:pPr>
              <w:spacing w:after="0"/>
              <w:rPr>
                <w:sz w:val="20"/>
                <w:szCs w:val="20"/>
                <w:color w:val="auto"/>
              </w:rPr>
            </w:pPr>
            <w:r>
              <w:rPr>
                <w:rFonts w:ascii="Arial" w:cs="Arial" w:eastAsia="Arial" w:hAnsi="Arial"/>
                <w:sz w:val="16"/>
                <w:szCs w:val="16"/>
                <w:color w:val="auto"/>
                <w:w w:val="91"/>
              </w:rPr>
              <w:t>Weighted average number of ordinary shares used in computing basic and diluted net loss per share</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7,791,932</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7,843,388</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25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6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2"/>
              </w:rPr>
              <w:t>Year Ended December 31, 2012</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0"/>
              <w:spacing w:after="0" w:line="168" w:lineRule="exact"/>
              <w:rPr>
                <w:sz w:val="20"/>
                <w:szCs w:val="20"/>
                <w:color w:val="auto"/>
              </w:rPr>
            </w:pPr>
            <w:r>
              <w:rPr>
                <w:rFonts w:ascii="Arial" w:cs="Arial" w:eastAsia="Arial" w:hAnsi="Arial"/>
                <w:sz w:val="16"/>
                <w:szCs w:val="16"/>
                <w:b w:val="1"/>
                <w:bCs w:val="1"/>
                <w:color w:val="auto"/>
                <w:w w:val="92"/>
              </w:rPr>
              <w:t>Pro forma</w:t>
            </w:r>
          </w:p>
        </w:tc>
        <w:tc>
          <w:tcPr>
            <w:tcW w:w="580" w:type="dxa"/>
            <w:vAlign w:val="bottom"/>
          </w:tcPr>
          <w:p>
            <w:pPr>
              <w:spacing w:after="0"/>
              <w:rPr>
                <w:sz w:val="14"/>
                <w:szCs w:val="14"/>
                <w:color w:val="auto"/>
              </w:rPr>
            </w:pPr>
          </w:p>
        </w:tc>
        <w:tc>
          <w:tcPr>
            <w:tcW w:w="1460" w:type="dxa"/>
            <w:vAlign w:val="bottom"/>
            <w:gridSpan w:val="3"/>
          </w:tcPr>
          <w:p>
            <w:pPr>
              <w:ind w:left="620"/>
              <w:spacing w:after="0" w:line="168" w:lineRule="exact"/>
              <w:rPr>
                <w:sz w:val="20"/>
                <w:szCs w:val="20"/>
                <w:color w:val="auto"/>
              </w:rPr>
            </w:pPr>
            <w:r>
              <w:rPr>
                <w:rFonts w:ascii="Arial" w:cs="Arial" w:eastAsia="Arial" w:hAnsi="Arial"/>
                <w:sz w:val="16"/>
                <w:szCs w:val="16"/>
                <w:b w:val="1"/>
                <w:bCs w:val="1"/>
                <w:color w:val="auto"/>
              </w:rPr>
              <w:t>Pro forma,</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(unaudited)</w:t>
            </w:r>
          </w:p>
        </w:tc>
        <w:tc>
          <w:tcPr>
            <w:tcW w:w="580" w:type="dxa"/>
            <w:vAlign w:val="bottom"/>
          </w:tcPr>
          <w:p>
            <w:pPr>
              <w:spacing w:after="0"/>
              <w:rPr>
                <w:sz w:val="16"/>
                <w:szCs w:val="16"/>
                <w:color w:val="auto"/>
              </w:rPr>
            </w:pPr>
          </w:p>
        </w:tc>
        <w:tc>
          <w:tcPr>
            <w:tcW w:w="1460" w:type="dxa"/>
            <w:vAlign w:val="bottom"/>
            <w:gridSpan w:val="3"/>
          </w:tcPr>
          <w:p>
            <w:pPr>
              <w:ind w:left="640"/>
              <w:spacing w:after="0"/>
              <w:rPr>
                <w:sz w:val="20"/>
                <w:szCs w:val="20"/>
                <w:color w:val="auto"/>
              </w:rPr>
            </w:pPr>
            <w:r>
              <w:rPr>
                <w:rFonts w:ascii="Arial" w:cs="Arial" w:eastAsia="Arial" w:hAnsi="Arial"/>
                <w:sz w:val="16"/>
                <w:szCs w:val="16"/>
                <w:b w:val="1"/>
                <w:bCs w:val="1"/>
                <w:color w:val="auto"/>
                <w:w w:val="90"/>
              </w:rPr>
              <w:t>as adjusted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auto"/>
              </w:rPr>
              <w:t>Actual</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7"/>
              </w:rPr>
              <w:t>(1)(2)</w:t>
            </w:r>
          </w:p>
        </w:tc>
        <w:tc>
          <w:tcPr>
            <w:tcW w:w="580" w:type="dxa"/>
            <w:vAlign w:val="bottom"/>
          </w:tcPr>
          <w:p>
            <w:pPr>
              <w:spacing w:after="0"/>
              <w:rPr>
                <w:sz w:val="18"/>
                <w:szCs w:val="18"/>
                <w:color w:val="auto"/>
              </w:rPr>
            </w:pPr>
          </w:p>
        </w:tc>
        <w:tc>
          <w:tcPr>
            <w:tcW w:w="1460" w:type="dxa"/>
            <w:vAlign w:val="bottom"/>
            <w:gridSpan w:val="3"/>
          </w:tcPr>
          <w:p>
            <w:pPr>
              <w:ind w:left="620"/>
              <w:spacing w:after="0"/>
              <w:rPr>
                <w:sz w:val="20"/>
                <w:szCs w:val="20"/>
                <w:color w:val="auto"/>
              </w:rPr>
            </w:pPr>
            <w:r>
              <w:rPr>
                <w:rFonts w:ascii="Arial" w:cs="Arial" w:eastAsia="Arial" w:hAnsi="Arial"/>
                <w:sz w:val="16"/>
                <w:szCs w:val="16"/>
                <w:b w:val="1"/>
                <w:bCs w:val="1"/>
                <w:color w:val="auto"/>
                <w:w w:val="94"/>
              </w:rPr>
              <w:t>(unaudited)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20" w:type="dxa"/>
            <w:vAlign w:val="bottom"/>
            <w:gridSpan w:val="3"/>
            <w:shd w:val="clear" w:color="auto" w:fill="CCFFCC"/>
          </w:tcPr>
          <w:p>
            <w:pPr>
              <w:ind w:left="1740"/>
              <w:spacing w:after="0"/>
              <w:rPr>
                <w:sz w:val="20"/>
                <w:szCs w:val="20"/>
                <w:color w:val="auto"/>
              </w:rPr>
            </w:pPr>
            <w:r>
              <w:rPr>
                <w:rFonts w:ascii="Arial" w:cs="Arial" w:eastAsia="Arial" w:hAnsi="Arial"/>
                <w:sz w:val="16"/>
                <w:szCs w:val="16"/>
                <w:b w:val="1"/>
                <w:bCs w:val="1"/>
                <w:color w:val="auto"/>
              </w:rPr>
              <w:t>Balance Sheet Data:</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Total long-term assets</w:t>
            </w:r>
          </w:p>
        </w:tc>
        <w:tc>
          <w:tcPr>
            <w:tcW w:w="4000" w:type="dxa"/>
            <w:vAlign w:val="bottom"/>
            <w:gridSpan w:val="2"/>
            <w:shd w:val="clear" w:color="auto" w:fill="CCFFCC"/>
          </w:tcPr>
          <w:p>
            <w:pPr>
              <w:jc w:val="right"/>
              <w:ind w:right="1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rPr>
              <w:t>21</w:t>
            </w:r>
          </w:p>
        </w:tc>
        <w:tc>
          <w:tcPr>
            <w:tcW w:w="50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Total current liabilities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rPr>
              <w:t>768</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(662)</w:t>
            </w: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Shareholders’ equity (deficiency)</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(567)</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22,876</w:t>
            </w: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89"/>
              </w:rPr>
              <w:t>22,309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580" w:hanging="296"/>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Gives effect to the mandatory conversion of our outstanding Convertible Notes on the closing of this offering.</w:t>
      </w:r>
    </w:p>
    <w:p>
      <w:pPr>
        <w:spacing w:after="0" w:line="20" w:lineRule="exact"/>
        <w:rPr>
          <w:rFonts w:ascii="Arial" w:cs="Arial" w:eastAsia="Arial" w:hAnsi="Arial"/>
          <w:sz w:val="16"/>
          <w:szCs w:val="16"/>
          <w:color w:val="auto"/>
        </w:rPr>
      </w:pPr>
    </w:p>
    <w:p>
      <w:pPr>
        <w:ind w:left="580" w:right="20" w:hanging="296"/>
        <w:spacing w:after="0" w:line="261"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Gives effect to the sale of 2,275,000 ordinary shares in this offering at the initial public offering price of $11.00 per share, after deducting underwriting discounts and commissions and estimated offering expenses payable by us, as if the sale had occurred on December 31, 2012.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188" w:lineRule="exact"/>
        <w:rPr>
          <w:sz w:val="20"/>
          <w:szCs w:val="20"/>
          <w:color w:val="auto"/>
        </w:rPr>
      </w:pPr>
    </w:p>
    <w:p>
      <w:pPr>
        <w:jc w:val="both"/>
        <w:ind w:right="20" w:firstLine="370"/>
        <w:spacing w:after="0" w:line="259" w:lineRule="auto"/>
        <w:rPr>
          <w:sz w:val="20"/>
          <w:szCs w:val="20"/>
          <w:color w:val="auto"/>
        </w:rPr>
      </w:pPr>
      <w:r>
        <w:rPr>
          <w:rFonts w:ascii="Arial" w:cs="Arial" w:eastAsia="Arial" w:hAnsi="Arial"/>
          <w:sz w:val="16"/>
          <w:szCs w:val="16"/>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Introduction</w:t>
      </w:r>
    </w:p>
    <w:p>
      <w:pPr>
        <w:spacing w:after="0" w:line="204" w:lineRule="exact"/>
        <w:rPr>
          <w:sz w:val="20"/>
          <w:szCs w:val="20"/>
          <w:color w:val="auto"/>
        </w:rPr>
      </w:pPr>
    </w:p>
    <w:p>
      <w:pPr>
        <w:jc w:val="both"/>
        <w:ind w:right="20" w:firstLine="346"/>
        <w:spacing w:after="0" w:line="256"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8" w:lineRule="exact"/>
        <w:rPr>
          <w:sz w:val="20"/>
          <w:szCs w:val="20"/>
          <w:color w:val="auto"/>
        </w:rPr>
      </w:pPr>
    </w:p>
    <w:p>
      <w:pPr>
        <w:jc w:val="both"/>
        <w:ind w:right="20" w:firstLine="346"/>
        <w:spacing w:after="0" w:line="274" w:lineRule="auto"/>
        <w:rPr>
          <w:sz w:val="20"/>
          <w:szCs w:val="20"/>
          <w:color w:val="auto"/>
        </w:rPr>
      </w:pPr>
      <w:r>
        <w:rPr>
          <w:rFonts w:ascii="Arial" w:cs="Arial" w:eastAsia="Arial" w:hAnsi="Arial"/>
          <w:sz w:val="15"/>
          <w:szCs w:val="15"/>
          <w:color w:val="auto"/>
        </w:rPr>
        <w:t>We plan to initiate discussions with the FDA within six months from the date of this prospectus to seek approval, via an IND Application submission, to conduct one or more advanced clinical trials in the United States for the use of MGO1CI to treat ADHD in adults. If such FDA approval of our IND Application is granted and if our clinical trials demonstrate the safety and efficacy of MGO1CI, we will then seek to obtain marketing approval from the FDA for MG01CI for use in adults. We have similar plans to seek marketing approval in the European Union and later in Japan. If our clinical trials for adults are successful,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59" w:lineRule="exact"/>
        <w:rPr>
          <w:sz w:val="20"/>
          <w:szCs w:val="20"/>
          <w:color w:val="auto"/>
        </w:rPr>
      </w:pPr>
    </w:p>
    <w:p>
      <w:pPr>
        <w:jc w:val="both"/>
        <w:ind w:right="20" w:firstLine="346"/>
        <w:spacing w:after="0" w:line="277" w:lineRule="auto"/>
        <w:rPr>
          <w:sz w:val="20"/>
          <w:szCs w:val="20"/>
          <w:color w:val="auto"/>
        </w:rPr>
      </w:pPr>
      <w:r>
        <w:rPr>
          <w:rFonts w:ascii="Arial" w:cs="Arial" w:eastAsia="Arial" w:hAnsi="Arial"/>
          <w:sz w:val="16"/>
          <w:szCs w:val="16"/>
          <w:color w:val="auto"/>
        </w:rPr>
        <w:t>To date, we have not generated revenue from the sale of any product, and we do not expect to generate significant revenue unless and until we obtain marketing approval of, and commercialize, MG01CI. As of December 31, 2012, we had an accumulated deficit of $8.2 million.</w:t>
      </w:r>
    </w:p>
    <w:p>
      <w:pPr>
        <w:spacing w:after="0" w:line="152" w:lineRule="exact"/>
        <w:rPr>
          <w:sz w:val="20"/>
          <w:szCs w:val="20"/>
          <w:color w:val="auto"/>
        </w:rPr>
      </w:pPr>
    </w:p>
    <w:p>
      <w:pPr>
        <w:jc w:val="both"/>
        <w:ind w:firstLine="352"/>
        <w:spacing w:after="0" w:line="289" w:lineRule="auto"/>
        <w:rPr>
          <w:sz w:val="20"/>
          <w:szCs w:val="20"/>
          <w:color w:val="auto"/>
        </w:rPr>
      </w:pPr>
      <w:r>
        <w:rPr>
          <w:rFonts w:ascii="Arial" w:cs="Arial" w:eastAsia="Arial" w:hAnsi="Arial"/>
          <w:sz w:val="15"/>
          <w:szCs w:val="15"/>
          <w:color w:val="auto"/>
        </w:rPr>
        <w:t>Our financing activities are described below under “Liquidity and Capital Resources.” We will need to raise substantial additional funds to achieve our long-term strategic objectives, including at least two Phase III clinical trials. If the results of our Phase III trials are successful, we plan to submit an NDA to the FDA. Obtaining approval of an NDA is an extensive, lengthy, expensive and uncertain process, and the FDA (and other regulatory agencies) may delay, limit or deny approval of MG01CI.</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Overview</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current operating expenses consist of two components – research and development expenses, and general and administrative expenses.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6"/>
          <w:szCs w:val="16"/>
          <w:color w:val="auto"/>
        </w:rPr>
        <w:t>Our research and development expenses consist primarily of the cost of third party clinical consultants and expenses related to conducting clinical trials, as well as salaries and related personnel expenses, travel expenses, and share-based compensation expenses to research and development employees.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ind w:left="360"/>
              <w:spacing w:after="0"/>
              <w:rPr>
                <w:sz w:val="20"/>
                <w:szCs w:val="20"/>
                <w:color w:val="auto"/>
              </w:rPr>
            </w:pPr>
            <w:r>
              <w:rPr>
                <w:rFonts w:ascii="Arial" w:cs="Arial" w:eastAsia="Arial" w:hAnsi="Arial"/>
                <w:sz w:val="16"/>
                <w:szCs w:val="16"/>
                <w:color w:val="auto"/>
                <w:w w:val="98"/>
              </w:rPr>
              <w:t>The following table discloses the breakdown of research and development expenses for the last two fiscal years.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4"/>
            <w:vMerge w:val="restart"/>
          </w:tcPr>
          <w:p>
            <w:pPr>
              <w:jc w:val="right"/>
              <w:ind w:right="25"/>
              <w:spacing w:after="0"/>
              <w:rPr>
                <w:sz w:val="20"/>
                <w:szCs w:val="20"/>
                <w:color w:val="auto"/>
              </w:rPr>
            </w:pPr>
            <w:r>
              <w:rPr>
                <w:rFonts w:ascii="Arial" w:cs="Arial" w:eastAsia="Arial" w:hAnsi="Arial"/>
                <w:sz w:val="16"/>
                <w:szCs w:val="16"/>
                <w:b w:val="1"/>
                <w:bCs w:val="1"/>
                <w:color w:val="auto"/>
                <w:w w:val="94"/>
              </w:rPr>
              <w:t>December 31,</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40" w:type="dxa"/>
            <w:vAlign w:val="bottom"/>
            <w:tcBorders>
              <w:bottom w:val="single" w:sz="8" w:color="CCFFCC"/>
            </w:tcBorders>
          </w:tcPr>
          <w:p>
            <w:pPr>
              <w:spacing w:after="0"/>
              <w:rPr>
                <w:sz w:val="16"/>
                <w:szCs w:val="16"/>
                <w:color w:val="auto"/>
              </w:rPr>
            </w:pPr>
          </w:p>
        </w:tc>
        <w:tc>
          <w:tcPr>
            <w:tcW w:w="240" w:type="dxa"/>
            <w:vAlign w:val="bottom"/>
            <w:tcBorders>
              <w:bottom w:val="single" w:sz="8" w:color="CCFFCC"/>
            </w:tcBorders>
          </w:tcPr>
          <w:p>
            <w:pPr>
              <w:spacing w:after="0"/>
              <w:rPr>
                <w:sz w:val="16"/>
                <w:szCs w:val="16"/>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180" w:type="dxa"/>
            <w:vAlign w:val="bottom"/>
            <w:tcBorders>
              <w:bottom w:val="single" w:sz="8" w:color="CCFFC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2011</w:t>
            </w:r>
          </w:p>
        </w:tc>
        <w:tc>
          <w:tcPr>
            <w:tcW w:w="20" w:type="dxa"/>
            <w:vAlign w:val="bottom"/>
            <w:tcBorders>
              <w:bottom w:val="single" w:sz="8" w:color="CCFFCC"/>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Salaries and related personnel expenses</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jc w:val="right"/>
              <w:ind w:right="72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w:t>
            </w:r>
          </w:p>
        </w:tc>
        <w:tc>
          <w:tcPr>
            <w:tcW w:w="16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161</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20"/>
                <w:szCs w:val="20"/>
                <w:color w:val="auto"/>
              </w:rPr>
            </w:pPr>
            <w:r>
              <w:rPr>
                <w:rFonts w:ascii="Arial" w:cs="Arial" w:eastAsia="Arial" w:hAnsi="Arial"/>
                <w:sz w:val="16"/>
                <w:szCs w:val="16"/>
                <w:color w:val="auto"/>
              </w:rPr>
              <w:t>Cost to third party clinical consultants and expenses related to conducting clinical trials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663</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20"/>
                <w:szCs w:val="20"/>
                <w:color w:val="auto"/>
              </w:rPr>
            </w:pPr>
            <w:r>
              <w:rPr>
                <w:rFonts w:ascii="Arial" w:cs="Arial" w:eastAsia="Arial" w:hAnsi="Arial"/>
                <w:sz w:val="16"/>
                <w:szCs w:val="16"/>
                <w:color w:val="auto"/>
              </w:rPr>
              <w:t>Travel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4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Represents an amount less than $1.</w:t>
      </w:r>
    </w:p>
    <w:p>
      <w:pPr>
        <w:spacing w:after="0" w:line="20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We expect that our research and development expenses will increase as we conduct at least two Phase III clinical trials that are broader than our Phase II trial prior to submitting an NDA to the FDA. The Company plans to launch two Phase III trials in adults with ADHD, each including 250 patients, in 2014, as well as a Phase I/II pediatric study in 2014.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0"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General and administrative expenses consist primarily of salary and compensation costs paid to our CEO, share- based compensation expenses, payments to our CFO, professional service fees for accounting, legal, bookkeeping and facilities costs (including rent expense for our facility in Tel Aviv Israel), and depreciation expenses.</w:t>
      </w:r>
    </w:p>
    <w:p>
      <w:pPr>
        <w:spacing w:after="0" w:line="128"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We expect our general and administrative expenses, such as accounting and legal fees, to increase after we become a U.S. public company, and we expect increases in the number of our executive, accounting and administrative personnel due to the anticipated growth of our company.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Expense and Income</w:t>
      </w:r>
    </w:p>
    <w:p>
      <w:pPr>
        <w:spacing w:after="0" w:line="204"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Financial expense and income consist of bank fees and other transactional costs, exchange rate differences, financial expenses related to our outstanding convertible notes and interest earned on our cash, cash equivalents and short-term bank deposits.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163"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Critical Accounting Policies and Estimate</w:t>
      </w:r>
    </w:p>
    <w:p>
      <w:pPr>
        <w:spacing w:after="0" w:line="204" w:lineRule="exact"/>
        <w:rPr>
          <w:sz w:val="20"/>
          <w:szCs w:val="20"/>
          <w:color w:val="auto"/>
        </w:rPr>
      </w:pPr>
    </w:p>
    <w:p>
      <w:pPr>
        <w:jc w:val="both"/>
        <w:ind w:right="20" w:firstLine="346"/>
        <w:spacing w:after="0" w:line="277" w:lineRule="auto"/>
        <w:rPr>
          <w:sz w:val="20"/>
          <w:szCs w:val="20"/>
          <w:color w:val="auto"/>
        </w:rPr>
      </w:pPr>
      <w:r>
        <w:rPr>
          <w:rFonts w:ascii="Arial" w:cs="Arial" w:eastAsia="Arial" w:hAnsi="Arial"/>
          <w:sz w:val="16"/>
          <w:szCs w:val="16"/>
          <w:color w:val="auto"/>
        </w:rPr>
        <w:t>We describe our significant accounting policies more fully in Note 2 to our financial statements for the year ended December 31, 2012. We believe that the accounting policies below are critical in order to fully understand and evaluate our financial condition and results of operations.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prepare our financial statements in accordance with accounting principles generally accepted in the United States ("U.S. GAAP").</w:t>
      </w:r>
    </w:p>
    <w:p>
      <w:pPr>
        <w:spacing w:after="0" w:line="200" w:lineRule="exact"/>
        <w:rPr>
          <w:sz w:val="20"/>
          <w:szCs w:val="20"/>
          <w:color w:val="auto"/>
        </w:rPr>
      </w:pPr>
    </w:p>
    <w:p>
      <w:pPr>
        <w:jc w:val="both"/>
        <w:ind w:right="20" w:firstLine="346"/>
        <w:spacing w:after="0" w:line="259"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JOBS Act</w:t>
      </w:r>
    </w:p>
    <w:p>
      <w:pPr>
        <w:spacing w:after="0" w:line="20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6"/>
          <w:szCs w:val="16"/>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w:t>
      </w:r>
    </w:p>
    <w:p>
      <w:pPr>
        <w:spacing w:after="0" w:line="167"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6"/>
          <w:szCs w:val="16"/>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and Fair Value of Ordinary Shares</w:t>
      </w:r>
    </w:p>
    <w:p>
      <w:pPr>
        <w:spacing w:after="0" w:line="200" w:lineRule="exact"/>
        <w:rPr>
          <w:sz w:val="20"/>
          <w:szCs w:val="20"/>
          <w:color w:val="auto"/>
        </w:rPr>
      </w:pPr>
    </w:p>
    <w:p>
      <w:pPr>
        <w:ind w:right="80" w:firstLine="346"/>
        <w:spacing w:after="0" w:line="259" w:lineRule="auto"/>
        <w:rPr>
          <w:sz w:val="20"/>
          <w:szCs w:val="20"/>
          <w:color w:val="auto"/>
        </w:rPr>
      </w:pPr>
      <w:r>
        <w:rPr>
          <w:rFonts w:ascii="Arial" w:cs="Arial" w:eastAsia="Arial" w:hAnsi="Arial"/>
          <w:sz w:val="16"/>
          <w:szCs w:val="16"/>
          <w:color w:val="auto"/>
        </w:rPr>
        <w:t>We account for stock-based compensation in accordance with ASC 718, “Compensation - Stock Compensation,”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straight-line method over the requisite service period of each of the awards.</w:t>
      </w:r>
    </w:p>
    <w:p>
      <w:pPr>
        <w:spacing w:after="0" w:line="167" w:lineRule="exact"/>
        <w:rPr>
          <w:sz w:val="20"/>
          <w:szCs w:val="20"/>
          <w:color w:val="auto"/>
        </w:rPr>
      </w:pPr>
    </w:p>
    <w:p>
      <w:pPr>
        <w:ind w:right="140" w:firstLine="346"/>
        <w:spacing w:after="0" w:line="277" w:lineRule="auto"/>
        <w:rPr>
          <w:sz w:val="20"/>
          <w:szCs w:val="20"/>
          <w:color w:val="auto"/>
        </w:rPr>
      </w:pPr>
      <w:r>
        <w:rPr>
          <w:rFonts w:ascii="Arial" w:cs="Arial" w:eastAsia="Arial" w:hAnsi="Arial"/>
          <w:sz w:val="16"/>
          <w:szCs w:val="16"/>
          <w:color w:val="auto"/>
        </w:rPr>
        <w:t>We selected the Black-Scholes-Merton ("Black-Scholes") option-pricing model as a fair value method for our options awards. The option-pricing model requires a number of assumptions:</w:t>
      </w:r>
    </w:p>
    <w:p>
      <w:pPr>
        <w:spacing w:after="0" w:line="152" w:lineRule="exact"/>
        <w:rPr>
          <w:sz w:val="20"/>
          <w:szCs w:val="20"/>
          <w:color w:val="auto"/>
        </w:rPr>
      </w:pPr>
    </w:p>
    <w:p>
      <w:pPr>
        <w:ind w:left="560" w:right="640"/>
        <w:spacing w:after="0" w:line="277" w:lineRule="auto"/>
        <w:rPr>
          <w:sz w:val="20"/>
          <w:szCs w:val="20"/>
          <w:color w:val="auto"/>
        </w:rPr>
      </w:pPr>
      <w:r>
        <w:rPr>
          <w:rFonts w:ascii="Arial" w:cs="Arial" w:eastAsia="Arial" w:hAnsi="Arial"/>
          <w:sz w:val="16"/>
          <w:szCs w:val="16"/>
          <w:i w:val="1"/>
          <w:iCs w:val="1"/>
          <w:color w:val="auto"/>
        </w:rPr>
        <w:t xml:space="preserve">Expected dividend yield </w:t>
      </w:r>
      <w:r>
        <w:rPr>
          <w:rFonts w:ascii="Arial" w:cs="Arial" w:eastAsia="Arial" w:hAnsi="Arial"/>
          <w:sz w:val="16"/>
          <w:szCs w:val="16"/>
          <w:color w:val="auto"/>
        </w:rPr>
        <w:t>- The expected dividend yield assumption is based on our historical experience and expectation of no future dividend payouts.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not paid cash dividends and have no foreseeable plans to pay cash dividends in the future.</w:t>
      </w:r>
    </w:p>
    <w:p>
      <w:pPr>
        <w:spacing w:after="0" w:line="152" w:lineRule="exact"/>
        <w:rPr>
          <w:sz w:val="20"/>
          <w:szCs w:val="20"/>
          <w:color w:val="auto"/>
        </w:rPr>
      </w:pPr>
    </w:p>
    <w:p>
      <w:pPr>
        <w:ind w:left="560" w:right="200"/>
        <w:spacing w:after="0" w:line="277" w:lineRule="auto"/>
        <w:rPr>
          <w:sz w:val="20"/>
          <w:szCs w:val="20"/>
          <w:color w:val="auto"/>
        </w:rPr>
      </w:pPr>
      <w:r>
        <w:rPr>
          <w:rFonts w:ascii="Arial" w:cs="Arial" w:eastAsia="Arial" w:hAnsi="Arial"/>
          <w:sz w:val="16"/>
          <w:szCs w:val="16"/>
          <w:i w:val="1"/>
          <w:iCs w:val="1"/>
          <w:color w:val="auto"/>
        </w:rPr>
        <w:t xml:space="preserve">Volatility - </w:t>
      </w:r>
      <w:r>
        <w:rPr>
          <w:rFonts w:ascii="Arial" w:cs="Arial" w:eastAsia="Arial" w:hAnsi="Arial"/>
          <w:sz w:val="16"/>
          <w:szCs w:val="16"/>
          <w:color w:val="auto"/>
        </w:rPr>
        <w:t>Since the Company is not traded on any stock exchange market, quoted prices of our shares are unavailable. According to ASC 718-10-30-20, in case of no</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data for a company, the expected volatility was based on similar companies' stock volatility.</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Risk free interest rate </w:t>
      </w:r>
      <w:r>
        <w:rPr>
          <w:rFonts w:ascii="Arial" w:cs="Arial" w:eastAsia="Arial" w:hAnsi="Arial"/>
          <w:sz w:val="16"/>
          <w:szCs w:val="16"/>
          <w:color w:val="auto"/>
        </w:rPr>
        <w:t>- The risk free interest rate is based on the yield of U.S. Treasury bonds with equivalent terms.</w:t>
      </w:r>
    </w:p>
    <w:p>
      <w:pPr>
        <w:spacing w:after="0" w:line="200" w:lineRule="exact"/>
        <w:rPr>
          <w:sz w:val="20"/>
          <w:szCs w:val="20"/>
          <w:color w:val="auto"/>
        </w:rPr>
      </w:pPr>
    </w:p>
    <w:p>
      <w:pPr>
        <w:ind w:left="560" w:right="80"/>
        <w:spacing w:after="0" w:line="278"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ASC 718 provides the factors to consider when estimating the expected term of an option: An option’s expected term must at least include the vesting</w:t>
      </w:r>
      <w:r>
        <w:rPr>
          <w:rFonts w:ascii="Arial" w:cs="Arial" w:eastAsia="Arial" w:hAnsi="Arial"/>
          <w:sz w:val="15"/>
          <w:szCs w:val="15"/>
          <w:i w:val="1"/>
          <w:iCs w:val="1"/>
          <w:color w:val="auto"/>
        </w:rPr>
        <w:t xml:space="preserve"> </w:t>
      </w:r>
      <w:r>
        <w:rPr>
          <w:rFonts w:ascii="Arial" w:cs="Arial" w:eastAsia="Arial" w:hAnsi="Arial"/>
          <w:sz w:val="15"/>
          <w:szCs w:val="15"/>
          <w:color w:val="auto"/>
        </w:rPr>
        <w:t>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we used the "simplified" method, meaning the expected life is set as the average of the vesting period for each vested tranche of options and the contractual term for those options.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5" w:name="page36"/>
    <w:bookmarkEnd w:id="35"/>
    <w:p>
      <w:pPr>
        <w:jc w:val="both"/>
        <w:ind w:left="560"/>
        <w:spacing w:after="0" w:line="277" w:lineRule="auto"/>
        <w:rPr>
          <w:sz w:val="20"/>
          <w:szCs w:val="20"/>
          <w:color w:val="auto"/>
        </w:rPr>
      </w:pPr>
      <w:r>
        <w:rPr>
          <w:rFonts w:ascii="Arial" w:cs="Arial" w:eastAsia="Arial" w:hAnsi="Arial"/>
          <w:sz w:val="16"/>
          <w:szCs w:val="16"/>
          <w:i w:val="1"/>
          <w:iCs w:val="1"/>
          <w:color w:val="auto"/>
        </w:rPr>
        <w:t xml:space="preserve">Share price </w:t>
      </w:r>
      <w:r>
        <w:rPr>
          <w:rFonts w:ascii="Arial" w:cs="Arial" w:eastAsia="Arial" w:hAnsi="Arial"/>
          <w:sz w:val="16"/>
          <w:szCs w:val="16"/>
          <w:color w:val="auto"/>
        </w:rPr>
        <w:t>- Because there has been no public market for our ordinary shares, the fair value of the ordinary shares underlying the options had been determined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using the assistance of an independent valuation firm.</w:t>
      </w:r>
    </w:p>
    <w:p>
      <w:pPr>
        <w:spacing w:after="0" w:line="152" w:lineRule="exact"/>
        <w:rPr>
          <w:sz w:val="20"/>
          <w:szCs w:val="20"/>
          <w:color w:val="auto"/>
        </w:rPr>
      </w:pPr>
    </w:p>
    <w:p>
      <w:pPr>
        <w:jc w:val="both"/>
        <w:ind w:left="560"/>
        <w:spacing w:after="0" w:line="257" w:lineRule="auto"/>
        <w:rPr>
          <w:sz w:val="20"/>
          <w:szCs w:val="20"/>
          <w:color w:val="auto"/>
        </w:rPr>
      </w:pPr>
      <w:r>
        <w:rPr>
          <w:rFonts w:ascii="Arial" w:cs="Arial" w:eastAsia="Arial" w:hAnsi="Arial"/>
          <w:sz w:val="16"/>
          <w:szCs w:val="16"/>
          <w:color w:val="auto"/>
        </w:rPr>
        <w:t>We did not grant options to employees or directors in 2011 and 2012 (other than two grants as stated in Note 9(c) to the financial statements included herein, for which no compensation expense was recorded). For options granted up until December 31, 2010, the fair value of the ordinary shares was based on the application of Option-Pricing Method ("OPM"). The first step in performing a valuation using OPM involves estimating the present value of the total shareholders’ equity (preferred and Ordinary). As part of our analysis, we used recent investment rounds, respectively to the option valuation dates, in our shares in order to evaluate the present value of our total shareholders' equity.</w:t>
      </w:r>
    </w:p>
    <w:p>
      <w:pPr>
        <w:spacing w:after="0" w:line="168" w:lineRule="exact"/>
        <w:rPr>
          <w:sz w:val="20"/>
          <w:szCs w:val="20"/>
          <w:color w:val="auto"/>
        </w:rPr>
      </w:pPr>
    </w:p>
    <w:p>
      <w:pPr>
        <w:ind w:left="560" w:right="40"/>
        <w:spacing w:after="0" w:line="257" w:lineRule="auto"/>
        <w:rPr>
          <w:sz w:val="20"/>
          <w:szCs w:val="20"/>
          <w:color w:val="auto"/>
        </w:rPr>
      </w:pPr>
      <w:r>
        <w:rPr>
          <w:rFonts w:ascii="Arial" w:cs="Arial" w:eastAsia="Arial" w:hAnsi="Arial"/>
          <w:sz w:val="16"/>
          <w:szCs w:val="16"/>
          <w:color w:val="auto"/>
        </w:rPr>
        <w:t>Under the option-pricing method, we estimated the fair value of the ordinary shares as the net value of a series of call options, representing the present value of the expected future returns to the Ordinary shareholders. Essentially, the rights of the Ordinary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its share in each of these call option rights.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440" w:type="dxa"/>
            <w:vAlign w:val="bottom"/>
          </w:tcPr>
          <w:p>
            <w:pPr>
              <w:ind w:left="4960"/>
              <w:spacing w:after="0"/>
              <w:rPr>
                <w:sz w:val="20"/>
                <w:szCs w:val="20"/>
                <w:color w:val="auto"/>
              </w:rPr>
            </w:pPr>
            <w:r>
              <w:rPr>
                <w:rFonts w:ascii="Arial" w:cs="Arial" w:eastAsia="Arial" w:hAnsi="Arial"/>
                <w:sz w:val="16"/>
                <w:szCs w:val="16"/>
                <w:b w:val="1"/>
                <w:bCs w:val="1"/>
                <w:color w:val="auto"/>
              </w:rPr>
              <w:t>Results of Operations</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rPr>
              <w:t>December 31, 2012</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rPr>
              <w:t>(in thousands US$)</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Research and development expenses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818</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1,822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General and administrative expenses</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683</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2,084</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Operating loss</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1,501</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3,906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 net</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Net Comprehensive loss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1,579</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Deemed dividend</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Net loss attributable to holders of ordinary shares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1,579</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Comparison of the Year Ended December 31, 2012 to the Year Ended December 31, 2011</w:t>
            </w:r>
          </w:p>
        </w:tc>
        <w:tc>
          <w:tcPr>
            <w:tcW w:w="1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4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0"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Our research and development expenses amounted to $818,000 for the year ended December 31, 2012, representing a decrease of $1,004,000, or 55%, compared to $1,822,000 for the year ended December 31, 2011. The decrease in our research and development expenses in 2012 resulted partially from a decrease in available funds, but primarily from a decrease in research and development activity that took place once our clinical trials were completed. Following clinical trial completion, research and development is limited to clinical study report writing, regulatory preparation and document collection, and study data presentations. Payroll related expenses decreased $105,000, reflecting a decrease in the number of employees engaged in research and development related activities from four to one, and third party clinical consultants and expenses related to conducting clinical trials decreased $801,000 due to a decrease in our clinical trials.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0"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Our general and administrative expenses totaled $683,000 for the year ended December 31, 2012, a decrease of $1,401,000, or 67%, compared to $2,084,000 for the year ended December 31, 2011. In 2011, we recorded share based compensation expenses in the amount of $1,535,000. This reduction was offset by an increase of $113,000 in professional services and an additional increase of $52,000 in travel expenses.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loss</w:t>
      </w:r>
    </w:p>
    <w:p>
      <w:pPr>
        <w:spacing w:after="0" w:line="20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As a result of the foregoing, our operating loss for the year ended December 31, 2012 was $1,501,000, as compared to an operating loss of $3,906,000 for the year ended December 31, 2011, a decrease of $2,405,000, or 62%.</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expense</w:t>
      </w:r>
    </w:p>
    <w:p>
      <w:pPr>
        <w:spacing w:after="0" w:line="20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We recognized financial expenses of $78,000 for the year ended December 31, 2012, representing an increase of $55,000, or 239%, compared to financial expenses of $23,000 for the year ended December 31, 2011.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w:t>
      </w:r>
    </w:p>
    <w:p>
      <w:pPr>
        <w:spacing w:after="0" w:line="200" w:lineRule="exact"/>
        <w:rPr>
          <w:sz w:val="20"/>
          <w:szCs w:val="20"/>
          <w:color w:val="auto"/>
        </w:rPr>
      </w:pPr>
    </w:p>
    <w:p>
      <w:pPr>
        <w:jc w:val="both"/>
        <w:ind w:firstLine="617"/>
        <w:spacing w:after="0" w:line="277" w:lineRule="auto"/>
        <w:rPr>
          <w:sz w:val="20"/>
          <w:szCs w:val="20"/>
          <w:color w:val="auto"/>
        </w:rPr>
      </w:pPr>
      <w:r>
        <w:rPr>
          <w:rFonts w:ascii="Arial" w:cs="Arial" w:eastAsia="Arial" w:hAnsi="Arial"/>
          <w:sz w:val="16"/>
          <w:szCs w:val="16"/>
          <w:color w:val="auto"/>
        </w:rPr>
        <w:t>As a result of the foregoing, our loss for the year ended December 31, 2012 was $1,579,000, as compared to $3,929,000 for the year ended December 31, 2011, a decrease of $2,350,000, or 60%.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Since our inception through December 31, 2012, we have funded our operations principally with $5.8 million from the sale of ordinary shares, preferred shares and convertible loans. As of December 31, 2012, we had $97,000 in cash and cash equivalents.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Years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8"/>
              </w:rPr>
              <w:t>December 31,</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6"/>
                <w:szCs w:val="16"/>
                <w:b w:val="1"/>
                <w:bCs w:val="1"/>
                <w:color w:val="auto"/>
                <w:w w:val="87"/>
              </w:rPr>
              <w:t>(in thousands US$)</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Operating activities</w:t>
            </w:r>
          </w:p>
        </w:tc>
        <w:tc>
          <w:tcPr>
            <w:tcW w:w="3400" w:type="dxa"/>
            <w:vAlign w:val="bottom"/>
            <w:gridSpan w:val="2"/>
            <w:shd w:val="clear" w:color="auto" w:fill="CCFFCC"/>
          </w:tcPr>
          <w:p>
            <w:pPr>
              <w:jc w:val="right"/>
              <w:ind w:right="6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94"/>
              </w:rPr>
              <w:t>(1,585)</w:t>
            </w:r>
          </w:p>
        </w:tc>
        <w:tc>
          <w:tcPr>
            <w:tcW w:w="940" w:type="dxa"/>
            <w:vAlign w:val="bottom"/>
            <w:shd w:val="clear" w:color="auto" w:fill="CCFFCC"/>
          </w:tcPr>
          <w:p>
            <w:pPr>
              <w:jc w:val="right"/>
              <w:ind w:right="6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94"/>
              </w:rPr>
              <w:t>(2,361)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Investing activities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1,026</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94"/>
              </w:rPr>
              <w:t>(1,041)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Financing activities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601</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2,620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Net increase (decrease) in cash and cash equivalents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42</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00" w:lineRule="exact"/>
        <w:rPr>
          <w:sz w:val="20"/>
          <w:szCs w:val="20"/>
          <w:color w:val="auto"/>
        </w:rPr>
      </w:pPr>
    </w:p>
    <w:p>
      <w:pPr>
        <w:jc w:val="both"/>
        <w:ind w:firstLine="577"/>
        <w:spacing w:after="0" w:line="282" w:lineRule="auto"/>
        <w:rPr>
          <w:sz w:val="20"/>
          <w:szCs w:val="20"/>
          <w:color w:val="auto"/>
        </w:rPr>
      </w:pPr>
      <w:r>
        <w:rPr>
          <w:rFonts w:ascii="Arial" w:cs="Arial" w:eastAsia="Arial" w:hAnsi="Arial"/>
          <w:sz w:val="15"/>
          <w:szCs w:val="15"/>
          <w:color w:val="auto"/>
        </w:rPr>
        <w:t>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 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Net cash used in investing activities during 2011 was $1 million primarily reflected our use of cash to invest in short-term bank deposits, and increase in restricted bank deposits. In 2012, we withdrew these deposits into cash.</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00" w:lineRule="exact"/>
        <w:rPr>
          <w:sz w:val="20"/>
          <w:szCs w:val="20"/>
          <w:color w:val="auto"/>
        </w:rPr>
      </w:pPr>
    </w:p>
    <w:p>
      <w:pPr>
        <w:jc w:val="both"/>
        <w:ind w:right="20" w:firstLine="577"/>
        <w:spacing w:after="0" w:line="351" w:lineRule="auto"/>
        <w:rPr>
          <w:sz w:val="20"/>
          <w:szCs w:val="20"/>
          <w:color w:val="auto"/>
        </w:rPr>
      </w:pPr>
      <w:r>
        <w:rPr>
          <w:rFonts w:ascii="Arial" w:cs="Arial" w:eastAsia="Arial" w:hAnsi="Arial"/>
          <w:sz w:val="14"/>
          <w:szCs w:val="14"/>
          <w:color w:val="auto"/>
        </w:rPr>
        <w:t>Net cash provided by financing activities in the year ended December 31, 2011 consisted of $2.1 million of net proceeds from issuance of ordinary shares, and $0.5 million of proceeds from loans. Net cash provided by financing activities in the year ended December 31, 2012 consisted of $0.6 million of net proceeds from convertible notes.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Outlook</w:t>
      </w:r>
    </w:p>
    <w:p>
      <w:pPr>
        <w:spacing w:after="0" w:line="200"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Our independent registered public accounting firm’s report to our financial reports for the fiscal year ended December 31, 2012, states that there is a substantial doubt that we will be able to continue as a going concern. Furthermore, according to our estimates, based on our budget, if we are not successful in obtaining additional capital resources, there is a substantial doubt that we will be able to continue our activities after June 30, 2013. Even if we are able to raise funds in the offering contemplated herein, we believe that we will need to raise additional funds before we have any cash flow from operations.</w:t>
      </w:r>
    </w:p>
    <w:p>
      <w:pPr>
        <w:spacing w:after="0" w:line="167"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We believe that our existing cash resources and the net proceeds from the current offering will be sufficient to fund our projected cash requirements approximately through the conclusion of 2015. Nevertheless, we will require significant additional financing in the future to fund our operations if and when we obtain regulatory approval of MG01CI and commercialize the drug. We currently anticipate that, assuming consummation of the current offering, we will utilize approximately $16 million for clinical trial activities over the course of the next 30 months. We also anticipate utilizing approximately between $1 million to $3 million for capital expenditures over such 30-month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8" w:name="page39"/>
    <w:bookmarkEnd w:id="38"/>
    <w:p>
      <w:pPr>
        <w:ind w:left="860" w:hanging="287"/>
        <w:spacing w:after="0"/>
        <w:tabs>
          <w:tab w:leader="none" w:pos="860" w:val="left"/>
        </w:tabs>
        <w:numPr>
          <w:ilvl w:val="0"/>
          <w:numId w:val="37"/>
        </w:numPr>
        <w:rPr>
          <w:rFonts w:ascii="Arial" w:cs="Arial" w:eastAsia="Arial" w:hAnsi="Arial"/>
          <w:sz w:val="16"/>
          <w:szCs w:val="16"/>
          <w:color w:val="A6A6A6"/>
        </w:rPr>
      </w:pPr>
      <w:r>
        <w:rPr>
          <w:rFonts w:ascii="Arial" w:cs="Arial" w:eastAsia="Arial" w:hAnsi="Arial"/>
          <w:sz w:val="16"/>
          <w:szCs w:val="16"/>
          <w:color w:val="auto"/>
        </w:rPr>
        <w:t>the progress and costs of our preclinical studies, clinical trials and other research and development activities;</w:t>
      </w:r>
    </w:p>
    <w:p>
      <w:pPr>
        <w:spacing w:after="0" w:line="20" w:lineRule="exact"/>
        <w:rPr>
          <w:rFonts w:ascii="Arial" w:cs="Arial" w:eastAsia="Arial" w:hAnsi="Arial"/>
          <w:sz w:val="16"/>
          <w:szCs w:val="16"/>
          <w:color w:val="A6A6A6"/>
        </w:rPr>
      </w:pPr>
    </w:p>
    <w:p>
      <w:pPr>
        <w:ind w:left="860" w:hanging="287"/>
        <w:spacing w:after="0"/>
        <w:tabs>
          <w:tab w:leader="none" w:pos="860" w:val="left"/>
        </w:tabs>
        <w:numPr>
          <w:ilvl w:val="0"/>
          <w:numId w:val="37"/>
        </w:numPr>
        <w:rPr>
          <w:rFonts w:ascii="Arial" w:cs="Arial" w:eastAsia="Arial" w:hAnsi="Arial"/>
          <w:sz w:val="16"/>
          <w:szCs w:val="16"/>
          <w:color w:val="A6A6A6"/>
        </w:rPr>
      </w:pPr>
      <w:r>
        <w:rPr>
          <w:rFonts w:ascii="Arial" w:cs="Arial" w:eastAsia="Arial" w:hAnsi="Arial"/>
          <w:sz w:val="16"/>
          <w:szCs w:val="16"/>
          <w:color w:val="auto"/>
        </w:rPr>
        <w:t>the scope, prioritization and number of our clinical trials and other research and development programs;</w:t>
      </w:r>
    </w:p>
    <w:p>
      <w:pPr>
        <w:spacing w:after="0" w:line="8" w:lineRule="exact"/>
        <w:rPr>
          <w:rFonts w:ascii="Arial" w:cs="Arial" w:eastAsia="Arial" w:hAnsi="Arial"/>
          <w:sz w:val="16"/>
          <w:szCs w:val="16"/>
          <w:color w:val="A6A6A6"/>
        </w:rPr>
      </w:pPr>
    </w:p>
    <w:p>
      <w:pPr>
        <w:ind w:left="860" w:hanging="287"/>
        <w:spacing w:after="0"/>
        <w:tabs>
          <w:tab w:leader="none" w:pos="860" w:val="left"/>
        </w:tabs>
        <w:numPr>
          <w:ilvl w:val="0"/>
          <w:numId w:val="37"/>
        </w:numPr>
        <w:rPr>
          <w:rFonts w:ascii="Arial" w:cs="Arial" w:eastAsia="Arial" w:hAnsi="Arial"/>
          <w:sz w:val="16"/>
          <w:szCs w:val="16"/>
          <w:color w:val="A6A6A6"/>
        </w:rPr>
      </w:pPr>
      <w:r>
        <w:rPr>
          <w:rFonts w:ascii="Arial" w:cs="Arial" w:eastAsia="Arial" w:hAnsi="Arial"/>
          <w:sz w:val="16"/>
          <w:szCs w:val="16"/>
          <w:color w:val="auto"/>
        </w:rPr>
        <w:t>the costs and timing of obtaining regulatory approval for our drug candidate;</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the costs of filing, prosecuting, enforcing and defending patent claims and other intellectual property rights;</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5"/>
          <w:szCs w:val="15"/>
          <w:color w:val="A6A6A6"/>
        </w:rPr>
      </w:pPr>
      <w:r>
        <w:rPr>
          <w:rFonts w:ascii="Arial" w:cs="Arial" w:eastAsia="Arial" w:hAnsi="Arial"/>
          <w:sz w:val="15"/>
          <w:szCs w:val="15"/>
          <w:color w:val="auto"/>
        </w:rPr>
        <w:t>the costs of, and timing for, strengthening our manufacturing agreements for production of sufficient clinical and commercial quantities of our drug candidate;</w:t>
      </w:r>
    </w:p>
    <w:p>
      <w:pPr>
        <w:spacing w:after="0" w:line="19" w:lineRule="exact"/>
        <w:rPr>
          <w:rFonts w:ascii="Arial" w:cs="Arial" w:eastAsia="Arial" w:hAnsi="Arial"/>
          <w:sz w:val="15"/>
          <w:szCs w:val="15"/>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the potential costs of contracting with third parties to provide marketing and distribution services for us or for building such capacities internally;</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5"/>
          <w:szCs w:val="15"/>
          <w:color w:val="A6A6A6"/>
        </w:rPr>
      </w:pPr>
      <w:r>
        <w:rPr>
          <w:rFonts w:ascii="Arial" w:cs="Arial" w:eastAsia="Arial" w:hAnsi="Arial"/>
          <w:sz w:val="15"/>
          <w:szCs w:val="15"/>
          <w:color w:val="auto"/>
        </w:rPr>
        <w:t>the costs of acquiring or undertaking the development and commercialization efforts for additional, future therapeutic applications of our drug candidate;</w:t>
      </w:r>
    </w:p>
    <w:p>
      <w:pPr>
        <w:spacing w:after="0" w:line="19" w:lineRule="exact"/>
        <w:rPr>
          <w:rFonts w:ascii="Arial" w:cs="Arial" w:eastAsia="Arial" w:hAnsi="Arial"/>
          <w:sz w:val="15"/>
          <w:szCs w:val="15"/>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the magnitude of our general and administrative expenses;</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any cost that we may incur under current and future in- and out-licensing arrangements relating to our drug candidate; and</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payments to the OCS.</w:t>
      </w:r>
    </w:p>
    <w:p>
      <w:pPr>
        <w:spacing w:after="0" w:line="188"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5"/>
          <w:szCs w:val="15"/>
          <w:color w:val="auto"/>
        </w:rPr>
        <w:t>Until we can generate significant recurring revenues, we expect to satisfy our future cash needs through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 This may raise substantial doubts about the Company’s ability to continue as a going concern.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Contractual Obligations</w:t>
            </w: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4"/>
        </w:trPr>
        <w:tc>
          <w:tcPr>
            <w:tcW w:w="6720" w:type="dxa"/>
            <w:vAlign w:val="bottom"/>
            <w:gridSpan w:val="4"/>
          </w:tcPr>
          <w:p>
            <w:pPr>
              <w:jc w:val="right"/>
              <w:ind w:right="20"/>
              <w:spacing w:after="0"/>
              <w:rPr>
                <w:sz w:val="20"/>
                <w:szCs w:val="20"/>
                <w:color w:val="auto"/>
              </w:rPr>
            </w:pPr>
            <w:r>
              <w:rPr>
                <w:rFonts w:ascii="Arial" w:cs="Arial" w:eastAsia="Arial" w:hAnsi="Arial"/>
                <w:sz w:val="16"/>
                <w:szCs w:val="16"/>
                <w:color w:val="auto"/>
              </w:rPr>
              <w:t>The following table summarizes our significant contractual obligations at December 31, 2012:</w:t>
            </w: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6"/>
        </w:trPr>
        <w:tc>
          <w:tcPr>
            <w:tcW w:w="3680" w:type="dxa"/>
            <w:vAlign w:val="bottom"/>
          </w:tcPr>
          <w:p>
            <w:pPr>
              <w:spacing w:after="0"/>
              <w:rPr>
                <w:sz w:val="24"/>
                <w:szCs w:val="24"/>
                <w:color w:val="auto"/>
              </w:rPr>
            </w:pPr>
          </w:p>
        </w:tc>
        <w:tc>
          <w:tcPr>
            <w:tcW w:w="940" w:type="dxa"/>
            <w:vAlign w:val="bottom"/>
          </w:tcPr>
          <w:p>
            <w:pPr>
              <w:ind w:left="460"/>
              <w:spacing w:after="0"/>
              <w:rPr>
                <w:sz w:val="20"/>
                <w:szCs w:val="20"/>
                <w:color w:val="auto"/>
              </w:rPr>
            </w:pPr>
            <w:r>
              <w:rPr>
                <w:rFonts w:ascii="Arial" w:cs="Arial" w:eastAsia="Arial" w:hAnsi="Arial"/>
                <w:sz w:val="16"/>
                <w:szCs w:val="16"/>
                <w:color w:val="auto"/>
              </w:rPr>
              <w:t>Total</w:t>
            </w:r>
          </w:p>
        </w:tc>
        <w:tc>
          <w:tcPr>
            <w:tcW w:w="560" w:type="dxa"/>
            <w:vAlign w:val="bottom"/>
          </w:tcPr>
          <w:p>
            <w:pPr>
              <w:spacing w:after="0"/>
              <w:rPr>
                <w:sz w:val="24"/>
                <w:szCs w:val="24"/>
                <w:color w:val="auto"/>
              </w:rPr>
            </w:pP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Less than 1 year</w:t>
            </w:r>
          </w:p>
        </w:tc>
        <w:tc>
          <w:tcPr>
            <w:tcW w:w="1760" w:type="dxa"/>
            <w:vAlign w:val="bottom"/>
          </w:tcPr>
          <w:p>
            <w:pPr>
              <w:jc w:val="right"/>
              <w:ind w:right="580"/>
              <w:spacing w:after="0"/>
              <w:rPr>
                <w:sz w:val="20"/>
                <w:szCs w:val="20"/>
                <w:color w:val="auto"/>
              </w:rPr>
            </w:pPr>
            <w:r>
              <w:rPr>
                <w:rFonts w:ascii="Arial" w:cs="Arial" w:eastAsia="Arial" w:hAnsi="Arial"/>
                <w:sz w:val="16"/>
                <w:szCs w:val="16"/>
                <w:color w:val="auto"/>
              </w:rPr>
              <w:t>1-3 years</w:t>
            </w:r>
          </w:p>
        </w:tc>
        <w:tc>
          <w:tcPr>
            <w:tcW w:w="1440" w:type="dxa"/>
            <w:vAlign w:val="bottom"/>
          </w:tcPr>
          <w:p>
            <w:pPr>
              <w:jc w:val="right"/>
              <w:ind w:right="440"/>
              <w:spacing w:after="0"/>
              <w:rPr>
                <w:sz w:val="20"/>
                <w:szCs w:val="20"/>
                <w:color w:val="auto"/>
              </w:rPr>
            </w:pPr>
            <w:r>
              <w:rPr>
                <w:rFonts w:ascii="Arial" w:cs="Arial" w:eastAsia="Arial" w:hAnsi="Arial"/>
                <w:sz w:val="16"/>
                <w:szCs w:val="16"/>
                <w:color w:val="auto"/>
              </w:rPr>
              <w:t>3-5 years</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More than 5 years</w:t>
            </w:r>
          </w:p>
        </w:tc>
      </w:tr>
      <w:tr>
        <w:trPr>
          <w:trHeight w:val="184"/>
        </w:trPr>
        <w:tc>
          <w:tcPr>
            <w:tcW w:w="36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(in thousands US$)</w:t>
            </w:r>
          </w:p>
        </w:tc>
        <w:tc>
          <w:tcPr>
            <w:tcW w:w="14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62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Operating leases:</w:t>
            </w:r>
          </w:p>
        </w:tc>
        <w:tc>
          <w:tcPr>
            <w:tcW w:w="560" w:type="dxa"/>
            <w:vAlign w:val="bottom"/>
            <w:shd w:val="clear" w:color="auto" w:fill="CCFFCC"/>
          </w:tcPr>
          <w:p>
            <w:pPr>
              <w:spacing w:after="0"/>
              <w:rPr>
                <w:sz w:val="16"/>
                <w:szCs w:val="16"/>
                <w:color w:val="auto"/>
              </w:rPr>
            </w:pPr>
          </w:p>
        </w:tc>
        <w:tc>
          <w:tcPr>
            <w:tcW w:w="1540" w:type="dxa"/>
            <w:vAlign w:val="bottom"/>
            <w:shd w:val="clear" w:color="auto" w:fill="CCFFCC"/>
          </w:tcPr>
          <w:p>
            <w:pPr>
              <w:spacing w:after="0"/>
              <w:rPr>
                <w:sz w:val="16"/>
                <w:szCs w:val="16"/>
                <w:color w:val="auto"/>
              </w:rPr>
            </w:pPr>
          </w:p>
        </w:tc>
        <w:tc>
          <w:tcPr>
            <w:tcW w:w="1760" w:type="dxa"/>
            <w:vAlign w:val="bottom"/>
            <w:shd w:val="clear" w:color="auto" w:fill="CCFFCC"/>
          </w:tcPr>
          <w:p>
            <w:pPr>
              <w:spacing w:after="0"/>
              <w:rPr>
                <w:sz w:val="16"/>
                <w:szCs w:val="16"/>
                <w:color w:val="auto"/>
              </w:rPr>
            </w:pPr>
          </w:p>
        </w:tc>
        <w:tc>
          <w:tcPr>
            <w:tcW w:w="1440" w:type="dxa"/>
            <w:vAlign w:val="bottom"/>
            <w:shd w:val="clear" w:color="auto" w:fill="CCFFCC"/>
          </w:tcPr>
          <w:p>
            <w:pPr>
              <w:spacing w:after="0"/>
              <w:rPr>
                <w:sz w:val="16"/>
                <w:szCs w:val="16"/>
                <w:color w:val="auto"/>
              </w:rPr>
            </w:pPr>
          </w:p>
        </w:tc>
        <w:tc>
          <w:tcPr>
            <w:tcW w:w="14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192"/>
        </w:trPr>
        <w:tc>
          <w:tcPr>
            <w:tcW w:w="4620" w:type="dxa"/>
            <w:vAlign w:val="bottom"/>
            <w:gridSpan w:val="2"/>
          </w:tcPr>
          <w:p>
            <w:pPr>
              <w:ind w:left="80"/>
              <w:spacing w:after="0"/>
              <w:rPr>
                <w:sz w:val="20"/>
                <w:szCs w:val="20"/>
                <w:color w:val="auto"/>
              </w:rPr>
            </w:pPr>
            <w:r>
              <w:rPr>
                <w:rFonts w:ascii="Arial" w:cs="Arial" w:eastAsia="Arial" w:hAnsi="Arial"/>
                <w:sz w:val="16"/>
                <w:szCs w:val="16"/>
                <w:color w:val="auto"/>
              </w:rPr>
              <w:t>Facility</w:t>
            </w: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4</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7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462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Motor Vehicles</w:t>
            </w:r>
          </w:p>
        </w:tc>
        <w:tc>
          <w:tcPr>
            <w:tcW w:w="560" w:type="dxa"/>
            <w:vAlign w:val="bottom"/>
            <w:shd w:val="clear" w:color="auto" w:fill="CCFFCC"/>
          </w:tcPr>
          <w:p>
            <w:pPr>
              <w:jc w:val="right"/>
              <w:ind w:right="160"/>
              <w:spacing w:after="0"/>
              <w:rPr>
                <w:sz w:val="20"/>
                <w:szCs w:val="20"/>
                <w:color w:val="auto"/>
              </w:rPr>
            </w:pPr>
            <w:r>
              <w:rPr>
                <w:rFonts w:ascii="Arial" w:cs="Arial" w:eastAsia="Arial" w:hAnsi="Arial"/>
                <w:sz w:val="16"/>
                <w:szCs w:val="16"/>
                <w:color w:val="auto"/>
              </w:rPr>
              <w:t>17</w:t>
            </w:r>
          </w:p>
        </w:tc>
        <w:tc>
          <w:tcPr>
            <w:tcW w:w="15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14</w:t>
            </w:r>
          </w:p>
        </w:tc>
        <w:tc>
          <w:tcPr>
            <w:tcW w:w="1760" w:type="dxa"/>
            <w:vAlign w:val="bottom"/>
            <w:shd w:val="clear" w:color="auto" w:fill="CCFFCC"/>
          </w:tcPr>
          <w:p>
            <w:pPr>
              <w:jc w:val="right"/>
              <w:ind w:right="240"/>
              <w:spacing w:after="0"/>
              <w:rPr>
                <w:sz w:val="20"/>
                <w:szCs w:val="20"/>
                <w:color w:val="auto"/>
              </w:rPr>
            </w:pPr>
            <w:r>
              <w:rPr>
                <w:rFonts w:ascii="Arial" w:cs="Arial" w:eastAsia="Arial" w:hAnsi="Arial"/>
                <w:sz w:val="16"/>
                <w:szCs w:val="16"/>
                <w:color w:val="auto"/>
              </w:rPr>
              <w:t>3</w:t>
            </w:r>
          </w:p>
        </w:tc>
        <w:tc>
          <w:tcPr>
            <w:tcW w:w="144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r>
    </w:tbl>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Off-Balance Sheet Arrangements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do not have any off-balance sheet arrangements.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Quantitative and Qualitative Disclosure About Market Risk</w:t>
      </w:r>
    </w:p>
    <w:p>
      <w:pPr>
        <w:spacing w:after="0" w:line="204" w:lineRule="exact"/>
        <w:rPr>
          <w:sz w:val="20"/>
          <w:szCs w:val="20"/>
          <w:color w:val="auto"/>
        </w:rPr>
      </w:pPr>
    </w:p>
    <w:p>
      <w:pPr>
        <w:jc w:val="both"/>
        <w:ind w:right="20" w:firstLine="577"/>
        <w:spacing w:after="0" w:line="289" w:lineRule="auto"/>
        <w:rPr>
          <w:sz w:val="20"/>
          <w:szCs w:val="20"/>
          <w:color w:val="auto"/>
        </w:rPr>
      </w:pPr>
      <w:r>
        <w:rPr>
          <w:rFonts w:ascii="Arial" w:cs="Arial" w:eastAsia="Arial" w:hAnsi="Arial"/>
          <w:sz w:val="15"/>
          <w:szCs w:val="15"/>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 Approximately 40% of our expenses are denominated in New Israeli Shekel. Changes of 5% and 10% in the USD/NIS exchange rate will increase/decrease the operation expenses by 2% and 4%,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Foreign Currency Exchange Risk</w:t>
      </w:r>
    </w:p>
    <w:p>
      <w:pPr>
        <w:spacing w:after="0" w:line="204"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Our results of operations and cash flow are subject to fluctuations due to changes in foreign currency exchange rates. Certain of our expenses are denominated in New Israeli Shekels. Our results of operations and cash flow are, therefore, subject to fluctuations due to changes in foreign currency exchange rates and may be adversely affected in the future due to changes in foreign exchange rates.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t>BUSINESS</w:t>
      </w:r>
    </w:p>
    <w:p>
      <w:pPr>
        <w:spacing w:after="0" w:line="204" w:lineRule="exact"/>
        <w:rPr>
          <w:sz w:val="20"/>
          <w:szCs w:val="20"/>
          <w:color w:val="auto"/>
        </w:rPr>
      </w:pPr>
    </w:p>
    <w:p>
      <w:pPr>
        <w:ind w:right="20" w:firstLine="346"/>
        <w:spacing w:after="0" w:line="256"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8" w:lineRule="exact"/>
        <w:rPr>
          <w:sz w:val="20"/>
          <w:szCs w:val="20"/>
          <w:color w:val="auto"/>
        </w:rPr>
      </w:pPr>
    </w:p>
    <w:p>
      <w:pPr>
        <w:ind w:right="40" w:firstLine="346"/>
        <w:spacing w:after="0" w:line="297" w:lineRule="auto"/>
        <w:rPr>
          <w:sz w:val="20"/>
          <w:szCs w:val="20"/>
          <w:color w:val="auto"/>
        </w:rPr>
      </w:pPr>
      <w:r>
        <w:rPr>
          <w:rFonts w:ascii="Arial" w:cs="Arial" w:eastAsia="Arial" w:hAnsi="Arial"/>
          <w:sz w:val="14"/>
          <w:szCs w:val="14"/>
          <w:color w:val="auto"/>
        </w:rPr>
        <w:t>We plan to initiate discussions with the U.S. Food and Drug Administration, or FDA, within six months from the date of this prospectus to seek approval, via an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43" w:lineRule="exact"/>
        <w:rPr>
          <w:sz w:val="20"/>
          <w:szCs w:val="20"/>
          <w:color w:val="auto"/>
        </w:rPr>
      </w:pPr>
    </w:p>
    <w:p>
      <w:pPr>
        <w:ind w:firstLine="346"/>
        <w:spacing w:after="0" w:line="259"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67" w:lineRule="exact"/>
        <w:rPr>
          <w:sz w:val="20"/>
          <w:szCs w:val="20"/>
          <w:color w:val="auto"/>
        </w:rPr>
      </w:pPr>
    </w:p>
    <w:p>
      <w:pPr>
        <w:ind w:right="40" w:firstLine="346"/>
        <w:spacing w:after="0" w:line="276" w:lineRule="auto"/>
        <w:rPr>
          <w:sz w:val="20"/>
          <w:szCs w:val="20"/>
          <w:color w:val="auto"/>
        </w:rPr>
      </w:pPr>
      <w:r>
        <w:rPr>
          <w:rFonts w:ascii="Arial" w:cs="Arial" w:eastAsia="Arial" w:hAnsi="Arial"/>
          <w:sz w:val="15"/>
          <w:szCs w:val="15"/>
          <w:color w:val="auto"/>
        </w:rPr>
        <w:t>ADHD is a treatable condition. The most commonly used therapeutic drugs are stimulants (Schedule II, Controlled Substances), such as Ritalin, Adderall, Vyvanse and Concerta, which are all compounds that increase the brain chemical dopamine, and which have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the effectiveness of treatment for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w:t>
      </w:r>
    </w:p>
    <w:p>
      <w:pPr>
        <w:spacing w:after="0" w:line="149" w:lineRule="exact"/>
        <w:rPr>
          <w:sz w:val="20"/>
          <w:szCs w:val="20"/>
          <w:color w:val="auto"/>
        </w:rPr>
      </w:pPr>
    </w:p>
    <w:p>
      <w:pPr>
        <w:ind w:right="60" w:firstLine="278"/>
        <w:spacing w:after="0" w:line="258" w:lineRule="auto"/>
        <w:rPr>
          <w:sz w:val="20"/>
          <w:szCs w:val="20"/>
          <w:color w:val="auto"/>
        </w:rPr>
      </w:pPr>
      <w:r>
        <w:rPr>
          <w:rFonts w:ascii="Arial" w:cs="Arial" w:eastAsia="Arial" w:hAnsi="Arial"/>
          <w:sz w:val="18"/>
          <w:szCs w:val="18"/>
          <w:color w:val="auto"/>
        </w:rPr>
        <w:t xml:space="preserve">The only non-stimulant drug approved to treat adult ADHD is Strattera. Strattera affects the chemical norepinephrine, which is a stress hormone that </w:t>
      </w:r>
      <w:r>
        <w:rPr>
          <w:rFonts w:ascii="Arial" w:cs="Arial" w:eastAsia="Arial" w:hAnsi="Arial"/>
          <w:sz w:val="15"/>
          <w:szCs w:val="15"/>
          <w:color w:val="auto"/>
        </w:rPr>
        <w:t>affects parts of the brain where attention and responses are controlled.</w:t>
      </w:r>
      <w:r>
        <w:rPr>
          <w:rFonts w:ascii="Arial" w:cs="Arial" w:eastAsia="Arial" w:hAnsi="Arial"/>
          <w:sz w:val="18"/>
          <w:szCs w:val="18"/>
          <w:color w:val="auto"/>
        </w:rPr>
        <w:t xml:space="preserve"> This drug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All approved ADHD drugs need to be carefully monitored by the treating physician to optimize the dose, starting with a low dose and slowly escalating to the most effective and tolerable dose.</w:t>
      </w:r>
    </w:p>
    <w:p>
      <w:pPr>
        <w:spacing w:after="0" w:line="155" w:lineRule="exact"/>
        <w:rPr>
          <w:sz w:val="20"/>
          <w:szCs w:val="20"/>
          <w:color w:val="auto"/>
        </w:rPr>
      </w:pPr>
    </w:p>
    <w:p>
      <w:pPr>
        <w:ind w:right="100" w:firstLine="346"/>
        <w:spacing w:after="0" w:line="255" w:lineRule="auto"/>
        <w:rPr>
          <w:sz w:val="20"/>
          <w:szCs w:val="20"/>
          <w:color w:val="auto"/>
        </w:rPr>
      </w:pPr>
      <w:r>
        <w:rPr>
          <w:rFonts w:ascii="Arial" w:cs="Arial" w:eastAsia="Arial" w:hAnsi="Arial"/>
          <w:sz w:val="16"/>
          <w:szCs w:val="16"/>
          <w:color w:val="auto"/>
        </w:rPr>
        <w:t>In contrast to all available treatments, MG01CI is a non-stimulant with a differentiated mechanism of action that targets neither dopamine nor norepinephrine. Our 120-patient Phase II study showed significant clinical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 such as schizophrenia, mild cognitive impairment in Alzheimer’s disease, Tourette’s syndrome and cognitive impairment in mood disorders, and we plan to use proceeds from this offering to evaluate MG01CI in one or more of such disorders.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Overview</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About ADHD</w:t>
      </w:r>
    </w:p>
    <w:p>
      <w:pPr>
        <w:spacing w:after="0" w:line="200" w:lineRule="exact"/>
        <w:rPr>
          <w:sz w:val="20"/>
          <w:szCs w:val="20"/>
          <w:color w:val="auto"/>
        </w:rPr>
      </w:pPr>
    </w:p>
    <w:p>
      <w:pPr>
        <w:jc w:val="both"/>
        <w:ind w:firstLine="346"/>
        <w:spacing w:after="0" w:line="293" w:lineRule="auto"/>
        <w:rPr>
          <w:sz w:val="20"/>
          <w:szCs w:val="20"/>
          <w:color w:val="auto"/>
        </w:rPr>
      </w:pPr>
      <w:r>
        <w:rPr>
          <w:rFonts w:ascii="Arial" w:cs="Arial" w:eastAsia="Arial" w:hAnsi="Arial"/>
          <w:sz w:val="14"/>
          <w:szCs w:val="14"/>
          <w:color w:val="auto"/>
        </w:rPr>
        <w:t>The U.S. ADHD market size in 2011 has been estimated to be $3.8 billion, which accounted for approximately 90% of the global ADHD market. The difference in market sizes between U.S. and non-U.S. sales does not stem from a difference in sales volumes, but simply the lack of significant sales of innovative ADHD drugs outside the U.S.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(CAGR) of 7.3% per annum and reach $6.2 billion by 2018. The global ADHD market is forecast to grow at a CAGR of 8.0% in part because higher disease recognition is expected in Japan and Europe due to the adoption of the broader diagnostic criteria prevalent in the U.S. Further, these predominant criteria are expected to broaden further in 2013. Also, the estimated growth for the non-U.S. markets is higher due to prospective approval dates for major ADHD drugs that have already been marketed in the U.S., such as Vyvanse, Intuniv and Kapvay. Despite upcoming patent expiration dates and the entry of several generic compounds, the market size is expected to grow further as new drugs enter the market and compensate for the generic erosion.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40" w:name="page41"/>
    <w:bookmarkEnd w:id="40"/>
    <w:p>
      <w:pPr>
        <w:ind w:left="360"/>
        <w:spacing w:after="0"/>
        <w:rPr>
          <w:sz w:val="20"/>
          <w:szCs w:val="20"/>
          <w:color w:val="auto"/>
        </w:rPr>
      </w:pPr>
      <w:r>
        <w:rPr>
          <w:rFonts w:ascii="Arial" w:cs="Arial" w:eastAsia="Arial" w:hAnsi="Arial"/>
          <w:sz w:val="16"/>
          <w:szCs w:val="16"/>
          <w:b w:val="1"/>
          <w:bCs w:val="1"/>
          <w:i w:val="1"/>
          <w:iCs w:val="1"/>
          <w:color w:val="auto"/>
        </w:rPr>
        <w:t>Development of ADHD Symptoms</w:t>
      </w:r>
    </w:p>
    <w:p>
      <w:pPr>
        <w:spacing w:after="0" w:line="200"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Once perceived to only affect children, ADHD is now known to persist into adolescence and adulthood in a sizeable number of cases. The following graphic illustrates how the nature of ADHD symptoms change with age:</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900" w:type="dxa"/>
            <w:vAlign w:val="bottom"/>
            <w:tcBorders>
              <w:top w:val="single" w:sz="8" w:color="A6A6A6"/>
              <w:left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5"/>
              </w:rPr>
              <w:t>Children</w:t>
            </w:r>
          </w:p>
        </w:tc>
        <w:tc>
          <w:tcPr>
            <w:tcW w:w="378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4"/>
              </w:rPr>
              <w:t>Adolescents</w:t>
            </w:r>
          </w:p>
        </w:tc>
        <w:tc>
          <w:tcPr>
            <w:tcW w:w="376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Adults</w:t>
            </w:r>
          </w:p>
        </w:tc>
      </w:tr>
      <w:tr>
        <w:trPr>
          <w:trHeight w:val="1213"/>
        </w:trPr>
        <w:tc>
          <w:tcPr>
            <w:tcW w:w="3900" w:type="dxa"/>
            <w:vAlign w:val="bottom"/>
            <w:tcBorders>
              <w:left w:val="single" w:sz="8" w:color="A6A6A6"/>
            </w:tcBorders>
          </w:tcPr>
          <w:p>
            <w:pPr>
              <w:spacing w:after="0"/>
              <w:rPr>
                <w:sz w:val="24"/>
                <w:szCs w:val="24"/>
                <w:color w:val="auto"/>
              </w:rPr>
            </w:pPr>
          </w:p>
        </w:tc>
        <w:tc>
          <w:tcPr>
            <w:tcW w:w="3780" w:type="dxa"/>
            <w:vAlign w:val="bottom"/>
          </w:tcPr>
          <w:p>
            <w:pPr>
              <w:spacing w:after="0"/>
              <w:rPr>
                <w:sz w:val="24"/>
                <w:szCs w:val="24"/>
                <w:color w:val="auto"/>
              </w:rPr>
            </w:pPr>
          </w:p>
        </w:tc>
        <w:tc>
          <w:tcPr>
            <w:tcW w:w="3760" w:type="dxa"/>
            <w:vAlign w:val="bottom"/>
            <w:tcBorders>
              <w:right w:val="single" w:sz="8" w:color="A6A6A6"/>
            </w:tcBorders>
          </w:tcPr>
          <w:p>
            <w:pPr>
              <w:spacing w:after="0"/>
              <w:rPr>
                <w:sz w:val="24"/>
                <w:szCs w:val="24"/>
                <w:color w:val="auto"/>
              </w:rPr>
            </w:pPr>
          </w:p>
        </w:tc>
      </w:tr>
      <w:tr>
        <w:trPr>
          <w:trHeight w:val="148"/>
        </w:trPr>
        <w:tc>
          <w:tcPr>
            <w:tcW w:w="3900" w:type="dxa"/>
            <w:vAlign w:val="bottom"/>
            <w:tcBorders>
              <w:top w:val="single" w:sz="8" w:color="auto"/>
              <w:left w:val="single" w:sz="8" w:color="A6A6A6"/>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90"/>
              </w:rPr>
              <w:t>Hyperactive</w:t>
            </w:r>
          </w:p>
        </w:tc>
        <w:tc>
          <w:tcPr>
            <w:tcW w:w="3780" w:type="dxa"/>
            <w:vAlign w:val="bottom"/>
            <w:tcBorders>
              <w:top w:val="single" w:sz="8" w:color="auto"/>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91"/>
              </w:rPr>
              <w:t>Easily distracted</w:t>
            </w:r>
          </w:p>
        </w:tc>
        <w:tc>
          <w:tcPr>
            <w:tcW w:w="3760" w:type="dxa"/>
            <w:vAlign w:val="bottom"/>
            <w:tcBorders>
              <w:top w:val="single" w:sz="8" w:color="auto"/>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88"/>
              </w:rPr>
              <w:t>Shifts activities</w:t>
            </w:r>
          </w:p>
        </w:tc>
      </w:tr>
      <w:tr>
        <w:trPr>
          <w:trHeight w:val="192"/>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5"/>
              </w:rPr>
              <w:t>Aggressive</w:t>
            </w:r>
          </w:p>
        </w:tc>
        <w:tc>
          <w:tcPr>
            <w:tcW w:w="378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4"/>
              </w:rPr>
              <w:t>Inattentive</w:t>
            </w:r>
          </w:p>
        </w:tc>
        <w:tc>
          <w:tcPr>
            <w:tcW w:w="376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0"/>
              </w:rPr>
              <w:t>Easily bored</w:t>
            </w:r>
          </w:p>
        </w:tc>
      </w:tr>
      <w:tr>
        <w:trPr>
          <w:trHeight w:val="192"/>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Low frustration tolerance</w:t>
            </w:r>
          </w:p>
        </w:tc>
        <w:tc>
          <w:tcPr>
            <w:tcW w:w="3780" w:type="dxa"/>
            <w:vAlign w:val="bottom"/>
            <w:tcBorders>
              <w:right w:val="single" w:sz="8" w:color="A6A6A6"/>
            </w:tcBorders>
          </w:tcPr>
          <w:p>
            <w:pPr>
              <w:spacing w:after="0"/>
              <w:rPr>
                <w:sz w:val="16"/>
                <w:szCs w:val="16"/>
                <w:color w:val="auto"/>
              </w:rPr>
            </w:pPr>
          </w:p>
        </w:tc>
        <w:tc>
          <w:tcPr>
            <w:tcW w:w="376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5"/>
              </w:rPr>
              <w:t>Impatient</w:t>
            </w:r>
          </w:p>
        </w:tc>
      </w:tr>
      <w:tr>
        <w:trPr>
          <w:trHeight w:val="209"/>
        </w:trPr>
        <w:tc>
          <w:tcPr>
            <w:tcW w:w="3900" w:type="dxa"/>
            <w:vAlign w:val="bottom"/>
            <w:tcBorders>
              <w:left w:val="single" w:sz="8" w:color="A6A6A6"/>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9"/>
              </w:rPr>
              <w:t>Impulsive</w:t>
            </w:r>
          </w:p>
        </w:tc>
        <w:tc>
          <w:tcPr>
            <w:tcW w:w="3780" w:type="dxa"/>
            <w:vAlign w:val="bottom"/>
            <w:tcBorders>
              <w:bottom w:val="single" w:sz="8" w:color="A6A6A6"/>
              <w:right w:val="single" w:sz="8" w:color="A6A6A6"/>
            </w:tcBorders>
          </w:tcPr>
          <w:p>
            <w:pPr>
              <w:spacing w:after="0"/>
              <w:rPr>
                <w:sz w:val="18"/>
                <w:szCs w:val="18"/>
                <w:color w:val="auto"/>
              </w:rPr>
            </w:pPr>
          </w:p>
        </w:tc>
        <w:tc>
          <w:tcPr>
            <w:tcW w:w="376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1"/>
              </w:rPr>
              <w:t>Restless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-1143635</wp:posOffset>
            </wp:positionV>
            <wp:extent cx="6254750" cy="518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54750" cy="518795"/>
                    </a:xfrm>
                    <a:prstGeom prst="rect">
                      <a:avLst/>
                    </a:prstGeom>
                    <a:noFill/>
                  </pic:spPr>
                </pic:pic>
              </a:graphicData>
            </a:graphic>
          </wp:anchor>
        </w:drawing>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recent study showed that approximately 46% of adults who suffered from ADHD as children continue to have symptoms of the disorder as adults, with approximately</w:t>
      </w:r>
    </w:p>
    <w:p>
      <w:pPr>
        <w:spacing w:after="0" w:line="32" w:lineRule="exact"/>
        <w:rPr>
          <w:sz w:val="20"/>
          <w:szCs w:val="20"/>
          <w:color w:val="auto"/>
        </w:rPr>
      </w:pPr>
    </w:p>
    <w:p>
      <w:pPr>
        <w:ind w:right="520"/>
        <w:spacing w:after="0" w:line="333" w:lineRule="auto"/>
        <w:rPr>
          <w:sz w:val="20"/>
          <w:szCs w:val="20"/>
          <w:color w:val="auto"/>
        </w:rPr>
      </w:pPr>
      <w:r>
        <w:rPr>
          <w:rFonts w:ascii="Arial" w:cs="Arial" w:eastAsia="Arial" w:hAnsi="Arial"/>
          <w:sz w:val="14"/>
          <w:szCs w:val="14"/>
          <w:color w:val="auto"/>
        </w:rPr>
        <w:t>95%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r>
        <w:rPr>
          <w:rFonts w:ascii="Arial" w:cs="Arial" w:eastAsia="Arial" w:hAnsi="Arial"/>
          <w:sz w:val="14"/>
          <w:szCs w:val="14"/>
          <w:b w:val="1"/>
          <w:bCs w:val="1"/>
          <w:color w:val="auto"/>
        </w:rPr>
        <w:t>.</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6"/>
          <w:szCs w:val="16"/>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Impact of Untreated and Undertreated ADHD</w:t>
      </w:r>
    </w:p>
    <w:p>
      <w:pPr>
        <w:spacing w:after="0" w:line="200" w:lineRule="exact"/>
        <w:rPr>
          <w:sz w:val="20"/>
          <w:szCs w:val="20"/>
          <w:color w:val="auto"/>
        </w:rPr>
      </w:pPr>
    </w:p>
    <w:p>
      <w:pPr>
        <w:ind w:right="420" w:firstLine="360"/>
        <w:spacing w:after="0" w:line="264" w:lineRule="auto"/>
        <w:rPr>
          <w:sz w:val="20"/>
          <w:szCs w:val="20"/>
          <w:color w:val="auto"/>
        </w:rPr>
      </w:pPr>
      <w:r>
        <w:rPr>
          <w:rFonts w:ascii="Arial" w:cs="Arial" w:eastAsia="Arial" w:hAnsi="Arial"/>
          <w:sz w:val="16"/>
          <w:szCs w:val="16"/>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illustrates the effects on society when ADHD remains untreated:</w:t>
      </w:r>
    </w:p>
    <w:p>
      <w:pPr>
        <w:spacing w:after="0" w:line="196" w:lineRule="exact"/>
        <w:rPr>
          <w:sz w:val="20"/>
          <w:szCs w:val="20"/>
          <w:color w:val="auto"/>
        </w:rPr>
      </w:pPr>
    </w:p>
    <w:tbl>
      <w:tblPr>
        <w:tblLayout w:type="fixed"/>
        <w:tblInd w:w="800" w:type="dxa"/>
        <w:tblCellMar>
          <w:top w:w="0" w:type="dxa"/>
          <w:left w:w="0" w:type="dxa"/>
          <w:bottom w:w="0" w:type="dxa"/>
          <w:right w:w="0" w:type="dxa"/>
        </w:tblCellMar>
      </w:tblPr>
      <w:tr>
        <w:trPr>
          <w:trHeight w:val="196"/>
        </w:trPr>
        <w:tc>
          <w:tcPr>
            <w:tcW w:w="2720" w:type="dxa"/>
            <w:vAlign w:val="bottom"/>
          </w:tcPr>
          <w:p>
            <w:pPr>
              <w:jc w:val="center"/>
              <w:ind w:right="960"/>
              <w:spacing w:after="0"/>
              <w:rPr>
                <w:sz w:val="20"/>
                <w:szCs w:val="20"/>
                <w:color w:val="auto"/>
              </w:rPr>
            </w:pPr>
            <w:r>
              <w:rPr>
                <w:rFonts w:ascii="Arial" w:cs="Arial" w:eastAsia="Arial" w:hAnsi="Arial"/>
                <w:sz w:val="16"/>
                <w:szCs w:val="16"/>
                <w:b w:val="1"/>
                <w:bCs w:val="1"/>
                <w:color w:val="auto"/>
                <w:w w:val="89"/>
              </w:rPr>
              <w:t>Healthcare System</w:t>
            </w:r>
          </w:p>
        </w:tc>
        <w:tc>
          <w:tcPr>
            <w:tcW w:w="4100" w:type="dxa"/>
            <w:vAlign w:val="bottom"/>
          </w:tcPr>
          <w:p>
            <w:pPr>
              <w:jc w:val="center"/>
              <w:ind w:left="480"/>
              <w:spacing w:after="0"/>
              <w:rPr>
                <w:sz w:val="20"/>
                <w:szCs w:val="20"/>
                <w:color w:val="auto"/>
              </w:rPr>
            </w:pPr>
            <w:r>
              <w:rPr>
                <w:rFonts w:ascii="Arial" w:cs="Arial" w:eastAsia="Arial" w:hAnsi="Arial"/>
                <w:sz w:val="16"/>
                <w:szCs w:val="16"/>
                <w:b w:val="1"/>
                <w:bCs w:val="1"/>
                <w:color w:val="auto"/>
                <w:w w:val="93"/>
              </w:rPr>
              <w:t>Patient</w:t>
            </w:r>
          </w:p>
        </w:tc>
        <w:tc>
          <w:tcPr>
            <w:tcW w:w="3640" w:type="dxa"/>
            <w:vAlign w:val="bottom"/>
          </w:tcPr>
          <w:p>
            <w:pPr>
              <w:jc w:val="center"/>
              <w:ind w:left="880"/>
              <w:spacing w:after="0"/>
              <w:rPr>
                <w:sz w:val="20"/>
                <w:szCs w:val="20"/>
                <w:color w:val="auto"/>
              </w:rPr>
            </w:pPr>
            <w:r>
              <w:rPr>
                <w:rFonts w:ascii="Arial" w:cs="Arial" w:eastAsia="Arial" w:hAnsi="Arial"/>
                <w:sz w:val="16"/>
                <w:szCs w:val="16"/>
                <w:b w:val="1"/>
                <w:bCs w:val="1"/>
                <w:color w:val="auto"/>
                <w:w w:val="94"/>
              </w:rPr>
              <w:t>Family</w:t>
            </w:r>
          </w:p>
        </w:tc>
      </w:tr>
      <w:tr>
        <w:trPr>
          <w:trHeight w:val="192"/>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1"/>
              </w:rPr>
              <w:t>ñ 50% in bicycle accidents</w:t>
            </w:r>
          </w:p>
        </w:tc>
        <w:tc>
          <w:tcPr>
            <w:tcW w:w="4100" w:type="dxa"/>
            <w:vAlign w:val="bottom"/>
          </w:tcPr>
          <w:p>
            <w:pPr>
              <w:jc w:val="center"/>
              <w:ind w:left="480"/>
              <w:spacing w:after="0"/>
              <w:rPr>
                <w:sz w:val="20"/>
                <w:szCs w:val="20"/>
                <w:color w:val="auto"/>
              </w:rPr>
            </w:pPr>
            <w:r>
              <w:rPr>
                <w:rFonts w:ascii="Arial" w:cs="Arial" w:eastAsia="Arial" w:hAnsi="Arial"/>
                <w:sz w:val="16"/>
                <w:szCs w:val="16"/>
                <w:color w:val="auto"/>
                <w:w w:val="96"/>
              </w:rPr>
              <w:t>ñ criminal activity</w:t>
            </w:r>
          </w:p>
        </w:tc>
        <w:tc>
          <w:tcPr>
            <w:tcW w:w="3640" w:type="dxa"/>
            <w:vAlign w:val="bottom"/>
          </w:tcPr>
          <w:p>
            <w:pPr>
              <w:jc w:val="center"/>
              <w:ind w:left="880"/>
              <w:spacing w:after="0"/>
              <w:rPr>
                <w:sz w:val="20"/>
                <w:szCs w:val="20"/>
                <w:color w:val="auto"/>
              </w:rPr>
            </w:pPr>
            <w:r>
              <w:rPr>
                <w:rFonts w:ascii="Arial" w:cs="Arial" w:eastAsia="Arial" w:hAnsi="Arial"/>
                <w:sz w:val="16"/>
                <w:szCs w:val="16"/>
                <w:color w:val="auto"/>
                <w:w w:val="90"/>
              </w:rPr>
              <w:t>3-5x more divorce/separation</w:t>
            </w:r>
          </w:p>
        </w:tc>
      </w:tr>
      <w:tr>
        <w:trPr>
          <w:trHeight w:val="192"/>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3"/>
              </w:rPr>
              <w:t>ñ 33% in ER visits</w:t>
            </w:r>
          </w:p>
        </w:tc>
        <w:tc>
          <w:tcPr>
            <w:tcW w:w="4100" w:type="dxa"/>
            <w:vAlign w:val="bottom"/>
          </w:tcPr>
          <w:p>
            <w:pPr>
              <w:jc w:val="center"/>
              <w:ind w:left="500"/>
              <w:spacing w:after="0"/>
              <w:rPr>
                <w:sz w:val="20"/>
                <w:szCs w:val="20"/>
                <w:color w:val="auto"/>
              </w:rPr>
            </w:pPr>
            <w:r>
              <w:rPr>
                <w:rFonts w:ascii="Arial" w:cs="Arial" w:eastAsia="Arial" w:hAnsi="Arial"/>
                <w:sz w:val="16"/>
                <w:szCs w:val="16"/>
                <w:color w:val="auto"/>
                <w:w w:val="91"/>
              </w:rPr>
              <w:t>ñ incarceration</w:t>
            </w:r>
          </w:p>
        </w:tc>
        <w:tc>
          <w:tcPr>
            <w:tcW w:w="3640" w:type="dxa"/>
            <w:vAlign w:val="bottom"/>
          </w:tcPr>
          <w:p>
            <w:pPr>
              <w:jc w:val="center"/>
              <w:ind w:left="860"/>
              <w:spacing w:after="0"/>
              <w:rPr>
                <w:sz w:val="20"/>
                <w:szCs w:val="20"/>
                <w:color w:val="auto"/>
              </w:rPr>
            </w:pPr>
            <w:r>
              <w:rPr>
                <w:rFonts w:ascii="Arial" w:cs="Arial" w:eastAsia="Arial" w:hAnsi="Arial"/>
                <w:sz w:val="16"/>
                <w:szCs w:val="16"/>
                <w:color w:val="auto"/>
                <w:w w:val="93"/>
              </w:rPr>
              <w:t>2-4x more sibling fights</w:t>
            </w:r>
          </w:p>
        </w:tc>
      </w:tr>
      <w:tr>
        <w:trPr>
          <w:trHeight w:val="205"/>
        </w:trPr>
        <w:tc>
          <w:tcPr>
            <w:tcW w:w="2720" w:type="dxa"/>
            <w:vAlign w:val="bottom"/>
          </w:tcPr>
          <w:p>
            <w:pPr>
              <w:jc w:val="center"/>
              <w:ind w:right="940"/>
              <w:spacing w:after="0"/>
              <w:rPr>
                <w:sz w:val="20"/>
                <w:szCs w:val="20"/>
                <w:color w:val="auto"/>
              </w:rPr>
            </w:pPr>
            <w:r>
              <w:rPr>
                <w:rFonts w:ascii="Arial" w:cs="Arial" w:eastAsia="Arial" w:hAnsi="Arial"/>
                <w:sz w:val="16"/>
                <w:szCs w:val="16"/>
                <w:color w:val="auto"/>
                <w:w w:val="90"/>
              </w:rPr>
              <w:t>2-4x more car accidents</w:t>
            </w:r>
          </w:p>
        </w:tc>
        <w:tc>
          <w:tcPr>
            <w:tcW w:w="410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372"/>
        </w:trPr>
        <w:tc>
          <w:tcPr>
            <w:tcW w:w="2720" w:type="dxa"/>
            <w:vAlign w:val="bottom"/>
          </w:tcPr>
          <w:p>
            <w:pPr>
              <w:jc w:val="center"/>
              <w:ind w:right="940"/>
              <w:spacing w:after="0"/>
              <w:rPr>
                <w:sz w:val="20"/>
                <w:szCs w:val="20"/>
                <w:color w:val="auto"/>
              </w:rPr>
            </w:pPr>
            <w:r>
              <w:rPr>
                <w:rFonts w:ascii="Arial" w:cs="Arial" w:eastAsia="Arial" w:hAnsi="Arial"/>
                <w:sz w:val="16"/>
                <w:szCs w:val="16"/>
                <w:b w:val="1"/>
                <w:bCs w:val="1"/>
                <w:color w:val="auto"/>
                <w:w w:val="88"/>
              </w:rPr>
              <w:t>School and Occupation</w:t>
            </w:r>
          </w:p>
        </w:tc>
        <w:tc>
          <w:tcPr>
            <w:tcW w:w="4100" w:type="dxa"/>
            <w:vAlign w:val="bottom"/>
          </w:tcPr>
          <w:p>
            <w:pPr>
              <w:jc w:val="center"/>
              <w:ind w:left="480"/>
              <w:spacing w:after="0"/>
              <w:rPr>
                <w:sz w:val="20"/>
                <w:szCs w:val="20"/>
                <w:color w:val="auto"/>
              </w:rPr>
            </w:pPr>
            <w:r>
              <w:rPr>
                <w:rFonts w:ascii="Arial" w:cs="Arial" w:eastAsia="Arial" w:hAnsi="Arial"/>
                <w:sz w:val="16"/>
                <w:szCs w:val="16"/>
                <w:b w:val="1"/>
                <w:bCs w:val="1"/>
                <w:color w:val="auto"/>
                <w:w w:val="87"/>
              </w:rPr>
              <w:t>Society</w:t>
            </w:r>
          </w:p>
        </w:tc>
        <w:tc>
          <w:tcPr>
            <w:tcW w:w="3640" w:type="dxa"/>
            <w:vAlign w:val="bottom"/>
          </w:tcPr>
          <w:p>
            <w:pPr>
              <w:jc w:val="center"/>
              <w:ind w:left="880"/>
              <w:spacing w:after="0"/>
              <w:rPr>
                <w:sz w:val="20"/>
                <w:szCs w:val="20"/>
                <w:color w:val="auto"/>
              </w:rPr>
            </w:pPr>
            <w:r>
              <w:rPr>
                <w:rFonts w:ascii="Arial" w:cs="Arial" w:eastAsia="Arial" w:hAnsi="Arial"/>
                <w:sz w:val="16"/>
                <w:szCs w:val="16"/>
                <w:b w:val="1"/>
                <w:bCs w:val="1"/>
                <w:color w:val="auto"/>
                <w:w w:val="93"/>
              </w:rPr>
              <w:t>Employer</w:t>
            </w:r>
          </w:p>
        </w:tc>
      </w:tr>
      <w:tr>
        <w:trPr>
          <w:trHeight w:val="192"/>
        </w:trPr>
        <w:tc>
          <w:tcPr>
            <w:tcW w:w="2720" w:type="dxa"/>
            <w:vAlign w:val="bottom"/>
          </w:tcPr>
          <w:p>
            <w:pPr>
              <w:ind w:left="580"/>
              <w:spacing w:after="0"/>
              <w:rPr>
                <w:sz w:val="20"/>
                <w:szCs w:val="20"/>
                <w:color w:val="auto"/>
              </w:rPr>
            </w:pPr>
            <w:r>
              <w:rPr>
                <w:rFonts w:ascii="Arial" w:cs="Arial" w:eastAsia="Arial" w:hAnsi="Arial"/>
                <w:sz w:val="16"/>
                <w:szCs w:val="16"/>
                <w:color w:val="auto"/>
              </w:rPr>
              <w:t>46% expelled</w:t>
            </w:r>
          </w:p>
        </w:tc>
        <w:tc>
          <w:tcPr>
            <w:tcW w:w="4100" w:type="dxa"/>
            <w:vAlign w:val="bottom"/>
          </w:tcPr>
          <w:p>
            <w:pPr>
              <w:jc w:val="center"/>
              <w:ind w:left="480"/>
              <w:spacing w:after="0"/>
              <w:rPr>
                <w:sz w:val="20"/>
                <w:szCs w:val="20"/>
                <w:color w:val="auto"/>
              </w:rPr>
            </w:pPr>
            <w:r>
              <w:rPr>
                <w:rFonts w:ascii="Arial" w:cs="Arial" w:eastAsia="Arial" w:hAnsi="Arial"/>
                <w:sz w:val="16"/>
                <w:szCs w:val="16"/>
                <w:color w:val="auto"/>
                <w:w w:val="87"/>
              </w:rPr>
              <w:t>Substance use disorders:</w:t>
            </w:r>
          </w:p>
        </w:tc>
        <w:tc>
          <w:tcPr>
            <w:tcW w:w="3640" w:type="dxa"/>
            <w:vAlign w:val="bottom"/>
          </w:tcPr>
          <w:p>
            <w:pPr>
              <w:jc w:val="center"/>
              <w:ind w:left="880"/>
              <w:spacing w:after="0"/>
              <w:rPr>
                <w:sz w:val="20"/>
                <w:szCs w:val="20"/>
                <w:color w:val="auto"/>
              </w:rPr>
            </w:pPr>
            <w:r>
              <w:rPr>
                <w:rFonts w:ascii="Arial" w:cs="Arial" w:eastAsia="Arial" w:hAnsi="Arial"/>
                <w:sz w:val="16"/>
                <w:szCs w:val="16"/>
                <w:color w:val="auto"/>
                <w:w w:val="88"/>
              </w:rPr>
              <w:t>Increased parental absenteeism and lower</w:t>
            </w:r>
          </w:p>
        </w:tc>
      </w:tr>
      <w:tr>
        <w:trPr>
          <w:trHeight w:val="192"/>
        </w:trPr>
        <w:tc>
          <w:tcPr>
            <w:tcW w:w="2720" w:type="dxa"/>
            <w:vAlign w:val="bottom"/>
          </w:tcPr>
          <w:p>
            <w:pPr>
              <w:jc w:val="center"/>
              <w:ind w:right="940"/>
              <w:spacing w:after="0"/>
              <w:rPr>
                <w:sz w:val="20"/>
                <w:szCs w:val="20"/>
                <w:color w:val="auto"/>
              </w:rPr>
            </w:pPr>
            <w:r>
              <w:rPr>
                <w:rFonts w:ascii="Arial" w:cs="Arial" w:eastAsia="Arial" w:hAnsi="Arial"/>
                <w:sz w:val="16"/>
                <w:szCs w:val="16"/>
                <w:color w:val="auto"/>
                <w:w w:val="90"/>
              </w:rPr>
              <w:t>35% drop out</w:t>
            </w:r>
          </w:p>
        </w:tc>
        <w:tc>
          <w:tcPr>
            <w:tcW w:w="4100" w:type="dxa"/>
            <w:vAlign w:val="bottom"/>
          </w:tcPr>
          <w:p>
            <w:pPr>
              <w:ind w:left="1300"/>
              <w:spacing w:after="0"/>
              <w:rPr>
                <w:sz w:val="20"/>
                <w:szCs w:val="20"/>
                <w:color w:val="auto"/>
              </w:rPr>
            </w:pPr>
            <w:r>
              <w:rPr>
                <w:rFonts w:ascii="Arial" w:cs="Arial" w:eastAsia="Arial" w:hAnsi="Arial"/>
                <w:sz w:val="16"/>
                <w:szCs w:val="16"/>
                <w:color w:val="auto"/>
              </w:rPr>
              <w:t>2x risk and earlier onset</w:t>
            </w:r>
          </w:p>
        </w:tc>
        <w:tc>
          <w:tcPr>
            <w:tcW w:w="3640" w:type="dxa"/>
            <w:vAlign w:val="bottom"/>
          </w:tcPr>
          <w:p>
            <w:pPr>
              <w:jc w:val="center"/>
              <w:ind w:left="860"/>
              <w:spacing w:after="0"/>
              <w:rPr>
                <w:sz w:val="20"/>
                <w:szCs w:val="20"/>
                <w:color w:val="auto"/>
              </w:rPr>
            </w:pPr>
            <w:r>
              <w:rPr>
                <w:rFonts w:ascii="Arial" w:cs="Arial" w:eastAsia="Arial" w:hAnsi="Arial"/>
                <w:sz w:val="16"/>
                <w:szCs w:val="16"/>
                <w:color w:val="auto"/>
                <w:w w:val="96"/>
              </w:rPr>
              <w:t>productivity</w:t>
            </w:r>
          </w:p>
        </w:tc>
      </w:tr>
      <w:tr>
        <w:trPr>
          <w:trHeight w:val="205"/>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0"/>
              </w:rPr>
              <w:t>Lower occupational status</w:t>
            </w:r>
          </w:p>
        </w:tc>
        <w:tc>
          <w:tcPr>
            <w:tcW w:w="4100" w:type="dxa"/>
            <w:vAlign w:val="bottom"/>
          </w:tcPr>
          <w:p>
            <w:pPr>
              <w:ind w:left="1000"/>
              <w:spacing w:after="0"/>
              <w:rPr>
                <w:sz w:val="20"/>
                <w:szCs w:val="20"/>
                <w:color w:val="auto"/>
              </w:rPr>
            </w:pPr>
            <w:r>
              <w:rPr>
                <w:rFonts w:ascii="Arial" w:cs="Arial" w:eastAsia="Arial" w:hAnsi="Arial"/>
                <w:sz w:val="16"/>
                <w:szCs w:val="16"/>
                <w:color w:val="auto"/>
              </w:rPr>
              <w:t>Less likely to quit in adulthood</w:t>
            </w:r>
          </w:p>
        </w:tc>
        <w:tc>
          <w:tcPr>
            <w:tcW w:w="3640" w:type="dxa"/>
            <w:vAlign w:val="bottom"/>
          </w:tcPr>
          <w:p>
            <w:pPr>
              <w:spacing w:after="0"/>
              <w:rPr>
                <w:sz w:val="17"/>
                <w:szCs w:val="17"/>
                <w:color w:val="auto"/>
              </w:rPr>
            </w:pPr>
          </w:p>
        </w:tc>
      </w:tr>
    </w:tbl>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Diagnosis of ADHD</w:t>
      </w:r>
    </w:p>
    <w:p>
      <w:pPr>
        <w:spacing w:after="0" w:line="200" w:lineRule="exact"/>
        <w:rPr>
          <w:sz w:val="20"/>
          <w:szCs w:val="20"/>
          <w:color w:val="auto"/>
        </w:rPr>
      </w:pPr>
    </w:p>
    <w:p>
      <w:pPr>
        <w:ind w:right="120" w:firstLine="360"/>
        <w:spacing w:after="0" w:line="264" w:lineRule="auto"/>
        <w:rPr>
          <w:sz w:val="20"/>
          <w:szCs w:val="20"/>
          <w:color w:val="auto"/>
        </w:rPr>
      </w:pPr>
      <w:r>
        <w:rPr>
          <w:rFonts w:ascii="Arial" w:cs="Arial" w:eastAsia="Arial" w:hAnsi="Arial"/>
          <w:sz w:val="16"/>
          <w:szCs w:val="16"/>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(DSM-IV), diagnostic criteria are most widely used to diagnose ADHD.</w:t>
      </w:r>
    </w:p>
    <w:p>
      <w:pPr>
        <w:spacing w:after="0" w:line="162" w:lineRule="exact"/>
        <w:rPr>
          <w:sz w:val="20"/>
          <w:szCs w:val="20"/>
          <w:color w:val="auto"/>
        </w:rPr>
      </w:pPr>
    </w:p>
    <w:p>
      <w:pPr>
        <w:jc w:val="both"/>
        <w:ind w:left="360" w:right="140" w:hanging="4"/>
        <w:spacing w:after="0" w:line="264" w:lineRule="auto"/>
        <w:tabs>
          <w:tab w:leader="none" w:pos="640" w:val="left"/>
        </w:tabs>
        <w:numPr>
          <w:ilvl w:val="0"/>
          <w:numId w:val="38"/>
        </w:numPr>
        <w:rPr>
          <w:rFonts w:ascii="Arial" w:cs="Arial" w:eastAsia="Arial" w:hAnsi="Arial"/>
          <w:sz w:val="16"/>
          <w:szCs w:val="16"/>
          <w:color w:val="A6A6A6"/>
        </w:rPr>
      </w:pPr>
      <w:r>
        <w:rPr>
          <w:rFonts w:ascii="Arial" w:cs="Arial" w:eastAsia="Arial" w:hAnsi="Arial"/>
          <w:sz w:val="16"/>
          <w:szCs w:val="16"/>
          <w:i w:val="1"/>
          <w:iCs w:val="1"/>
          <w:color w:val="auto"/>
        </w:rPr>
        <w:t>DSM-IV criteria</w:t>
      </w:r>
      <w:r>
        <w:rPr>
          <w:rFonts w:ascii="Arial" w:cs="Arial" w:eastAsia="Arial" w:hAnsi="Arial"/>
          <w:sz w:val="16"/>
          <w:szCs w:val="16"/>
          <w:color w:val="auto"/>
        </w:rPr>
        <w:t>. The American Psychiatric Association provides a set of standardized criteria for classifying mental disorders known as the Diagnostic and Statistical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Manual of Mental Disorders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1" w:name="page42"/>
    <w:bookmarkEnd w:id="41"/>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Inattention – the patient makes careless mistakes in activities and is easily distracted</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Hyperactivity – the patients fidgets, squirms, talks excessively or displays restless behavior</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Impulsiveness – the patient interrupts others and cannot wait for a turn</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There must be clear evidence of significant impairment in social, school, or work functioning</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Signs of impairment present before 7 years of age and present in two or more settings (school/work and home)</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Signs are not better accounted for by another mental disorder</w:t>
      </w:r>
    </w:p>
    <w:p>
      <w:pPr>
        <w:spacing w:after="0" w:line="200" w:lineRule="exact"/>
        <w:rPr>
          <w:sz w:val="20"/>
          <w:szCs w:val="20"/>
          <w:color w:val="auto"/>
        </w:rPr>
      </w:pPr>
    </w:p>
    <w:p>
      <w:pPr>
        <w:ind w:right="200" w:firstLine="360"/>
        <w:spacing w:after="0" w:line="264" w:lineRule="auto"/>
        <w:rPr>
          <w:sz w:val="20"/>
          <w:szCs w:val="20"/>
          <w:color w:val="auto"/>
        </w:rPr>
      </w:pPr>
      <w:r>
        <w:rPr>
          <w:rFonts w:ascii="Arial" w:cs="Arial" w:eastAsia="Arial" w:hAnsi="Arial"/>
          <w:sz w:val="16"/>
          <w:szCs w:val="16"/>
          <w:color w:val="auto"/>
        </w:rPr>
        <w:t>The DSM-IV criteria are becoming more prevalent as the diagnostic measure for ADHD in Europe and Japan. If the DSM-IV criteria are used, rather than an alternative measure in declining use, a diagnosis of ADHD is 3–4 times more likely. Consequently, the size of the market in Europe and Japan is set to grow with improved diagnosis rates driven by adoption of the DSM-IV criteria.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Products and Market Participants</w:t>
      </w:r>
    </w:p>
    <w:p>
      <w:pPr>
        <w:spacing w:after="0" w:line="204" w:lineRule="exact"/>
        <w:rPr>
          <w:sz w:val="20"/>
          <w:szCs w:val="20"/>
          <w:color w:val="auto"/>
        </w:rPr>
      </w:pPr>
    </w:p>
    <w:p>
      <w:pPr>
        <w:ind w:right="500" w:firstLine="360"/>
        <w:spacing w:after="0" w:line="277" w:lineRule="auto"/>
        <w:rPr>
          <w:sz w:val="20"/>
          <w:szCs w:val="20"/>
          <w:color w:val="auto"/>
        </w:rPr>
      </w:pPr>
      <w:r>
        <w:rPr>
          <w:rFonts w:ascii="Arial" w:cs="Arial" w:eastAsia="Arial" w:hAnsi="Arial"/>
          <w:sz w:val="16"/>
          <w:szCs w:val="16"/>
          <w:color w:val="auto"/>
        </w:rPr>
        <w:t>The principal pharmaceutical companies marketing drugs to treat ADHD are shown in the following table, together with the drug brand name, patent expiration date, class/method of action and reported 2011 sales.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Brand Name</w:t>
            </w:r>
          </w:p>
        </w:tc>
        <w:tc>
          <w:tcPr>
            <w:tcW w:w="540" w:type="dxa"/>
            <w:vAlign w:val="bottom"/>
          </w:tcPr>
          <w:p>
            <w:pPr>
              <w:spacing w:after="0"/>
              <w:rPr>
                <w:sz w:val="16"/>
                <w:szCs w:val="16"/>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Company</w:t>
            </w:r>
          </w:p>
        </w:tc>
        <w:tc>
          <w:tcPr>
            <w:tcW w:w="540" w:type="dxa"/>
            <w:vAlign w:val="bottom"/>
          </w:tcPr>
          <w:p>
            <w:pPr>
              <w:spacing w:after="0"/>
              <w:rPr>
                <w:sz w:val="16"/>
                <w:szCs w:val="16"/>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9"/>
              </w:rPr>
              <w:t>Patent Expires</w:t>
            </w:r>
          </w:p>
        </w:tc>
        <w:tc>
          <w:tcPr>
            <w:tcW w:w="900" w:type="dxa"/>
            <w:vAlign w:val="bottom"/>
          </w:tcPr>
          <w:p>
            <w:pPr>
              <w:spacing w:after="0"/>
              <w:rPr>
                <w:sz w:val="16"/>
                <w:szCs w:val="16"/>
                <w:color w:val="auto"/>
              </w:rPr>
            </w:pPr>
          </w:p>
        </w:tc>
        <w:tc>
          <w:tcPr>
            <w:tcW w:w="2560" w:type="dxa"/>
            <w:vAlign w:val="bottom"/>
            <w:gridSpan w:val="2"/>
          </w:tcPr>
          <w:p>
            <w:pPr>
              <w:jc w:val="center"/>
              <w:ind w:right="940"/>
              <w:spacing w:after="0"/>
              <w:rPr>
                <w:sz w:val="20"/>
                <w:szCs w:val="20"/>
                <w:color w:val="auto"/>
              </w:rPr>
            </w:pPr>
            <w:r>
              <w:rPr>
                <w:rFonts w:ascii="Arial" w:cs="Arial" w:eastAsia="Arial" w:hAnsi="Arial"/>
                <w:sz w:val="16"/>
                <w:szCs w:val="16"/>
                <w:b w:val="1"/>
                <w:bCs w:val="1"/>
                <w:color w:val="auto"/>
                <w:w w:val="91"/>
              </w:rPr>
              <w:t>Class/Method of Action</w:t>
            </w:r>
          </w:p>
        </w:tc>
        <w:tc>
          <w:tcPr>
            <w:tcW w:w="2480" w:type="dxa"/>
            <w:vAlign w:val="bottom"/>
            <w:gridSpan w:val="3"/>
          </w:tcPr>
          <w:p>
            <w:pPr>
              <w:jc w:val="center"/>
              <w:ind w:left="100"/>
              <w:spacing w:after="0"/>
              <w:rPr>
                <w:sz w:val="20"/>
                <w:szCs w:val="20"/>
                <w:color w:val="auto"/>
              </w:rPr>
            </w:pPr>
            <w:r>
              <w:rPr>
                <w:rFonts w:ascii="Arial" w:cs="Arial" w:eastAsia="Arial" w:hAnsi="Arial"/>
                <w:sz w:val="16"/>
                <w:szCs w:val="16"/>
                <w:b w:val="1"/>
                <w:bCs w:val="1"/>
                <w:color w:val="auto"/>
                <w:w w:val="85"/>
              </w:rPr>
              <w:t>2011 Sales</w:t>
            </w: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00" w:type="dxa"/>
            <w:vAlign w:val="bottom"/>
            <w:shd w:val="clear" w:color="auto" w:fill="CCFFCC"/>
          </w:tcPr>
          <w:p>
            <w:pPr>
              <w:spacing w:after="0"/>
              <w:rPr>
                <w:sz w:val="16"/>
                <w:szCs w:val="16"/>
                <w:color w:val="auto"/>
              </w:rPr>
            </w:pPr>
          </w:p>
        </w:tc>
        <w:tc>
          <w:tcPr>
            <w:tcW w:w="880" w:type="dxa"/>
            <w:vAlign w:val="bottom"/>
            <w:vMerge w:val="restart"/>
            <w:shd w:val="clear" w:color="auto" w:fill="CCFFCC"/>
          </w:tcPr>
          <w:p>
            <w:pPr>
              <w:ind w:left="100"/>
              <w:spacing w:after="0"/>
              <w:rPr>
                <w:sz w:val="20"/>
                <w:szCs w:val="20"/>
                <w:color w:val="auto"/>
              </w:rPr>
            </w:pPr>
            <w:r>
              <w:rPr>
                <w:rFonts w:ascii="Arial" w:cs="Arial" w:eastAsia="Arial" w:hAnsi="Arial"/>
                <w:sz w:val="16"/>
                <w:szCs w:val="16"/>
                <w:color w:val="auto"/>
              </w:rPr>
              <w:t>Vyvanse</w:t>
            </w:r>
          </w:p>
        </w:tc>
        <w:tc>
          <w:tcPr>
            <w:tcW w:w="540" w:type="dxa"/>
            <w:vAlign w:val="bottom"/>
            <w:vMerge w:val="restart"/>
            <w:shd w:val="clear" w:color="auto" w:fill="CCFFCC"/>
          </w:tcPr>
          <w:p>
            <w:pPr>
              <w:spacing w:after="0"/>
              <w:rPr>
                <w:sz w:val="16"/>
                <w:szCs w:val="16"/>
                <w:color w:val="auto"/>
              </w:rPr>
            </w:pPr>
          </w:p>
        </w:tc>
        <w:tc>
          <w:tcPr>
            <w:tcW w:w="360" w:type="dxa"/>
            <w:vAlign w:val="bottom"/>
            <w:shd w:val="clear" w:color="auto" w:fill="CCFFCC"/>
          </w:tcPr>
          <w:p>
            <w:pPr>
              <w:spacing w:after="0"/>
              <w:rPr>
                <w:sz w:val="16"/>
                <w:szCs w:val="16"/>
                <w:color w:val="auto"/>
              </w:rPr>
            </w:pPr>
          </w:p>
        </w:tc>
        <w:tc>
          <w:tcPr>
            <w:tcW w:w="660" w:type="dxa"/>
            <w:vAlign w:val="bottom"/>
            <w:vMerge w:val="restart"/>
            <w:shd w:val="clear" w:color="auto" w:fill="CCFFCC"/>
          </w:tcPr>
          <w:p>
            <w:pPr>
              <w:ind w:left="80"/>
              <w:spacing w:after="0"/>
              <w:rPr>
                <w:sz w:val="20"/>
                <w:szCs w:val="20"/>
                <w:color w:val="auto"/>
              </w:rPr>
            </w:pPr>
            <w:r>
              <w:rPr>
                <w:rFonts w:ascii="Arial" w:cs="Arial" w:eastAsia="Arial" w:hAnsi="Arial"/>
                <w:sz w:val="16"/>
                <w:szCs w:val="16"/>
                <w:color w:val="auto"/>
              </w:rPr>
              <w:t>Shire</w:t>
            </w:r>
          </w:p>
        </w:tc>
        <w:tc>
          <w:tcPr>
            <w:tcW w:w="520" w:type="dxa"/>
            <w:vAlign w:val="bottom"/>
            <w:vMerge w:val="restart"/>
            <w:shd w:val="clear" w:color="auto" w:fill="CCFFCC"/>
          </w:tcPr>
          <w:p>
            <w:pPr>
              <w:spacing w:after="0"/>
              <w:rPr>
                <w:sz w:val="16"/>
                <w:szCs w:val="16"/>
                <w:color w:val="auto"/>
              </w:rPr>
            </w:pPr>
          </w:p>
        </w:tc>
        <w:tc>
          <w:tcPr>
            <w:tcW w:w="540" w:type="dxa"/>
            <w:vAlign w:val="bottom"/>
            <w:shd w:val="clear" w:color="auto" w:fill="CCFFCC"/>
          </w:tcPr>
          <w:p>
            <w:pPr>
              <w:spacing w:after="0"/>
              <w:rPr>
                <w:sz w:val="16"/>
                <w:szCs w:val="16"/>
                <w:color w:val="auto"/>
              </w:rPr>
            </w:pPr>
          </w:p>
        </w:tc>
        <w:tc>
          <w:tcPr>
            <w:tcW w:w="1000" w:type="dxa"/>
            <w:vAlign w:val="bottom"/>
            <w:vMerge w:val="restart"/>
            <w:shd w:val="clear" w:color="auto" w:fill="CCFFCC"/>
          </w:tcPr>
          <w:p>
            <w:pPr>
              <w:ind w:left="100"/>
              <w:spacing w:after="0"/>
              <w:rPr>
                <w:sz w:val="20"/>
                <w:szCs w:val="20"/>
                <w:color w:val="auto"/>
              </w:rPr>
            </w:pPr>
            <w:r>
              <w:rPr>
                <w:rFonts w:ascii="Arial" w:cs="Arial" w:eastAsia="Arial" w:hAnsi="Arial"/>
                <w:sz w:val="16"/>
                <w:szCs w:val="16"/>
                <w:color w:val="auto"/>
              </w:rPr>
              <w:t>June 2023</w:t>
            </w:r>
          </w:p>
        </w:tc>
        <w:tc>
          <w:tcPr>
            <w:tcW w:w="700" w:type="dxa"/>
            <w:vAlign w:val="bottom"/>
            <w:vMerge w:val="restart"/>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620" w:type="dxa"/>
            <w:vAlign w:val="bottom"/>
            <w:shd w:val="clear" w:color="auto" w:fill="CCFFCC"/>
          </w:tcPr>
          <w:p>
            <w:pPr>
              <w:jc w:val="center"/>
              <w:ind w:right="60"/>
              <w:spacing w:after="0"/>
              <w:rPr>
                <w:sz w:val="20"/>
                <w:szCs w:val="20"/>
                <w:color w:val="auto"/>
              </w:rPr>
            </w:pPr>
            <w:r>
              <w:rPr>
                <w:rFonts w:ascii="Arial" w:cs="Arial" w:eastAsia="Arial" w:hAnsi="Arial"/>
                <w:sz w:val="16"/>
                <w:szCs w:val="16"/>
                <w:color w:val="auto"/>
                <w:w w:val="95"/>
              </w:rPr>
              <w:t>Stimulant</w:t>
            </w:r>
          </w:p>
        </w:tc>
        <w:tc>
          <w:tcPr>
            <w:tcW w:w="940" w:type="dxa"/>
            <w:vAlign w:val="bottom"/>
            <w:shd w:val="clear" w:color="auto" w:fill="CCFFCC"/>
          </w:tcPr>
          <w:p>
            <w:pPr>
              <w:spacing w:after="0"/>
              <w:rPr>
                <w:sz w:val="16"/>
                <w:szCs w:val="16"/>
                <w:color w:val="auto"/>
              </w:rPr>
            </w:pPr>
          </w:p>
        </w:tc>
        <w:tc>
          <w:tcPr>
            <w:tcW w:w="2480" w:type="dxa"/>
            <w:vAlign w:val="bottom"/>
            <w:gridSpan w:val="3"/>
            <w:vMerge w:val="restart"/>
            <w:shd w:val="clear" w:color="auto" w:fill="CCFFCC"/>
          </w:tcPr>
          <w:p>
            <w:pPr>
              <w:ind w:left="780"/>
              <w:spacing w:after="0"/>
              <w:rPr>
                <w:sz w:val="20"/>
                <w:szCs w:val="20"/>
                <w:color w:val="auto"/>
              </w:rPr>
            </w:pPr>
            <w:r>
              <w:rPr>
                <w:rFonts w:ascii="Arial" w:cs="Arial" w:eastAsia="Arial" w:hAnsi="Arial"/>
                <w:sz w:val="16"/>
                <w:szCs w:val="16"/>
                <w:color w:val="auto"/>
              </w:rPr>
              <w:t>$1,272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880" w:type="dxa"/>
            <w:vAlign w:val="bottom"/>
            <w:vMerge w:val="continue"/>
            <w:shd w:val="clear" w:color="auto" w:fill="CCFFCC"/>
          </w:tcPr>
          <w:p>
            <w:pPr>
              <w:spacing w:after="0"/>
              <w:rPr>
                <w:sz w:val="9"/>
                <w:szCs w:val="9"/>
                <w:color w:val="auto"/>
              </w:rPr>
            </w:pPr>
          </w:p>
        </w:tc>
        <w:tc>
          <w:tcPr>
            <w:tcW w:w="540" w:type="dxa"/>
            <w:vAlign w:val="bottom"/>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60" w:type="dxa"/>
            <w:vAlign w:val="bottom"/>
            <w:vMerge w:val="continue"/>
            <w:shd w:val="clear" w:color="auto" w:fill="CCFFCC"/>
          </w:tcPr>
          <w:p>
            <w:pPr>
              <w:spacing w:after="0"/>
              <w:rPr>
                <w:sz w:val="9"/>
                <w:szCs w:val="9"/>
                <w:color w:val="auto"/>
              </w:rPr>
            </w:pPr>
          </w:p>
        </w:tc>
        <w:tc>
          <w:tcPr>
            <w:tcW w:w="520" w:type="dxa"/>
            <w:vAlign w:val="bottom"/>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0" w:type="dxa"/>
            <w:vAlign w:val="bottom"/>
            <w:vMerge w:val="continue"/>
            <w:shd w:val="clear" w:color="auto" w:fill="CCFFCC"/>
          </w:tcPr>
          <w:p>
            <w:pPr>
              <w:spacing w:after="0"/>
              <w:rPr>
                <w:sz w:val="9"/>
                <w:szCs w:val="9"/>
                <w:color w:val="auto"/>
              </w:rPr>
            </w:pPr>
          </w:p>
        </w:tc>
        <w:tc>
          <w:tcPr>
            <w:tcW w:w="700" w:type="dxa"/>
            <w:vAlign w:val="bottom"/>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8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9"/>
              </w:rPr>
              <w:t>Concerta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89"/>
              </w:rPr>
              <w:t>J&amp;J</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w w:val="91"/>
              </w:rPr>
              <w:t>May 2011</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98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$682 million</w:t>
            </w: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2480" w:type="dxa"/>
            <w:vAlign w:val="bottom"/>
            <w:gridSpan w:val="3"/>
            <w:vMerge w:val="continue"/>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8"/>
              </w:rPr>
              <w:t>Adderall XR</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90"/>
              </w:rPr>
              <w:t>Shire</w:t>
            </w:r>
          </w:p>
        </w:tc>
        <w:tc>
          <w:tcPr>
            <w:tcW w:w="1540" w:type="dxa"/>
            <w:vAlign w:val="bottom"/>
            <w:gridSpan w:val="2"/>
            <w:vMerge w:val="restart"/>
            <w:shd w:val="clear" w:color="auto" w:fill="CCFFCC"/>
          </w:tcPr>
          <w:p>
            <w:pPr>
              <w:jc w:val="center"/>
              <w:ind w:left="460"/>
              <w:spacing w:after="0"/>
              <w:rPr>
                <w:sz w:val="20"/>
                <w:szCs w:val="20"/>
                <w:color w:val="auto"/>
              </w:rPr>
            </w:pPr>
            <w:r>
              <w:rPr>
                <w:rFonts w:ascii="Arial" w:cs="Arial" w:eastAsia="Arial" w:hAnsi="Arial"/>
                <w:sz w:val="16"/>
                <w:szCs w:val="16"/>
                <w:color w:val="auto"/>
                <w:w w:val="89"/>
              </w:rPr>
              <w:t>2012</w:t>
            </w:r>
          </w:p>
        </w:tc>
        <w:tc>
          <w:tcPr>
            <w:tcW w:w="7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98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1540" w:type="dxa"/>
            <w:vAlign w:val="bottom"/>
            <w:gridSpan w:val="2"/>
            <w:vMerge w:val="continue"/>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$953 million</w:t>
            </w: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2480" w:type="dxa"/>
            <w:vAlign w:val="bottom"/>
            <w:gridSpan w:val="3"/>
            <w:vMerge w:val="continue"/>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1"/>
              </w:rPr>
              <w:t>Strattera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rPr>
              <w:t>Eli Lilly</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20"/>
              <w:spacing w:after="0"/>
              <w:rPr>
                <w:sz w:val="20"/>
                <w:szCs w:val="20"/>
                <w:color w:val="auto"/>
              </w:rPr>
            </w:pPr>
            <w:r>
              <w:rPr>
                <w:rFonts w:ascii="Arial" w:cs="Arial" w:eastAsia="Arial" w:hAnsi="Arial"/>
                <w:sz w:val="16"/>
                <w:szCs w:val="16"/>
                <w:color w:val="auto"/>
                <w:w w:val="91"/>
              </w:rPr>
              <w:t>August 2010</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Non-Stimulant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$620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560" w:type="dxa"/>
            <w:vAlign w:val="bottom"/>
            <w:gridSpan w:val="2"/>
            <w:vMerge w:val="restart"/>
            <w:shd w:val="clear" w:color="auto" w:fill="CCFFCC"/>
          </w:tcPr>
          <w:p>
            <w:pPr>
              <w:jc w:val="center"/>
              <w:ind w:right="940"/>
              <w:spacing w:after="0"/>
              <w:rPr>
                <w:sz w:val="20"/>
                <w:szCs w:val="20"/>
                <w:color w:val="auto"/>
              </w:rPr>
            </w:pPr>
            <w:r>
              <w:rPr>
                <w:rFonts w:ascii="Arial" w:cs="Arial" w:eastAsia="Arial" w:hAnsi="Arial"/>
                <w:sz w:val="16"/>
                <w:szCs w:val="16"/>
                <w:color w:val="auto"/>
                <w:w w:val="93"/>
              </w:rPr>
              <w:t>(NE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2560" w:type="dxa"/>
            <w:vAlign w:val="bottom"/>
            <w:gridSpan w:val="2"/>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2"/>
              </w:rPr>
              <w:t>Focalin</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Novartis</w:t>
            </w:r>
          </w:p>
        </w:tc>
        <w:tc>
          <w:tcPr>
            <w:tcW w:w="2240" w:type="dxa"/>
            <w:vAlign w:val="bottom"/>
            <w:gridSpan w:val="3"/>
            <w:vMerge w:val="restart"/>
            <w:shd w:val="clear" w:color="auto" w:fill="CCFFCC"/>
          </w:tcPr>
          <w:p>
            <w:pPr>
              <w:jc w:val="center"/>
              <w:ind w:right="180"/>
              <w:spacing w:after="0"/>
              <w:rPr>
                <w:sz w:val="20"/>
                <w:szCs w:val="20"/>
                <w:color w:val="auto"/>
              </w:rPr>
            </w:pPr>
            <w:r>
              <w:rPr>
                <w:rFonts w:ascii="Arial" w:cs="Arial" w:eastAsia="Arial" w:hAnsi="Arial"/>
                <w:sz w:val="16"/>
                <w:szCs w:val="16"/>
                <w:color w:val="auto"/>
                <w:w w:val="89"/>
              </w:rPr>
              <w:t>December 2015</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$340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2240" w:type="dxa"/>
            <w:vAlign w:val="bottom"/>
            <w:gridSpan w:val="3"/>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20" w:type="dxa"/>
            <w:vAlign w:val="bottom"/>
            <w:gridSpan w:val="3"/>
            <w:vMerge w:val="restart"/>
            <w:shd w:val="clear" w:color="auto" w:fill="CCFFCC"/>
          </w:tcPr>
          <w:p>
            <w:pPr>
              <w:ind w:left="160"/>
              <w:spacing w:after="0"/>
              <w:rPr>
                <w:sz w:val="20"/>
                <w:szCs w:val="20"/>
                <w:color w:val="auto"/>
              </w:rPr>
            </w:pPr>
            <w:r>
              <w:rPr>
                <w:rFonts w:ascii="Arial" w:cs="Arial" w:eastAsia="Arial" w:hAnsi="Arial"/>
                <w:sz w:val="16"/>
                <w:szCs w:val="16"/>
                <w:color w:val="auto"/>
              </w:rPr>
              <w:t>Ritalin/ Ritalin LA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Novartis</w:t>
            </w:r>
          </w:p>
        </w:tc>
        <w:tc>
          <w:tcPr>
            <w:tcW w:w="1540" w:type="dxa"/>
            <w:vAlign w:val="bottom"/>
            <w:gridSpan w:val="2"/>
            <w:vMerge w:val="restart"/>
            <w:shd w:val="clear" w:color="auto" w:fill="CCFFCC"/>
          </w:tcPr>
          <w:p>
            <w:pPr>
              <w:jc w:val="center"/>
              <w:ind w:left="460"/>
              <w:spacing w:after="0"/>
              <w:rPr>
                <w:sz w:val="20"/>
                <w:szCs w:val="20"/>
                <w:color w:val="auto"/>
              </w:rPr>
            </w:pPr>
            <w:r>
              <w:rPr>
                <w:rFonts w:ascii="Arial" w:cs="Arial" w:eastAsia="Arial" w:hAnsi="Arial"/>
                <w:sz w:val="16"/>
                <w:szCs w:val="16"/>
                <w:color w:val="auto"/>
                <w:w w:val="89"/>
              </w:rPr>
              <w:t>2015</w:t>
            </w:r>
          </w:p>
        </w:tc>
        <w:tc>
          <w:tcPr>
            <w:tcW w:w="7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$490 million</w:t>
            </w:r>
          </w:p>
        </w:tc>
        <w:tc>
          <w:tcPr>
            <w:tcW w:w="0" w:type="dxa"/>
            <w:vAlign w:val="bottom"/>
          </w:tcPr>
          <w:p>
            <w:pPr>
              <w:spacing w:after="0"/>
              <w:rPr>
                <w:sz w:val="1"/>
                <w:szCs w:val="1"/>
                <w:color w:val="auto"/>
              </w:rPr>
            </w:pPr>
          </w:p>
        </w:tc>
      </w:tr>
      <w:tr>
        <w:trPr>
          <w:trHeight w:val="109"/>
        </w:trPr>
        <w:tc>
          <w:tcPr>
            <w:tcW w:w="1720" w:type="dxa"/>
            <w:vAlign w:val="bottom"/>
            <w:gridSpan w:val="3"/>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1540" w:type="dxa"/>
            <w:vAlign w:val="bottom"/>
            <w:gridSpan w:val="2"/>
            <w:vMerge w:val="continue"/>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rPr>
              <w:t>Intuniv</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90"/>
              </w:rPr>
              <w:t>Shire</w:t>
            </w:r>
          </w:p>
        </w:tc>
        <w:tc>
          <w:tcPr>
            <w:tcW w:w="2240" w:type="dxa"/>
            <w:vAlign w:val="bottom"/>
            <w:gridSpan w:val="3"/>
            <w:vMerge w:val="restart"/>
            <w:shd w:val="clear" w:color="auto" w:fill="CCFFCC"/>
          </w:tcPr>
          <w:p>
            <w:pPr>
              <w:jc w:val="center"/>
              <w:ind w:right="160"/>
              <w:spacing w:after="0"/>
              <w:rPr>
                <w:sz w:val="20"/>
                <w:szCs w:val="20"/>
                <w:color w:val="auto"/>
              </w:rPr>
            </w:pPr>
            <w:r>
              <w:rPr>
                <w:rFonts w:ascii="Arial" w:cs="Arial" w:eastAsia="Arial" w:hAnsi="Arial"/>
                <w:sz w:val="16"/>
                <w:szCs w:val="16"/>
                <w:color w:val="auto"/>
                <w:w w:val="87"/>
              </w:rPr>
              <w:t>September 2015</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00"/>
              <w:spacing w:after="0" w:line="180" w:lineRule="exact"/>
              <w:rPr>
                <w:sz w:val="20"/>
                <w:szCs w:val="20"/>
                <w:color w:val="auto"/>
              </w:rPr>
            </w:pPr>
            <w:r>
              <w:rPr>
                <w:rFonts w:ascii="Arial" w:cs="Arial" w:eastAsia="Arial" w:hAnsi="Arial"/>
                <w:sz w:val="16"/>
                <w:szCs w:val="16"/>
                <w:color w:val="auto"/>
                <w:w w:val="94"/>
              </w:rPr>
              <w:t>Non-Stimulant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$223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224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560" w:type="dxa"/>
            <w:vAlign w:val="bottom"/>
            <w:gridSpan w:val="2"/>
            <w:vMerge w:val="restart"/>
            <w:shd w:val="clear" w:color="auto" w:fill="CCFFCC"/>
          </w:tcPr>
          <w:p>
            <w:pPr>
              <w:jc w:val="center"/>
              <w:ind w:right="1000"/>
              <w:spacing w:after="0"/>
              <w:rPr>
                <w:sz w:val="20"/>
                <w:szCs w:val="20"/>
                <w:color w:val="auto"/>
              </w:rPr>
            </w:pPr>
            <w:r>
              <w:rPr>
                <w:rFonts w:ascii="Arial" w:cs="Arial" w:eastAsia="Arial" w:hAnsi="Arial"/>
                <w:sz w:val="16"/>
                <w:szCs w:val="16"/>
                <w:color w:val="auto"/>
                <w:w w:val="92"/>
              </w:rPr>
              <w:t>(NE receptor agonist)</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2560" w:type="dxa"/>
            <w:vAlign w:val="bottom"/>
            <w:gridSpan w:val="2"/>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shd w:val="clear" w:color="auto" w:fill="CCFFCC"/>
          </w:tcPr>
          <w:p>
            <w:pPr>
              <w:jc w:val="center"/>
              <w:ind w:right="520"/>
              <w:spacing w:after="0" w:line="180" w:lineRule="exact"/>
              <w:rPr>
                <w:sz w:val="20"/>
                <w:szCs w:val="20"/>
                <w:color w:val="auto"/>
              </w:rPr>
            </w:pPr>
            <w:r>
              <w:rPr>
                <w:rFonts w:ascii="Arial" w:cs="Arial" w:eastAsia="Arial" w:hAnsi="Arial"/>
                <w:sz w:val="16"/>
                <w:szCs w:val="16"/>
                <w:color w:val="auto"/>
                <w:w w:val="95"/>
              </w:rPr>
              <w:t>Dextro-</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4"/>
              </w:rPr>
              <w:t>Teva</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$269 million</w:t>
            </w:r>
          </w:p>
        </w:tc>
        <w:tc>
          <w:tcPr>
            <w:tcW w:w="0" w:type="dxa"/>
            <w:vAlign w:val="bottom"/>
          </w:tcPr>
          <w:p>
            <w:pPr>
              <w:spacing w:after="0"/>
              <w:rPr>
                <w:sz w:val="1"/>
                <w:szCs w:val="1"/>
                <w:color w:val="auto"/>
              </w:rPr>
            </w:pPr>
          </w:p>
        </w:tc>
      </w:tr>
      <w:tr>
        <w:trPr>
          <w:trHeight w:val="109"/>
        </w:trPr>
        <w:tc>
          <w:tcPr>
            <w:tcW w:w="1720" w:type="dxa"/>
            <w:vAlign w:val="bottom"/>
            <w:gridSpan w:val="3"/>
            <w:vMerge w:val="restart"/>
            <w:shd w:val="clear" w:color="auto" w:fill="CCFFCC"/>
          </w:tcPr>
          <w:p>
            <w:pPr>
              <w:jc w:val="center"/>
              <w:ind w:right="240"/>
              <w:spacing w:after="0"/>
              <w:rPr>
                <w:sz w:val="20"/>
                <w:szCs w:val="20"/>
                <w:color w:val="auto"/>
              </w:rPr>
            </w:pPr>
            <w:r>
              <w:rPr>
                <w:rFonts w:ascii="Arial" w:cs="Arial" w:eastAsia="Arial" w:hAnsi="Arial"/>
                <w:sz w:val="16"/>
                <w:szCs w:val="16"/>
                <w:color w:val="auto"/>
                <w:w w:val="90"/>
              </w:rPr>
              <w:t>amphetamine ER</w:t>
            </w: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gridSpan w:val="3"/>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continue"/>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Adderall IR</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4"/>
              </w:rPr>
              <w:t>Teva</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$29 million</w:t>
            </w:r>
          </w:p>
        </w:tc>
        <w:tc>
          <w:tcPr>
            <w:tcW w:w="0" w:type="dxa"/>
            <w:vAlign w:val="bottom"/>
          </w:tcPr>
          <w:p>
            <w:pPr>
              <w:spacing w:after="0"/>
              <w:rPr>
                <w:sz w:val="1"/>
                <w:szCs w:val="1"/>
                <w:color w:val="auto"/>
              </w:rPr>
            </w:pPr>
          </w:p>
        </w:tc>
      </w:tr>
      <w:tr>
        <w:trPr>
          <w:trHeight w:val="121"/>
        </w:trPr>
        <w:tc>
          <w:tcPr>
            <w:tcW w:w="300" w:type="dxa"/>
            <w:vAlign w:val="bottom"/>
            <w:shd w:val="clear" w:color="auto" w:fill="CCFFCC"/>
          </w:tcPr>
          <w:p>
            <w:pPr>
              <w:spacing w:after="0"/>
              <w:rPr>
                <w:sz w:val="10"/>
                <w:szCs w:val="10"/>
                <w:color w:val="auto"/>
              </w:rPr>
            </w:pPr>
          </w:p>
        </w:tc>
        <w:tc>
          <w:tcPr>
            <w:tcW w:w="1420" w:type="dxa"/>
            <w:vAlign w:val="bottom"/>
            <w:gridSpan w:val="2"/>
            <w:vMerge w:val="continue"/>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1180" w:type="dxa"/>
            <w:vAlign w:val="bottom"/>
            <w:gridSpan w:val="2"/>
            <w:vMerge w:val="continue"/>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700" w:type="dxa"/>
            <w:vAlign w:val="bottom"/>
            <w:gridSpan w:val="2"/>
            <w:vMerge w:val="continue"/>
            <w:shd w:val="clear" w:color="auto" w:fill="CCFFCC"/>
          </w:tcPr>
          <w:p>
            <w:pPr>
              <w:spacing w:after="0"/>
              <w:rPr>
                <w:sz w:val="10"/>
                <w:szCs w:val="10"/>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0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c>
          <w:tcPr>
            <w:tcW w:w="54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540" w:type="dxa"/>
            <w:vAlign w:val="bottom"/>
            <w:shd w:val="clear" w:color="auto" w:fill="CCFFCC"/>
          </w:tcPr>
          <w:p>
            <w:pPr>
              <w:spacing w:after="0"/>
              <w:rPr>
                <w:sz w:val="7"/>
                <w:szCs w:val="7"/>
                <w:color w:val="auto"/>
              </w:rPr>
            </w:pPr>
          </w:p>
        </w:tc>
        <w:tc>
          <w:tcPr>
            <w:tcW w:w="100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c>
          <w:tcPr>
            <w:tcW w:w="3460" w:type="dxa"/>
            <w:vAlign w:val="bottom"/>
            <w:gridSpan w:val="3"/>
            <w:vMerge w:val="continue"/>
            <w:shd w:val="clear" w:color="auto" w:fill="CCFFCC"/>
          </w:tcPr>
          <w:p>
            <w:pPr>
              <w:spacing w:after="0"/>
              <w:rPr>
                <w:sz w:val="7"/>
                <w:szCs w:val="7"/>
                <w:color w:val="auto"/>
              </w:rPr>
            </w:pPr>
          </w:p>
        </w:tc>
        <w:tc>
          <w:tcPr>
            <w:tcW w:w="98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c>
          <w:tcPr>
            <w:tcW w:w="800" w:type="dxa"/>
            <w:vAlign w:val="bottom"/>
            <w:shd w:val="clear" w:color="auto" w:fill="CCFFCC"/>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ind w:right="540" w:firstLine="288"/>
        <w:spacing w:after="0" w:line="277" w:lineRule="auto"/>
        <w:rPr>
          <w:sz w:val="20"/>
          <w:szCs w:val="20"/>
          <w:color w:val="auto"/>
        </w:rPr>
      </w:pPr>
      <w:r>
        <w:rPr>
          <w:rFonts w:ascii="Arial" w:cs="Arial" w:eastAsia="Arial" w:hAnsi="Arial"/>
          <w:sz w:val="16"/>
          <w:szCs w:val="16"/>
          <w:color w:val="auto"/>
        </w:rPr>
        <w:t>In addition to the foregoing drugs, neuropsychological tools are being used in the diagnosis of ADHD, and there are exploratory studies being conducted to assess the potential efficacy of neurofeedback in the treatment of ADHD.</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Limitations of Current Treatment Options for ADHD</w:t>
      </w:r>
    </w:p>
    <w:p>
      <w:pPr>
        <w:spacing w:after="0" w:line="204" w:lineRule="exact"/>
        <w:rPr>
          <w:sz w:val="20"/>
          <w:szCs w:val="20"/>
          <w:color w:val="auto"/>
        </w:rPr>
      </w:pPr>
    </w:p>
    <w:p>
      <w:pPr>
        <w:ind w:right="180" w:firstLine="357"/>
        <w:spacing w:after="0" w:line="277" w:lineRule="auto"/>
        <w:rPr>
          <w:sz w:val="20"/>
          <w:szCs w:val="20"/>
          <w:color w:val="auto"/>
        </w:rPr>
      </w:pPr>
      <w:r>
        <w:rPr>
          <w:rFonts w:ascii="Arial" w:cs="Arial" w:eastAsia="Arial" w:hAnsi="Arial"/>
          <w:sz w:val="16"/>
          <w:szCs w:val="16"/>
          <w:color w:val="auto"/>
        </w:rPr>
        <w:t>Because of the significant side effects and abuse potential associated with current stimulant treatment options for ADHD which are narcotics, there is a significant need to develop safe and effective non-stimulant/non-narcotic treatment alternatives.</w:t>
      </w:r>
    </w:p>
    <w:p>
      <w:pPr>
        <w:spacing w:after="0" w:line="152" w:lineRule="exact"/>
        <w:rPr>
          <w:sz w:val="20"/>
          <w:szCs w:val="20"/>
          <w:color w:val="auto"/>
        </w:rPr>
      </w:pPr>
    </w:p>
    <w:p>
      <w:pPr>
        <w:ind w:right="60" w:firstLine="357"/>
        <w:spacing w:after="0" w:line="255"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that is a non-stimulant. Strattera has been effective, but it also has serious side effects, such as fatigue, decreased appetite, sexual problems, palpitations, increased heart rate, blood pressure, and regulatory warning labels on suicidal thoughts and liver damage. Moreover, Strattera also takes 6-10 weeks to achieve full clinical effects. New non-stimulant therapies, such as MG01CI, will not have the risk of abuse and do not have significantly delayed effect, and we believe that their market entry should increase treatment rates and drive market growth.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2" w:name="page43"/>
    <w:bookmarkEnd w:id="42"/>
    <w:p>
      <w:pPr>
        <w:jc w:val="both"/>
        <w:ind w:right="80" w:firstLine="357"/>
        <w:spacing w:after="0" w:line="319" w:lineRule="auto"/>
        <w:rPr>
          <w:sz w:val="20"/>
          <w:szCs w:val="20"/>
          <w:color w:val="auto"/>
        </w:rPr>
      </w:pPr>
      <w:r>
        <w:rPr>
          <w:rFonts w:ascii="Arial" w:cs="Arial" w:eastAsia="Arial" w:hAnsi="Arial"/>
          <w:sz w:val="14"/>
          <w:szCs w:val="14"/>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prescriptions re-filled beyond the first month. Therefore, there is a significant need to develop safe and effective non-stimulant treatment alternatives, particularly ones devoid of abuse potential and significant side effects.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4" w:lineRule="exact"/>
        <w:rPr>
          <w:sz w:val="20"/>
          <w:szCs w:val="20"/>
          <w:color w:val="auto"/>
        </w:rPr>
      </w:pPr>
    </w:p>
    <w:p>
      <w:pPr>
        <w:ind w:right="20" w:firstLine="335"/>
        <w:spacing w:after="0" w:line="256" w:lineRule="auto"/>
        <w:rPr>
          <w:sz w:val="20"/>
          <w:szCs w:val="20"/>
          <w:color w:val="auto"/>
        </w:rPr>
      </w:pPr>
      <w:r>
        <w:rPr>
          <w:rFonts w:ascii="Arial" w:cs="Arial" w:eastAsia="Arial" w:hAnsi="Arial"/>
          <w:sz w:val="16"/>
          <w:szCs w:val="16"/>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 To achieve these objectives, we plan to:</w:t>
      </w:r>
    </w:p>
    <w:p>
      <w:pPr>
        <w:spacing w:after="0" w:line="168" w:lineRule="exact"/>
        <w:rPr>
          <w:sz w:val="20"/>
          <w:szCs w:val="20"/>
          <w:color w:val="auto"/>
        </w:rPr>
      </w:pPr>
    </w:p>
    <w:p>
      <w:pPr>
        <w:ind w:left="580" w:right="24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two Phase III clinical trials of MG01CI for the treatment of ADHD in adults, and, if they are successful, file for marketing approval for adults in the U.S. (Expected initiation in the fourth quarter of 2013 and expected completion in the second quarter of 2015)</w:t>
      </w:r>
    </w:p>
    <w:p>
      <w:pPr>
        <w:spacing w:after="0" w:line="151" w:lineRule="exact"/>
        <w:rPr>
          <w:rFonts w:ascii="Arial" w:cs="Arial" w:eastAsia="Arial" w:hAnsi="Arial"/>
          <w:sz w:val="16"/>
          <w:szCs w:val="16"/>
          <w:color w:val="A6A6A6"/>
        </w:rPr>
      </w:pPr>
    </w:p>
    <w:p>
      <w:pPr>
        <w:ind w:left="580" w:right="32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clinical trials in a pediatric ADHD population, and, if successful, file for marketing approval for that use in the U.S.. (Expected initiation in the third quarter of 2014 and expected completion in the second quarter of 2015)</w:t>
      </w:r>
    </w:p>
    <w:p>
      <w:pPr>
        <w:spacing w:after="0" w:line="151" w:lineRule="exact"/>
        <w:rPr>
          <w:rFonts w:ascii="Arial" w:cs="Arial" w:eastAsia="Arial" w:hAnsi="Arial"/>
          <w:sz w:val="16"/>
          <w:szCs w:val="16"/>
          <w:color w:val="A6A6A6"/>
        </w:rPr>
      </w:pPr>
    </w:p>
    <w:p>
      <w:pPr>
        <w:ind w:left="580" w:right="36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clinical trials in EU and Japan for both adult and pediatric ADHD, and, if successful, file for marketing approval of such uses in these regions. (Expected initiation in the first quarter of 2015 for EU and 2016 for Japan and expected completion in the fourth quarter of 2016)</w:t>
      </w:r>
    </w:p>
    <w:p>
      <w:pPr>
        <w:spacing w:after="0" w:line="151" w:lineRule="exact"/>
        <w:rPr>
          <w:rFonts w:ascii="Arial" w:cs="Arial" w:eastAsia="Arial" w:hAnsi="Arial"/>
          <w:sz w:val="16"/>
          <w:szCs w:val="16"/>
          <w:color w:val="A6A6A6"/>
        </w:rPr>
      </w:pPr>
    </w:p>
    <w:p>
      <w:pPr>
        <w:ind w:left="580" w:right="12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Prepare to commercialize MG01CI for the treatment of patients with ADHD by establishing distribution capabilities primarily in conjunction with large pharmaceutical companies.</w:t>
      </w:r>
    </w:p>
    <w:p>
      <w:pPr>
        <w:spacing w:after="0" w:line="151" w:lineRule="exact"/>
        <w:rPr>
          <w:rFonts w:ascii="Arial" w:cs="Arial" w:eastAsia="Arial" w:hAnsi="Arial"/>
          <w:sz w:val="16"/>
          <w:szCs w:val="16"/>
          <w:color w:val="A6A6A6"/>
        </w:rPr>
      </w:pPr>
    </w:p>
    <w:p>
      <w:pPr>
        <w:ind w:left="580" w:right="8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Conduct clinical investigations into the possible use of MG01CI to treat other cognitive disorders and impairments such as mood disorders, memory impairment, autism and shift work/jet lag. (Expected initiation in the fourth quarter of 2014 and expected completion in the fourth quarter of 2015)</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Alcobra's pipeline that are protected by patents, or in-license products in similar therapeutic areas.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MG01CI Overview and Mechanism of Action</w:t>
      </w:r>
    </w:p>
    <w:p>
      <w:pPr>
        <w:spacing w:after="0" w:line="204" w:lineRule="exact"/>
        <w:rPr>
          <w:sz w:val="20"/>
          <w:szCs w:val="20"/>
          <w:color w:val="auto"/>
        </w:rPr>
      </w:pPr>
    </w:p>
    <w:p>
      <w:pPr>
        <w:jc w:val="both"/>
        <w:ind w:firstLine="346"/>
        <w:spacing w:after="0" w:line="276" w:lineRule="auto"/>
        <w:rPr>
          <w:sz w:val="20"/>
          <w:szCs w:val="20"/>
          <w:color w:val="auto"/>
        </w:rPr>
      </w:pPr>
      <w:r>
        <w:rPr>
          <w:rFonts w:ascii="Arial" w:cs="Arial" w:eastAsia="Arial" w:hAnsi="Arial"/>
          <w:sz w:val="15"/>
          <w:szCs w:val="15"/>
          <w:color w:val="auto"/>
        </w:rPr>
        <w:t>MG01CI is a proprietary, combined rapid onset/extended release formulation of the chemical Pyridoxine Pyroglutamate, which is more broadly known as Metadoxine. Our internal studies suggest that Metadoxine attaches to and neutralizes a unique protein in the brain called the 5-HT2B receptor, and excludes binding of all other molecules that normally attach there. This protein has been associated with ADHD in studies exploring the hereditary basis of ADHD, as well as in studies that attempt to understand the molecular basis of the disorder, but no approved or, to our knowledge,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55"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6"/>
          <w:szCs w:val="16"/>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pending patent applications (including one application that has been allowed by the U.S. PTO) that, if issued, would prevent the use by others of Metadoxine to treat ADHD and all other cognitive disorders.</w:t>
      </w:r>
    </w:p>
    <w:p>
      <w:pPr>
        <w:spacing w:after="0" w:line="168" w:lineRule="exact"/>
        <w:rPr>
          <w:sz w:val="20"/>
          <w:szCs w:val="20"/>
          <w:color w:val="auto"/>
        </w:rPr>
      </w:pPr>
    </w:p>
    <w:p>
      <w:pPr>
        <w:ind w:right="20" w:firstLine="360"/>
        <w:spacing w:after="0" w:line="273" w:lineRule="auto"/>
        <w:rPr>
          <w:sz w:val="20"/>
          <w:szCs w:val="20"/>
          <w:color w:val="auto"/>
        </w:rPr>
      </w:pPr>
      <w:r>
        <w:rPr>
          <w:rFonts w:ascii="Arial" w:cs="Arial" w:eastAsia="Arial" w:hAnsi="Arial"/>
          <w:sz w:val="15"/>
          <w:szCs w:val="15"/>
          <w:color w:val="auto"/>
        </w:rPr>
        <w:t>Normally, the level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through blocking the release, delivery and/or the uptake of neurotransmitters by their respective plasma transporters/receptors. All stimulants modulate dopamine. Atomoxetine (Strattera), the only non-stimulant approved for adults, works through modulating norepinephrine. MG01CI has the potential to be the first product approved for ADHD that works on the brain network that is controlled by the serotonin protein, in contrast to the dopamine pathway and the norepinephrine pathway.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3" w:name="page44"/>
    <w:bookmarkEnd w:id="43"/>
    <w:p>
      <w:pPr>
        <w:ind w:right="140" w:firstLine="346"/>
        <w:spacing w:after="0" w:line="289" w:lineRule="auto"/>
        <w:rPr>
          <w:sz w:val="20"/>
          <w:szCs w:val="20"/>
          <w:color w:val="auto"/>
        </w:rPr>
      </w:pPr>
      <w:r>
        <w:rPr>
          <w:rFonts w:ascii="Arial" w:cs="Arial" w:eastAsia="Arial" w:hAnsi="Arial"/>
          <w:sz w:val="14"/>
          <w:szCs w:val="14"/>
          <w:color w:val="auto"/>
        </w:rPr>
        <w:t>The neural networks operating in the brain are directed by various proteins and signals. One way to affect these networks is to identify a drug that binds to the site and inhibits the action of the protein or signal. In investigating the proposed mechanism of action for MG01CI, over 80 different central nervous system receptors and transporters were tested in the laboratory for binding with Metadoxine. Binding of Metadoxine was tested on targets that are part of the muscarinic network, dopamine network, serotonin network, GABA network, noradrenaline network, opioid network and cannabinoid network. These networks each function to orchestrate different activities and signals in the brain in different regions of the brain using different protein agents. Metadoxine displayed extensive and highly specific receptor binding to only one of the serotonin receptors named 5-HT2B that has been implicated genetically in ADHD and molecularly in control of dopamine outflow. The binding had approximately 50-fold selectivity over all other</w:t>
      </w:r>
    </w:p>
    <w:p>
      <w:pPr>
        <w:spacing w:after="0" w:line="2" w:lineRule="exact"/>
        <w:rPr>
          <w:sz w:val="20"/>
          <w:szCs w:val="20"/>
          <w:color w:val="auto"/>
        </w:rPr>
      </w:pPr>
    </w:p>
    <w:p>
      <w:pPr>
        <w:ind w:right="20"/>
        <w:spacing w:after="0" w:line="309" w:lineRule="auto"/>
        <w:rPr>
          <w:sz w:val="20"/>
          <w:szCs w:val="20"/>
          <w:color w:val="auto"/>
        </w:rPr>
      </w:pPr>
      <w:r>
        <w:rPr>
          <w:rFonts w:ascii="Arial" w:cs="Arial" w:eastAsia="Arial" w:hAnsi="Arial"/>
          <w:sz w:val="14"/>
          <w:szCs w:val="14"/>
          <w:color w:val="auto"/>
        </w:rPr>
        <w:t>5-HT receptor subtypes and a variety of other receptors. No binding was detected to any of the proteins involved in the brain networks controlled by dopamine or noradrenaline. Selectivity in binding is important because the goal is to bind only with the targeted receptor to achieve the desired effect and not bind to other receptors where it may have an undesired effect. Therefore, MG01CI displays a novel mechanism of action because it is the only ADHD drug candidate which exclusively affects the 5-HT2B serotonin receptor.</w:t>
      </w:r>
    </w:p>
    <w:p>
      <w:pPr>
        <w:spacing w:after="0" w:line="152" w:lineRule="exact"/>
        <w:rPr>
          <w:sz w:val="20"/>
          <w:szCs w:val="20"/>
          <w:color w:val="auto"/>
        </w:rPr>
      </w:pPr>
    </w:p>
    <w:p>
      <w:pPr>
        <w:ind w:right="40" w:firstLine="346"/>
        <w:spacing w:after="0" w:line="252" w:lineRule="auto"/>
        <w:rPr>
          <w:sz w:val="20"/>
          <w:szCs w:val="20"/>
          <w:color w:val="auto"/>
        </w:rPr>
      </w:pPr>
      <w:r>
        <w:rPr>
          <w:rFonts w:ascii="Arial" w:cs="Arial" w:eastAsia="Arial" w:hAnsi="Arial"/>
          <w:sz w:val="19"/>
          <w:szCs w:val="19"/>
          <w:color w:val="auto"/>
        </w:rPr>
        <w:t>Although there are scientific papers that suggest that the 5-HT2B protein may take part in some aspects of the ADHD neurological disorder, the clinical trials using MG01CI are the first to show that by using a molecule that binds and neutralizes 5-HT2B, one can proactively improve the clinical symptoms of this disorder.</w:t>
      </w:r>
    </w:p>
    <w:p>
      <w:pPr>
        <w:spacing w:after="0" w:line="159" w:lineRule="exact"/>
        <w:rPr>
          <w:sz w:val="20"/>
          <w:szCs w:val="20"/>
          <w:color w:val="auto"/>
        </w:rPr>
      </w:pPr>
    </w:p>
    <w:p>
      <w:pPr>
        <w:jc w:val="both"/>
        <w:ind w:right="20" w:firstLine="346"/>
        <w:spacing w:after="0" w:line="264" w:lineRule="auto"/>
        <w:rPr>
          <w:sz w:val="20"/>
          <w:szCs w:val="20"/>
          <w:color w:val="auto"/>
        </w:rPr>
      </w:pPr>
      <w:r>
        <w:rPr>
          <w:rFonts w:ascii="Arial" w:cs="Arial" w:eastAsia="Arial" w:hAnsi="Arial"/>
          <w:sz w:val="16"/>
          <w:szCs w:val="16"/>
          <w:color w:val="auto"/>
        </w:rPr>
        <w:t>In summary, we believe that MG01CI is the first drug candidate to affect the serotonergic pathway and is currently the only drug candidate that shows exclusive binding to the 5-HT2B serotonin receptor. Moreover, the 5-HT2B receptor is implicated genetically and physiologically as a possible etiologic factor in the development of ADHD, creating the potential for MG01CI to be an effective treatment for ADHD.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Data</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Symptom and Clinical Efficacy Measurement</w:t>
      </w:r>
    </w:p>
    <w:p>
      <w:pPr>
        <w:spacing w:after="0" w:line="200" w:lineRule="exact"/>
        <w:rPr>
          <w:sz w:val="20"/>
          <w:szCs w:val="20"/>
          <w:color w:val="auto"/>
        </w:rPr>
      </w:pPr>
    </w:p>
    <w:p>
      <w:pPr>
        <w:jc w:val="both"/>
        <w:ind w:right="20" w:firstLine="346"/>
        <w:spacing w:after="0" w:line="351" w:lineRule="auto"/>
        <w:rPr>
          <w:sz w:val="20"/>
          <w:szCs w:val="20"/>
          <w:color w:val="auto"/>
        </w:rPr>
      </w:pPr>
      <w:r>
        <w:rPr>
          <w:rFonts w:ascii="Arial" w:cs="Arial" w:eastAsia="Arial" w:hAnsi="Arial"/>
          <w:sz w:val="14"/>
          <w:szCs w:val="14"/>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06" w:lineRule="exact"/>
        <w:rPr>
          <w:sz w:val="20"/>
          <w:szCs w:val="20"/>
          <w:color w:val="auto"/>
        </w:rPr>
      </w:pPr>
    </w:p>
    <w:p>
      <w:pPr>
        <w:jc w:val="both"/>
        <w:ind w:left="360" w:right="20" w:hanging="4"/>
        <w:spacing w:after="0" w:line="259" w:lineRule="auto"/>
        <w:tabs>
          <w:tab w:leader="none" w:pos="452" w:val="left"/>
        </w:tabs>
        <w:numPr>
          <w:ilvl w:val="0"/>
          <w:numId w:val="41"/>
        </w:numPr>
        <w:rPr>
          <w:rFonts w:ascii="Arial" w:cs="Arial" w:eastAsia="Arial" w:hAnsi="Arial"/>
          <w:sz w:val="16"/>
          <w:szCs w:val="16"/>
          <w:color w:val="A6A6A6"/>
        </w:rPr>
      </w:pPr>
      <w:r>
        <w:rPr>
          <w:rFonts w:ascii="Arial" w:cs="Arial" w:eastAsia="Arial" w:hAnsi="Arial"/>
          <w:sz w:val="16"/>
          <w:szCs w:val="16"/>
          <w:i w:val="1"/>
          <w:iCs w:val="1"/>
          <w:color w:val="auto"/>
        </w:rPr>
        <w:t xml:space="preserve">Conners’ Adult ADHD Rating Scales (CAARS). </w:t>
      </w:r>
      <w:r>
        <w:rPr>
          <w:rFonts w:ascii="Arial" w:cs="Arial" w:eastAsia="Arial" w:hAnsi="Arial"/>
          <w:sz w:val="16"/>
          <w:szCs w:val="16"/>
          <w:color w:val="auto"/>
        </w:rPr>
        <w:t>CAARS measure the presence and severity of ADHD symptoms to determine whether or not ADHD is a contributing</w:t>
      </w:r>
      <w:r>
        <w:rPr>
          <w:rFonts w:ascii="Arial" w:cs="Arial" w:eastAsia="Arial" w:hAnsi="Arial"/>
          <w:sz w:val="16"/>
          <w:szCs w:val="16"/>
          <w:i w:val="1"/>
          <w:iCs w:val="1"/>
          <w:color w:val="auto"/>
        </w:rPr>
        <w:t xml:space="preserve"> </w:t>
      </w:r>
      <w:r>
        <w:rPr>
          <w:rFonts w:ascii="Arial" w:cs="Arial" w:eastAsia="Arial" w:hAnsi="Arial"/>
          <w:sz w:val="16"/>
          <w:szCs w:val="16"/>
          <w:color w:val="auto"/>
        </w:rPr>
        <w:t>factor to a patient’s symptoms. The scales quantitatively measure the frequency and severity of ADHD symptoms across clinically significant areas using a 30-item questionnaire. The scale has been used extensively in clinical trials including pivotal Phase III studies of approved pharmacotherapies for ADHD. Modified versions of the CAARS measure are used for diagnostics in children, with a different emphasis on the type of symptoms.</w:t>
      </w:r>
    </w:p>
    <w:p>
      <w:pPr>
        <w:spacing w:after="0" w:line="166" w:lineRule="exact"/>
        <w:rPr>
          <w:rFonts w:ascii="Arial" w:cs="Arial" w:eastAsia="Arial" w:hAnsi="Arial"/>
          <w:sz w:val="16"/>
          <w:szCs w:val="16"/>
          <w:color w:val="A6A6A6"/>
        </w:rPr>
      </w:pPr>
    </w:p>
    <w:p>
      <w:pPr>
        <w:jc w:val="both"/>
        <w:ind w:left="360" w:hanging="4"/>
        <w:spacing w:after="0" w:line="264" w:lineRule="auto"/>
        <w:tabs>
          <w:tab w:leader="none" w:pos="440" w:val="left"/>
        </w:tabs>
        <w:numPr>
          <w:ilvl w:val="0"/>
          <w:numId w:val="41"/>
        </w:numPr>
        <w:rPr>
          <w:rFonts w:ascii="Arial" w:cs="Arial" w:eastAsia="Arial" w:hAnsi="Arial"/>
          <w:sz w:val="16"/>
          <w:szCs w:val="16"/>
          <w:color w:val="A6A6A6"/>
        </w:rPr>
      </w:pPr>
      <w:r>
        <w:rPr>
          <w:rFonts w:ascii="Arial" w:cs="Arial" w:eastAsia="Arial" w:hAnsi="Arial"/>
          <w:sz w:val="16"/>
          <w:szCs w:val="16"/>
          <w:i w:val="1"/>
          <w:iCs w:val="1"/>
          <w:color w:val="auto"/>
        </w:rPr>
        <w:t xml:space="preserve">Adult ADHD Quality of Life Questionnaire (AAQoL). </w:t>
      </w:r>
      <w:r>
        <w:rPr>
          <w:rFonts w:ascii="Arial" w:cs="Arial" w:eastAsia="Arial" w:hAnsi="Arial"/>
          <w:sz w:val="16"/>
          <w:szCs w:val="16"/>
          <w:color w:val="auto"/>
        </w:rPr>
        <w:t>AAQoL provides a validated disease-specific measure of the impact of ADHD on the quality of life. It is measured</w:t>
      </w:r>
      <w:r>
        <w:rPr>
          <w:rFonts w:ascii="Arial" w:cs="Arial" w:eastAsia="Arial" w:hAnsi="Arial"/>
          <w:sz w:val="16"/>
          <w:szCs w:val="16"/>
          <w:i w:val="1"/>
          <w:iCs w:val="1"/>
          <w:color w:val="auto"/>
        </w:rPr>
        <w:t xml:space="preserve"> </w:t>
      </w:r>
      <w:r>
        <w:rPr>
          <w:rFonts w:ascii="Arial" w:cs="Arial" w:eastAsia="Arial" w:hAnsi="Arial"/>
          <w:sz w:val="16"/>
          <w:szCs w:val="16"/>
          <w:color w:val="auto"/>
        </w:rPr>
        <w:t>as an overall score (totaling 29 items) and four subscale scores including: life productivity (11 items), psychological health (6 items), life outlook (7 items) and relationships (5 items). It has been validated in clinical trials and used in the Phase III study of Atomoxetine (Strattera) in adults.</w:t>
      </w:r>
    </w:p>
    <w:p>
      <w:pPr>
        <w:spacing w:after="0" w:line="161" w:lineRule="exact"/>
        <w:rPr>
          <w:rFonts w:ascii="Arial" w:cs="Arial" w:eastAsia="Arial" w:hAnsi="Arial"/>
          <w:sz w:val="16"/>
          <w:szCs w:val="16"/>
          <w:color w:val="A6A6A6"/>
        </w:rPr>
      </w:pPr>
    </w:p>
    <w:p>
      <w:pPr>
        <w:jc w:val="both"/>
        <w:ind w:left="360" w:hanging="4"/>
        <w:spacing w:after="0" w:line="273" w:lineRule="auto"/>
        <w:tabs>
          <w:tab w:leader="none" w:pos="440" w:val="left"/>
        </w:tabs>
        <w:numPr>
          <w:ilvl w:val="0"/>
          <w:numId w:val="41"/>
        </w:numPr>
        <w:rPr>
          <w:rFonts w:ascii="Arial" w:cs="Arial" w:eastAsia="Arial" w:hAnsi="Arial"/>
          <w:sz w:val="15"/>
          <w:szCs w:val="15"/>
          <w:color w:val="A6A6A6"/>
        </w:rPr>
      </w:pPr>
      <w:r>
        <w:rPr>
          <w:rFonts w:ascii="Arial" w:cs="Arial" w:eastAsia="Arial" w:hAnsi="Arial"/>
          <w:sz w:val="15"/>
          <w:szCs w:val="15"/>
          <w:i w:val="1"/>
          <w:iCs w:val="1"/>
          <w:color w:val="auto"/>
        </w:rPr>
        <w:t xml:space="preserve">Test of Variables of Attention (TOVA). </w:t>
      </w:r>
      <w:r>
        <w:rPr>
          <w:rFonts w:ascii="Arial" w:cs="Arial" w:eastAsia="Arial" w:hAnsi="Arial"/>
          <w:sz w:val="15"/>
          <w:szCs w:val="15"/>
          <w:color w:val="auto"/>
        </w:rPr>
        <w:t>TOVA is a computerized test that assists in the screening, diagnosis, and treatment monitoring of attention disorders such as ADHD.</w:t>
      </w:r>
      <w:r>
        <w:rPr>
          <w:rFonts w:ascii="Arial" w:cs="Arial" w:eastAsia="Arial" w:hAnsi="Arial"/>
          <w:sz w:val="15"/>
          <w:szCs w:val="15"/>
          <w:i w:val="1"/>
          <w:iCs w:val="1"/>
          <w:color w:val="auto"/>
        </w:rPr>
        <w:t xml:space="preserve"> </w:t>
      </w:r>
      <w:r>
        <w:rPr>
          <w:rFonts w:ascii="Arial" w:cs="Arial" w:eastAsia="Arial" w:hAnsi="Arial"/>
          <w:sz w:val="15"/>
          <w:szCs w:val="15"/>
          <w:color w:val="auto"/>
        </w:rPr>
        <w:t>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 TOVA outcomes include subscores for Response Time Variability (a time measurement of how consistently a target signal is identified and a microswitch is pressed throughout the test), Response Time (a time measurement of how fast or slow information is processed and responded to), Commission Errors (a measure of impulsivity: how many times an incorrect signal is identified and the micorswitch is pressed erroneously), and Omission Errors (a measure of inattention: how many times is the correct target signal missed and the microswitch is not pressed). The TOVA also provides a calculated ADHD Score that provides a cumulative index. ADHD scores &lt;-1.8 are considered outside the normative range.</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Clinical Results</w:t>
      </w:r>
    </w:p>
    <w:p>
      <w:pPr>
        <w:spacing w:after="0" w:line="200" w:lineRule="exact"/>
        <w:rPr>
          <w:sz w:val="20"/>
          <w:szCs w:val="20"/>
          <w:color w:val="auto"/>
        </w:rPr>
      </w:pPr>
    </w:p>
    <w:p>
      <w:pPr>
        <w:ind w:right="20" w:firstLine="360"/>
        <w:spacing w:after="0" w:line="277" w:lineRule="auto"/>
        <w:rPr>
          <w:sz w:val="20"/>
          <w:szCs w:val="20"/>
          <w:color w:val="auto"/>
        </w:rPr>
      </w:pPr>
      <w:r>
        <w:rPr>
          <w:rFonts w:ascii="Arial" w:cs="Arial" w:eastAsia="Arial" w:hAnsi="Arial"/>
          <w:sz w:val="16"/>
          <w:szCs w:val="16"/>
          <w:color w:val="auto"/>
        </w:rPr>
        <w:t>We have conducted several clinical trials in adult ADHD patients in Israel testing the safety and efficacy of our novel non-stimulant drug candidate, MG01CI. These trials included: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016" w:right="219" w:bottom="1440" w:gutter="0" w:footer="0" w:header="0"/>
        </w:sectPr>
      </w:pPr>
    </w:p>
    <w:bookmarkStart w:id="44" w:name="page45"/>
    <w:bookmarkEnd w:id="44"/>
    <w:p>
      <w:pPr>
        <w:ind w:left="940" w:hanging="295"/>
        <w:spacing w:after="0"/>
        <w:tabs>
          <w:tab w:leader="none" w:pos="940" w:val="left"/>
        </w:tabs>
        <w:numPr>
          <w:ilvl w:val="0"/>
          <w:numId w:val="42"/>
        </w:numPr>
        <w:rPr>
          <w:rFonts w:ascii="Arial" w:cs="Arial" w:eastAsia="Arial" w:hAnsi="Arial"/>
          <w:sz w:val="15"/>
          <w:szCs w:val="15"/>
          <w:color w:val="A6A6A6"/>
        </w:rPr>
      </w:pPr>
      <w:r>
        <w:rPr>
          <w:rFonts w:ascii="Arial" w:cs="Arial" w:eastAsia="Arial" w:hAnsi="Arial"/>
          <w:sz w:val="15"/>
          <w:szCs w:val="15"/>
          <w:color w:val="auto"/>
        </w:rPr>
        <w:t>A Phase IIa proof of concept study of 38 adult ADHD patients, followed by two extension studies to determine length of efficacy and optimized dosages; and</w:t>
      </w:r>
    </w:p>
    <w:p>
      <w:pPr>
        <w:spacing w:after="0" w:line="211" w:lineRule="exact"/>
        <w:rPr>
          <w:rFonts w:ascii="Arial" w:cs="Arial" w:eastAsia="Arial" w:hAnsi="Arial"/>
          <w:sz w:val="15"/>
          <w:szCs w:val="15"/>
          <w:color w:val="A6A6A6"/>
        </w:rPr>
      </w:pPr>
    </w:p>
    <w:p>
      <w:pPr>
        <w:ind w:left="940" w:right="20" w:hanging="295"/>
        <w:spacing w:after="0" w:line="277" w:lineRule="auto"/>
        <w:tabs>
          <w:tab w:leader="none" w:pos="940" w:val="left"/>
        </w:tabs>
        <w:numPr>
          <w:ilvl w:val="0"/>
          <w:numId w:val="42"/>
        </w:numPr>
        <w:rPr>
          <w:rFonts w:ascii="Arial" w:cs="Arial" w:eastAsia="Arial" w:hAnsi="Arial"/>
          <w:sz w:val="16"/>
          <w:szCs w:val="16"/>
          <w:color w:val="A6A6A6"/>
        </w:rPr>
      </w:pPr>
      <w:r>
        <w:rPr>
          <w:rFonts w:ascii="Arial" w:cs="Arial" w:eastAsia="Arial" w:hAnsi="Arial"/>
          <w:sz w:val="16"/>
          <w:szCs w:val="16"/>
          <w:color w:val="auto"/>
        </w:rPr>
        <w:t>A six-week, randomized, double-blind, placebo-controlled, parallel-group, multi-center Phase IIb study of 120 adult ADHD patients, in which ADHD subjects were randomly assigned in a 1:1 ratio to one of two treatment groups : a 1,400mg dose of MG01CI and a matching placebo.</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Additional information about our clinical trials is shown in the following chart.</w:t>
      </w:r>
    </w:p>
    <w:p>
      <w:pPr>
        <w:spacing w:after="0" w:line="21" w:lineRule="exact"/>
        <w:rPr>
          <w:sz w:val="20"/>
          <w:szCs w:val="20"/>
          <w:color w:val="auto"/>
        </w:rPr>
      </w:pPr>
    </w:p>
    <w:tbl>
      <w:tblPr>
        <w:tblLayout w:type="fixed"/>
        <w:tblInd w:w="370" w:type="dxa"/>
        <w:tblCellMar>
          <w:top w:w="0" w:type="dxa"/>
          <w:left w:w="0" w:type="dxa"/>
          <w:bottom w:w="0" w:type="dxa"/>
          <w:right w:w="0" w:type="dxa"/>
        </w:tblCellMar>
      </w:tblPr>
      <w:tr>
        <w:trPr>
          <w:trHeight w:val="184"/>
        </w:trPr>
        <w:tc>
          <w:tcPr>
            <w:tcW w:w="380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28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6"/>
                <w:szCs w:val="16"/>
                <w:color w:val="auto"/>
              </w:rPr>
              <w:t>Phase IIa</w:t>
            </w:r>
          </w:p>
        </w:tc>
        <w:tc>
          <w:tcPr>
            <w:tcW w:w="388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6"/>
                <w:szCs w:val="16"/>
                <w:color w:val="auto"/>
              </w:rPr>
              <w:t>Phase IIb</w:t>
            </w:r>
          </w:p>
        </w:tc>
      </w:tr>
      <w:tr>
        <w:trPr>
          <w:trHeight w:val="184"/>
        </w:trPr>
        <w:tc>
          <w:tcPr>
            <w:tcW w:w="38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When the clinical study was held</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Q1-Q2 2010</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Q2-Q3 2011</w:t>
            </w:r>
          </w:p>
        </w:tc>
      </w:tr>
      <w:tr>
        <w:trPr>
          <w:trHeight w:val="184"/>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rPr>
              <w:t>How long the clinical study was active</w:t>
            </w:r>
          </w:p>
        </w:tc>
        <w:tc>
          <w:tcPr>
            <w:tcW w:w="284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3 months</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4 months</w:t>
            </w:r>
          </w:p>
        </w:tc>
      </w:tr>
      <w:tr>
        <w:trPr>
          <w:trHeight w:val="172"/>
        </w:trPr>
        <w:tc>
          <w:tcPr>
            <w:tcW w:w="38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color w:val="auto"/>
              </w:rPr>
              <w:t>How we targeted patients to enroll</w:t>
            </w:r>
          </w:p>
        </w:tc>
        <w:tc>
          <w:tcPr>
            <w:tcW w:w="284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Existing adult patients in local ADHD</w:t>
            </w:r>
          </w:p>
        </w:tc>
        <w:tc>
          <w:tcPr>
            <w:tcW w:w="388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Existing adult patients in local clinics; online</w:t>
            </w:r>
          </w:p>
        </w:tc>
      </w:tr>
      <w:tr>
        <w:trPr>
          <w:trHeight w:val="205"/>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treatment clinic</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advertisement; newspaper advertisement</w:t>
            </w:r>
          </w:p>
        </w:tc>
      </w:tr>
      <w:tr>
        <w:trPr>
          <w:trHeight w:val="184"/>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w w:val="93"/>
              </w:rPr>
              <w:t>Whether we conducted the study with any other parties</w:t>
            </w:r>
          </w:p>
        </w:tc>
        <w:tc>
          <w:tcPr>
            <w:tcW w:w="284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No</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No</w:t>
            </w:r>
          </w:p>
        </w:tc>
      </w:tr>
      <w:tr>
        <w:trPr>
          <w:trHeight w:val="172"/>
        </w:trPr>
        <w:tc>
          <w:tcPr>
            <w:tcW w:w="38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color w:val="auto"/>
                <w:w w:val="97"/>
              </w:rPr>
              <w:t>The steps taken to ensure the accuracy of the results</w:t>
            </w:r>
          </w:p>
        </w:tc>
        <w:tc>
          <w:tcPr>
            <w:tcW w:w="6720" w:type="dxa"/>
            <w:vAlign w:val="bottom"/>
            <w:tcBorders>
              <w:right w:val="single" w:sz="8" w:color="auto"/>
            </w:tcBorders>
            <w:gridSpan w:val="2"/>
          </w:tcPr>
          <w:p>
            <w:pPr>
              <w:ind w:left="80"/>
              <w:spacing w:after="0" w:line="171" w:lineRule="exact"/>
              <w:rPr>
                <w:sz w:val="20"/>
                <w:szCs w:val="20"/>
                <w:color w:val="auto"/>
              </w:rPr>
            </w:pPr>
            <w:r>
              <w:rPr>
                <w:rFonts w:ascii="Arial" w:cs="Arial" w:eastAsia="Arial" w:hAnsi="Arial"/>
                <w:sz w:val="16"/>
                <w:szCs w:val="16"/>
                <w:color w:val="auto"/>
                <w:w w:val="93"/>
              </w:rPr>
              <w:t>Outside contract research organization (CRO) oversight, including monitoring visits; outside medical</w:t>
            </w:r>
          </w:p>
        </w:tc>
      </w:tr>
      <w:tr>
        <w:trPr>
          <w:trHeight w:val="192"/>
        </w:trPr>
        <w:tc>
          <w:tcPr>
            <w:tcW w:w="3800" w:type="dxa"/>
            <w:vAlign w:val="bottom"/>
            <w:tcBorders>
              <w:left w:val="single" w:sz="8" w:color="auto"/>
              <w:right w:val="single" w:sz="8" w:color="auto"/>
            </w:tcBorders>
          </w:tcPr>
          <w:p>
            <w:pPr>
              <w:spacing w:after="0"/>
              <w:rPr>
                <w:sz w:val="16"/>
                <w:szCs w:val="16"/>
                <w:color w:val="auto"/>
              </w:rPr>
            </w:pPr>
          </w:p>
        </w:tc>
        <w:tc>
          <w:tcPr>
            <w:tcW w:w="672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monitor; double-typing of data in the data management system; automatic and manual query</w:t>
            </w:r>
          </w:p>
        </w:tc>
      </w:tr>
      <w:tr>
        <w:trPr>
          <w:trHeight w:val="205"/>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28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9"/>
              </w:rPr>
              <w:t>generation; and external expert review</w:t>
            </w:r>
          </w:p>
        </w:tc>
        <w:tc>
          <w:tcPr>
            <w:tcW w:w="3880" w:type="dxa"/>
            <w:vAlign w:val="bottom"/>
            <w:tcBorders>
              <w:bottom w:val="single" w:sz="8" w:color="auto"/>
              <w:right w:val="single" w:sz="8" w:color="auto"/>
            </w:tcBorders>
          </w:tcPr>
          <w:p>
            <w:pPr>
              <w:spacing w:after="0"/>
              <w:rPr>
                <w:sz w:val="17"/>
                <w:szCs w:val="17"/>
                <w:color w:val="auto"/>
              </w:rPr>
            </w:pPr>
          </w:p>
        </w:tc>
      </w:tr>
    </w:tbl>
    <w:p>
      <w:pPr>
        <w:spacing w:after="0" w:line="18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5"/>
          <w:szCs w:val="15"/>
          <w:color w:val="auto"/>
        </w:rPr>
        <w:t>The Phase IIa study was designed to evaluate the effect on cognitive function of a single oral administration of MG01CI in subjects ranging from ages 18-45 who had been diagnosed as having ADHD. The study was performed at the ADHD unit of the Geha Mental Health Hospital (Israel). The primary outcome measures in the trial were the one-hour post-medication ADHD Score, and various TOVA subscores, Secondary outcome measures were subtests from the WAIS-R test. The Wechsler Adult Intelligence Scale, or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155"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Results of this clinical study showed clinically and highly statistically significant improvement in all the TOVA parameters that were abnormal at baseline (see table below). “P values” are a measure of statistical significance. P is a statistical measure for the probability of an error. In clinical investigations, p&lt;0.05 (meaning that the probability of an error in the outcome is less than 5%) is considered a statistically significant finding.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991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99187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20" w:type="dxa"/>
            <w:vAlign w:val="bottom"/>
            <w:tcBorders>
              <w:bottom w:val="single" w:sz="8" w:color="auto"/>
            </w:tcBorders>
            <w:shd w:val="clear" w:color="auto" w:fill="000000"/>
          </w:tcPr>
          <w:p>
            <w:pPr>
              <w:jc w:val="center"/>
              <w:ind w:right="40"/>
              <w:spacing w:after="0"/>
              <w:rPr>
                <w:sz w:val="20"/>
                <w:szCs w:val="20"/>
                <w:color w:val="auto"/>
              </w:rPr>
            </w:pPr>
            <w:r>
              <w:rPr>
                <w:rFonts w:ascii="Arial" w:cs="Arial" w:eastAsia="Arial" w:hAnsi="Arial"/>
                <w:sz w:val="16"/>
                <w:szCs w:val="16"/>
                <w:b w:val="1"/>
                <w:bCs w:val="1"/>
                <w:color w:val="FFFFFF"/>
                <w:w w:val="93"/>
              </w:rPr>
              <w:t>Parameter (n=38)</w:t>
            </w:r>
          </w:p>
        </w:tc>
        <w:tc>
          <w:tcPr>
            <w:tcW w:w="3880" w:type="dxa"/>
            <w:vAlign w:val="bottom"/>
            <w:tcBorders>
              <w:bottom w:val="single" w:sz="8" w:color="auto"/>
            </w:tcBorders>
            <w:gridSpan w:val="2"/>
            <w:shd w:val="clear" w:color="auto" w:fill="000000"/>
          </w:tcPr>
          <w:p>
            <w:pPr>
              <w:jc w:val="center"/>
              <w:ind w:right="280"/>
              <w:spacing w:after="0"/>
              <w:rPr>
                <w:sz w:val="20"/>
                <w:szCs w:val="20"/>
                <w:color w:val="auto"/>
              </w:rPr>
            </w:pPr>
            <w:r>
              <w:rPr>
                <w:rFonts w:ascii="Arial" w:cs="Arial" w:eastAsia="Arial" w:hAnsi="Arial"/>
                <w:sz w:val="16"/>
                <w:szCs w:val="16"/>
                <w:b w:val="1"/>
                <w:bCs w:val="1"/>
                <w:color w:val="FFFFFF"/>
                <w:w w:val="88"/>
              </w:rPr>
              <w:t>Change from baseline</w:t>
            </w:r>
          </w:p>
        </w:tc>
        <w:tc>
          <w:tcPr>
            <w:tcW w:w="3520" w:type="dxa"/>
            <w:vAlign w:val="bottom"/>
            <w:tcBorders>
              <w:bottom w:val="single" w:sz="8" w:color="auto"/>
            </w:tcBorders>
            <w:shd w:val="clear" w:color="auto" w:fill="000000"/>
          </w:tcPr>
          <w:p>
            <w:pPr>
              <w:ind w:left="1600"/>
              <w:spacing w:after="0"/>
              <w:rPr>
                <w:sz w:val="20"/>
                <w:szCs w:val="20"/>
                <w:color w:val="auto"/>
              </w:rPr>
            </w:pPr>
            <w:r>
              <w:rPr>
                <w:rFonts w:ascii="Arial" w:cs="Arial" w:eastAsia="Arial" w:hAnsi="Arial"/>
                <w:sz w:val="16"/>
                <w:szCs w:val="16"/>
                <w:b w:val="1"/>
                <w:bCs w:val="1"/>
                <w:color w:val="FFFFFF"/>
              </w:rPr>
              <w:t>p</w:t>
            </w:r>
          </w:p>
        </w:tc>
      </w:tr>
      <w:tr>
        <w:trPr>
          <w:trHeight w:val="264"/>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90"/>
              </w:rPr>
              <w:t>Omission Score</w:t>
            </w:r>
          </w:p>
        </w:tc>
        <w:tc>
          <w:tcPr>
            <w:tcW w:w="16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+12.9</w:t>
            </w:r>
          </w:p>
        </w:tc>
        <w:tc>
          <w:tcPr>
            <w:tcW w:w="2240" w:type="dxa"/>
            <w:vAlign w:val="bottom"/>
            <w:shd w:val="clear" w:color="auto" w:fill="CBCBCB"/>
          </w:tcPr>
          <w:p>
            <w:pPr>
              <w:ind w:left="20"/>
              <w:spacing w:after="0"/>
              <w:rPr>
                <w:sz w:val="20"/>
                <w:szCs w:val="20"/>
                <w:color w:val="auto"/>
              </w:rPr>
            </w:pPr>
            <w:r>
              <w:rPr>
                <w:rFonts w:ascii="Arial" w:cs="Arial" w:eastAsia="Arial" w:hAnsi="Arial"/>
                <w:sz w:val="16"/>
                <w:szCs w:val="16"/>
                <w:color w:val="auto"/>
              </w:rPr>
              <w:t>(+16.6%)</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3"/>
              </w:rPr>
              <w:t>p&lt;0.03</w:t>
            </w:r>
          </w:p>
        </w:tc>
      </w:tr>
      <w:tr>
        <w:trPr>
          <w:trHeight w:val="252"/>
        </w:trPr>
        <w:tc>
          <w:tcPr>
            <w:tcW w:w="4020" w:type="dxa"/>
            <w:vAlign w:val="bottom"/>
            <w:shd w:val="clear" w:color="auto" w:fill="E7E7E7"/>
          </w:tcPr>
          <w:p>
            <w:pPr>
              <w:jc w:val="center"/>
              <w:ind w:right="40"/>
              <w:spacing w:after="0"/>
              <w:rPr>
                <w:sz w:val="20"/>
                <w:szCs w:val="20"/>
                <w:color w:val="auto"/>
              </w:rPr>
            </w:pPr>
            <w:r>
              <w:rPr>
                <w:rFonts w:ascii="Arial" w:cs="Arial" w:eastAsia="Arial" w:hAnsi="Arial"/>
                <w:sz w:val="16"/>
                <w:szCs w:val="16"/>
                <w:color w:val="auto"/>
                <w:w w:val="90"/>
              </w:rPr>
              <w:t>Commission Score</w:t>
            </w:r>
          </w:p>
        </w:tc>
        <w:tc>
          <w:tcPr>
            <w:tcW w:w="16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+7.0</w:t>
            </w:r>
          </w:p>
        </w:tc>
        <w:tc>
          <w:tcPr>
            <w:tcW w:w="2240" w:type="dxa"/>
            <w:vAlign w:val="bottom"/>
            <w:shd w:val="clear" w:color="auto" w:fill="E7E7E7"/>
          </w:tcPr>
          <w:p>
            <w:pPr>
              <w:ind w:left="20"/>
              <w:spacing w:after="0"/>
              <w:rPr>
                <w:sz w:val="20"/>
                <w:szCs w:val="20"/>
                <w:color w:val="auto"/>
              </w:rPr>
            </w:pPr>
            <w:r>
              <w:rPr>
                <w:rFonts w:ascii="Arial" w:cs="Arial" w:eastAsia="Arial" w:hAnsi="Arial"/>
                <w:sz w:val="16"/>
                <w:szCs w:val="16"/>
                <w:color w:val="auto"/>
              </w:rPr>
              <w:t>(+7.1%)</w:t>
            </w:r>
          </w:p>
        </w:tc>
        <w:tc>
          <w:tcPr>
            <w:tcW w:w="3520" w:type="dxa"/>
            <w:vAlign w:val="bottom"/>
            <w:shd w:val="clear" w:color="auto" w:fill="E7E7E7"/>
          </w:tcPr>
          <w:p>
            <w:pPr>
              <w:jc w:val="center"/>
              <w:ind w:right="140"/>
              <w:spacing w:after="0"/>
              <w:rPr>
                <w:sz w:val="20"/>
                <w:szCs w:val="20"/>
                <w:color w:val="auto"/>
              </w:rPr>
            </w:pPr>
            <w:r>
              <w:rPr>
                <w:rFonts w:ascii="Arial" w:cs="Arial" w:eastAsia="Arial" w:hAnsi="Arial"/>
                <w:sz w:val="16"/>
                <w:szCs w:val="16"/>
                <w:color w:val="auto"/>
                <w:w w:val="93"/>
              </w:rPr>
              <w:t>p&lt;0.01</w:t>
            </w:r>
          </w:p>
        </w:tc>
      </w:tr>
      <w:tr>
        <w:trPr>
          <w:trHeight w:val="252"/>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87"/>
              </w:rPr>
              <w:t>Response Time Score</w:t>
            </w:r>
          </w:p>
        </w:tc>
        <w:tc>
          <w:tcPr>
            <w:tcW w:w="16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+11.0</w:t>
            </w:r>
          </w:p>
        </w:tc>
        <w:tc>
          <w:tcPr>
            <w:tcW w:w="2240" w:type="dxa"/>
            <w:vAlign w:val="bottom"/>
            <w:shd w:val="clear" w:color="auto" w:fill="CBCBCB"/>
          </w:tcPr>
          <w:p>
            <w:pPr>
              <w:ind w:left="20"/>
              <w:spacing w:after="0"/>
              <w:rPr>
                <w:sz w:val="20"/>
                <w:szCs w:val="20"/>
                <w:color w:val="auto"/>
              </w:rPr>
            </w:pPr>
            <w:r>
              <w:rPr>
                <w:rFonts w:ascii="Arial" w:cs="Arial" w:eastAsia="Arial" w:hAnsi="Arial"/>
                <w:sz w:val="16"/>
                <w:szCs w:val="16"/>
                <w:color w:val="auto"/>
              </w:rPr>
              <w:t>(+12.4%)</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3"/>
              </w:rPr>
              <w:t>p&lt;0.02</w:t>
            </w:r>
          </w:p>
        </w:tc>
      </w:tr>
      <w:tr>
        <w:trPr>
          <w:trHeight w:val="252"/>
        </w:trPr>
        <w:tc>
          <w:tcPr>
            <w:tcW w:w="4020" w:type="dxa"/>
            <w:vAlign w:val="bottom"/>
            <w:shd w:val="clear" w:color="auto" w:fill="E7E7E7"/>
          </w:tcPr>
          <w:p>
            <w:pPr>
              <w:jc w:val="center"/>
              <w:ind w:right="40"/>
              <w:spacing w:after="0"/>
              <w:rPr>
                <w:sz w:val="20"/>
                <w:szCs w:val="20"/>
                <w:color w:val="auto"/>
              </w:rPr>
            </w:pPr>
            <w:r>
              <w:rPr>
                <w:rFonts w:ascii="Arial" w:cs="Arial" w:eastAsia="Arial" w:hAnsi="Arial"/>
                <w:sz w:val="16"/>
                <w:szCs w:val="16"/>
                <w:color w:val="auto"/>
                <w:w w:val="90"/>
              </w:rPr>
              <w:t>Response Time Variability Score</w:t>
            </w:r>
          </w:p>
        </w:tc>
        <w:tc>
          <w:tcPr>
            <w:tcW w:w="16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+17.1</w:t>
            </w:r>
          </w:p>
        </w:tc>
        <w:tc>
          <w:tcPr>
            <w:tcW w:w="2240" w:type="dxa"/>
            <w:vAlign w:val="bottom"/>
            <w:shd w:val="clear" w:color="auto" w:fill="E7E7E7"/>
          </w:tcPr>
          <w:p>
            <w:pPr>
              <w:ind w:left="20"/>
              <w:spacing w:after="0"/>
              <w:rPr>
                <w:sz w:val="20"/>
                <w:szCs w:val="20"/>
                <w:color w:val="auto"/>
              </w:rPr>
            </w:pPr>
            <w:r>
              <w:rPr>
                <w:rFonts w:ascii="Arial" w:cs="Arial" w:eastAsia="Arial" w:hAnsi="Arial"/>
                <w:sz w:val="16"/>
                <w:szCs w:val="16"/>
                <w:color w:val="auto"/>
              </w:rPr>
              <w:t>(+38.6%)</w:t>
            </w:r>
          </w:p>
        </w:tc>
        <w:tc>
          <w:tcPr>
            <w:tcW w:w="3520" w:type="dxa"/>
            <w:vAlign w:val="bottom"/>
            <w:shd w:val="clear" w:color="auto" w:fill="E7E7E7"/>
          </w:tcPr>
          <w:p>
            <w:pPr>
              <w:jc w:val="center"/>
              <w:ind w:right="140"/>
              <w:spacing w:after="0"/>
              <w:rPr>
                <w:sz w:val="20"/>
                <w:szCs w:val="20"/>
                <w:color w:val="auto"/>
              </w:rPr>
            </w:pPr>
            <w:r>
              <w:rPr>
                <w:rFonts w:ascii="Arial" w:cs="Arial" w:eastAsia="Arial" w:hAnsi="Arial"/>
                <w:sz w:val="16"/>
                <w:szCs w:val="16"/>
                <w:color w:val="auto"/>
                <w:w w:val="92"/>
              </w:rPr>
              <w:t>p&lt;0.001</w:t>
            </w:r>
          </w:p>
        </w:tc>
      </w:tr>
      <w:tr>
        <w:trPr>
          <w:trHeight w:val="252"/>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93"/>
              </w:rPr>
              <w:t>ADHD Score</w:t>
            </w:r>
          </w:p>
        </w:tc>
        <w:tc>
          <w:tcPr>
            <w:tcW w:w="3880" w:type="dxa"/>
            <w:vAlign w:val="bottom"/>
            <w:gridSpan w:val="2"/>
            <w:shd w:val="clear" w:color="auto" w:fill="CBCBCB"/>
          </w:tcPr>
          <w:p>
            <w:pPr>
              <w:jc w:val="right"/>
              <w:ind w:right="1560"/>
              <w:spacing w:after="0"/>
              <w:rPr>
                <w:sz w:val="20"/>
                <w:szCs w:val="20"/>
                <w:color w:val="auto"/>
              </w:rPr>
            </w:pPr>
            <w:r>
              <w:rPr>
                <w:rFonts w:ascii="Arial" w:cs="Arial" w:eastAsia="Arial" w:hAnsi="Arial"/>
                <w:sz w:val="16"/>
                <w:szCs w:val="16"/>
                <w:color w:val="auto"/>
              </w:rPr>
              <w:t>+3.9 (+65.8%)</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2"/>
              </w:rPr>
              <w:t>p&lt;0.001</w:t>
            </w: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TOVA Subscores</w:t>
      </w:r>
    </w:p>
    <w:p>
      <w:pPr>
        <w:spacing w:after="0" w:line="216"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Furthermore, results of the Wechsler subtests confirmed the ability of MG01CI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1532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1532890"/>
                    </a:xfrm>
                    <a:prstGeom prst="rect">
                      <a:avLst/>
                    </a:prstGeom>
                    <a:noFill/>
                  </pic:spPr>
                </pic:pic>
              </a:graphicData>
            </a:graphic>
          </wp:anchor>
        </w:drawing>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208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w w:val="91"/>
              </w:rPr>
              <w:t>WAIS-R subtest</w:t>
            </w:r>
          </w:p>
        </w:tc>
        <w:tc>
          <w:tcPr>
            <w:tcW w:w="2560" w:type="dxa"/>
            <w:vAlign w:val="bottom"/>
            <w:vMerge w:val="restart"/>
            <w:shd w:val="clear" w:color="auto" w:fill="000000"/>
          </w:tcPr>
          <w:p>
            <w:pPr>
              <w:ind w:left="460"/>
              <w:spacing w:after="0"/>
              <w:rPr>
                <w:sz w:val="20"/>
                <w:szCs w:val="20"/>
                <w:color w:val="auto"/>
              </w:rPr>
            </w:pPr>
            <w:r>
              <w:rPr>
                <w:rFonts w:ascii="Arial" w:cs="Arial" w:eastAsia="Arial" w:hAnsi="Arial"/>
                <w:sz w:val="16"/>
                <w:szCs w:val="16"/>
                <w:b w:val="1"/>
                <w:bCs w:val="1"/>
                <w:color w:val="FFFFFF"/>
              </w:rPr>
              <w:t>Baseline mean (min,max)</w:t>
            </w:r>
          </w:p>
        </w:tc>
        <w:tc>
          <w:tcPr>
            <w:tcW w:w="3100" w:type="dxa"/>
            <w:vAlign w:val="bottom"/>
            <w:gridSpan w:val="2"/>
            <w:vMerge w:val="restart"/>
            <w:shd w:val="clear" w:color="auto" w:fill="000000"/>
          </w:tcPr>
          <w:p>
            <w:pPr>
              <w:ind w:left="380"/>
              <w:spacing w:after="0"/>
              <w:rPr>
                <w:sz w:val="20"/>
                <w:szCs w:val="20"/>
                <w:color w:val="auto"/>
              </w:rPr>
            </w:pPr>
            <w:r>
              <w:rPr>
                <w:rFonts w:ascii="Arial" w:cs="Arial" w:eastAsia="Arial" w:hAnsi="Arial"/>
                <w:sz w:val="16"/>
                <w:szCs w:val="16"/>
                <w:b w:val="1"/>
                <w:bCs w:val="1"/>
                <w:color w:val="FFFFFF"/>
              </w:rPr>
              <w:t>Post medication mean (min,max)</w:t>
            </w:r>
          </w:p>
        </w:tc>
        <w:tc>
          <w:tcPr>
            <w:tcW w:w="1620" w:type="dxa"/>
            <w:vAlign w:val="bottom"/>
            <w:vMerge w:val="restart"/>
            <w:shd w:val="clear" w:color="auto" w:fill="000000"/>
          </w:tcPr>
          <w:p>
            <w:pPr>
              <w:jc w:val="center"/>
              <w:ind w:right="100"/>
              <w:spacing w:after="0"/>
              <w:rPr>
                <w:sz w:val="20"/>
                <w:szCs w:val="20"/>
                <w:color w:val="auto"/>
              </w:rPr>
            </w:pPr>
            <w:r>
              <w:rPr>
                <w:rFonts w:ascii="Arial" w:cs="Arial" w:eastAsia="Arial" w:hAnsi="Arial"/>
                <w:sz w:val="16"/>
                <w:szCs w:val="16"/>
                <w:b w:val="1"/>
                <w:bCs w:val="1"/>
                <w:color w:val="FFFFFF"/>
                <w:w w:val="88"/>
              </w:rPr>
              <w:t>Change</w:t>
            </w:r>
          </w:p>
        </w:tc>
        <w:tc>
          <w:tcPr>
            <w:tcW w:w="2020" w:type="dxa"/>
            <w:vAlign w:val="bottom"/>
            <w:vMerge w:val="restart"/>
            <w:shd w:val="clear" w:color="auto" w:fill="000000"/>
          </w:tcPr>
          <w:p>
            <w:pPr>
              <w:ind w:left="860"/>
              <w:spacing w:after="0"/>
              <w:rPr>
                <w:sz w:val="20"/>
                <w:szCs w:val="20"/>
                <w:color w:val="auto"/>
              </w:rPr>
            </w:pPr>
            <w:r>
              <w:rPr>
                <w:rFonts w:ascii="Arial" w:cs="Arial" w:eastAsia="Arial" w:hAnsi="Arial"/>
                <w:sz w:val="16"/>
                <w:szCs w:val="16"/>
                <w:b w:val="1"/>
                <w:bCs w:val="1"/>
                <w:color w:val="FFFFFF"/>
              </w:rPr>
              <w:t>p</w:t>
            </w:r>
          </w:p>
        </w:tc>
        <w:tc>
          <w:tcPr>
            <w:tcW w:w="0" w:type="dxa"/>
            <w:vAlign w:val="bottom"/>
          </w:tcPr>
          <w:p>
            <w:pPr>
              <w:spacing w:after="0"/>
              <w:rPr>
                <w:sz w:val="1"/>
                <w:szCs w:val="1"/>
                <w:color w:val="auto"/>
              </w:rPr>
            </w:pPr>
          </w:p>
        </w:tc>
      </w:tr>
      <w:tr>
        <w:trPr>
          <w:trHeight w:val="209"/>
        </w:trPr>
        <w:tc>
          <w:tcPr>
            <w:tcW w:w="208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w w:val="91"/>
              </w:rPr>
              <w:t>(n-38)</w:t>
            </w:r>
          </w:p>
        </w:tc>
        <w:tc>
          <w:tcPr>
            <w:tcW w:w="2560" w:type="dxa"/>
            <w:vAlign w:val="bottom"/>
            <w:vMerge w:val="continue"/>
            <w:shd w:val="clear" w:color="auto" w:fill="000000"/>
          </w:tcPr>
          <w:p>
            <w:pPr>
              <w:spacing w:after="0"/>
              <w:rPr>
                <w:sz w:val="18"/>
                <w:szCs w:val="18"/>
                <w:color w:val="auto"/>
              </w:rPr>
            </w:pPr>
          </w:p>
        </w:tc>
        <w:tc>
          <w:tcPr>
            <w:tcW w:w="3100" w:type="dxa"/>
            <w:vAlign w:val="bottom"/>
            <w:gridSpan w:val="2"/>
            <w:vMerge w:val="continue"/>
            <w:shd w:val="clear" w:color="auto" w:fill="000000"/>
          </w:tcPr>
          <w:p>
            <w:pPr>
              <w:spacing w:after="0"/>
              <w:rPr>
                <w:sz w:val="18"/>
                <w:szCs w:val="18"/>
                <w:color w:val="auto"/>
              </w:rPr>
            </w:pPr>
          </w:p>
        </w:tc>
        <w:tc>
          <w:tcPr>
            <w:tcW w:w="1620" w:type="dxa"/>
            <w:vAlign w:val="bottom"/>
            <w:vMerge w:val="continue"/>
            <w:shd w:val="clear" w:color="auto" w:fill="000000"/>
          </w:tcPr>
          <w:p>
            <w:pPr>
              <w:spacing w:after="0"/>
              <w:rPr>
                <w:sz w:val="18"/>
                <w:szCs w:val="18"/>
                <w:color w:val="auto"/>
              </w:rPr>
            </w:pPr>
          </w:p>
        </w:tc>
        <w:tc>
          <w:tcPr>
            <w:tcW w:w="2020" w:type="dxa"/>
            <w:vAlign w:val="bottom"/>
            <w:vMerge w:val="continue"/>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000000"/>
          </w:tcPr>
          <w:p>
            <w:pPr>
              <w:spacing w:after="0"/>
              <w:rPr>
                <w:sz w:val="18"/>
                <w:szCs w:val="18"/>
                <w:color w:val="auto"/>
              </w:rPr>
            </w:pPr>
          </w:p>
        </w:tc>
        <w:tc>
          <w:tcPr>
            <w:tcW w:w="2560" w:type="dxa"/>
            <w:vAlign w:val="bottom"/>
            <w:shd w:val="clear" w:color="auto" w:fill="000000"/>
          </w:tcPr>
          <w:p>
            <w:pPr>
              <w:spacing w:after="0"/>
              <w:rPr>
                <w:sz w:val="18"/>
                <w:szCs w:val="18"/>
                <w:color w:val="auto"/>
              </w:rPr>
            </w:pPr>
          </w:p>
        </w:tc>
        <w:tc>
          <w:tcPr>
            <w:tcW w:w="1400" w:type="dxa"/>
            <w:vAlign w:val="bottom"/>
            <w:shd w:val="clear" w:color="auto" w:fill="000000"/>
          </w:tcPr>
          <w:p>
            <w:pPr>
              <w:spacing w:after="0"/>
              <w:rPr>
                <w:sz w:val="18"/>
                <w:szCs w:val="18"/>
                <w:color w:val="auto"/>
              </w:rPr>
            </w:pPr>
          </w:p>
        </w:tc>
        <w:tc>
          <w:tcPr>
            <w:tcW w:w="1700" w:type="dxa"/>
            <w:vAlign w:val="bottom"/>
            <w:shd w:val="clear" w:color="auto" w:fill="000000"/>
          </w:tcPr>
          <w:p>
            <w:pPr>
              <w:spacing w:after="0"/>
              <w:rPr>
                <w:sz w:val="18"/>
                <w:szCs w:val="18"/>
                <w:color w:val="auto"/>
              </w:rPr>
            </w:pPr>
          </w:p>
        </w:tc>
        <w:tc>
          <w:tcPr>
            <w:tcW w:w="1620" w:type="dxa"/>
            <w:vAlign w:val="bottom"/>
            <w:shd w:val="clear" w:color="auto" w:fill="000000"/>
          </w:tcPr>
          <w:p>
            <w:pPr>
              <w:spacing w:after="0"/>
              <w:rPr>
                <w:sz w:val="18"/>
                <w:szCs w:val="18"/>
                <w:color w:val="auto"/>
              </w:rPr>
            </w:pPr>
          </w:p>
        </w:tc>
        <w:tc>
          <w:tcPr>
            <w:tcW w:w="20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1"/>
              </w:rPr>
              <w:t>Correct Symbols</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34.5 (18,59)</w:t>
            </w:r>
          </w:p>
        </w:tc>
        <w:tc>
          <w:tcPr>
            <w:tcW w:w="14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37.9</w:t>
            </w:r>
          </w:p>
        </w:tc>
        <w:tc>
          <w:tcPr>
            <w:tcW w:w="1700" w:type="dxa"/>
            <w:vAlign w:val="bottom"/>
            <w:shd w:val="clear" w:color="auto" w:fill="BFBFBF"/>
          </w:tcPr>
          <w:p>
            <w:pPr>
              <w:ind w:left="20"/>
              <w:spacing w:after="0"/>
              <w:rPr>
                <w:sz w:val="20"/>
                <w:szCs w:val="20"/>
                <w:color w:val="auto"/>
              </w:rPr>
            </w:pPr>
            <w:r>
              <w:rPr>
                <w:rFonts w:ascii="Arial" w:cs="Arial" w:eastAsia="Arial" w:hAnsi="Arial"/>
                <w:sz w:val="16"/>
                <w:szCs w:val="16"/>
                <w:color w:val="auto"/>
              </w:rPr>
              <w:t>(22,57)</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+3.4</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p&lt;0.002</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3100" w:type="dxa"/>
            <w:vAlign w:val="bottom"/>
            <w:gridSpan w:val="2"/>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88"/>
              </w:rPr>
              <w:t>Symbol Search</w:t>
            </w:r>
          </w:p>
        </w:tc>
        <w:tc>
          <w:tcPr>
            <w:tcW w:w="25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0"/>
              </w:rPr>
              <w:t>74.6 (54,119)</w:t>
            </w:r>
          </w:p>
        </w:tc>
        <w:tc>
          <w:tcPr>
            <w:tcW w:w="3100" w:type="dxa"/>
            <w:vAlign w:val="bottom"/>
            <w:gridSpan w:val="2"/>
            <w:shd w:val="clear" w:color="auto" w:fill="D9D9D9"/>
          </w:tcPr>
          <w:p>
            <w:pPr>
              <w:jc w:val="right"/>
              <w:ind w:right="1100"/>
              <w:spacing w:after="0"/>
              <w:rPr>
                <w:sz w:val="20"/>
                <w:szCs w:val="20"/>
                <w:color w:val="auto"/>
              </w:rPr>
            </w:pPr>
            <w:r>
              <w:rPr>
                <w:rFonts w:ascii="Arial" w:cs="Arial" w:eastAsia="Arial" w:hAnsi="Arial"/>
                <w:sz w:val="16"/>
                <w:szCs w:val="16"/>
                <w:color w:val="auto"/>
              </w:rPr>
              <w:t>81.7 (61,112)</w:t>
            </w:r>
          </w:p>
        </w:tc>
        <w:tc>
          <w:tcPr>
            <w:tcW w:w="162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w w:val="94"/>
              </w:rPr>
              <w:t>+7.2</w:t>
            </w:r>
          </w:p>
        </w:tc>
        <w:tc>
          <w:tcPr>
            <w:tcW w:w="2020" w:type="dxa"/>
            <w:vAlign w:val="bottom"/>
            <w:shd w:val="clear" w:color="auto" w:fill="D9D9D9"/>
          </w:tcPr>
          <w:p>
            <w:pPr>
              <w:jc w:val="center"/>
              <w:ind w:right="120"/>
              <w:spacing w:after="0"/>
              <w:rPr>
                <w:sz w:val="20"/>
                <w:szCs w:val="20"/>
                <w:color w:val="auto"/>
              </w:rPr>
            </w:pPr>
            <w:r>
              <w:rPr>
                <w:rFonts w:ascii="Arial" w:cs="Arial" w:eastAsia="Arial" w:hAnsi="Arial"/>
                <w:sz w:val="16"/>
                <w:szCs w:val="16"/>
                <w:color w:val="auto"/>
                <w:w w:val="92"/>
              </w:rPr>
              <w:t>p&lt;0.001</w:t>
            </w:r>
          </w:p>
        </w:tc>
        <w:tc>
          <w:tcPr>
            <w:tcW w:w="0" w:type="dxa"/>
            <w:vAlign w:val="bottom"/>
          </w:tcPr>
          <w:p>
            <w:pPr>
              <w:spacing w:after="0"/>
              <w:rPr>
                <w:sz w:val="1"/>
                <w:szCs w:val="1"/>
                <w:color w:val="auto"/>
              </w:rPr>
            </w:pPr>
          </w:p>
        </w:tc>
      </w:tr>
      <w:tr>
        <w:trPr>
          <w:trHeight w:val="96"/>
        </w:trPr>
        <w:tc>
          <w:tcPr>
            <w:tcW w:w="2080" w:type="dxa"/>
            <w:vAlign w:val="bottom"/>
            <w:shd w:val="clear" w:color="auto" w:fill="D9D9D9"/>
          </w:tcPr>
          <w:p>
            <w:pPr>
              <w:spacing w:after="0"/>
              <w:rPr>
                <w:sz w:val="8"/>
                <w:szCs w:val="8"/>
                <w:color w:val="auto"/>
              </w:rPr>
            </w:pPr>
          </w:p>
        </w:tc>
        <w:tc>
          <w:tcPr>
            <w:tcW w:w="2560" w:type="dxa"/>
            <w:vAlign w:val="bottom"/>
            <w:shd w:val="clear" w:color="auto" w:fill="D9D9D9"/>
          </w:tcPr>
          <w:p>
            <w:pPr>
              <w:spacing w:after="0"/>
              <w:rPr>
                <w:sz w:val="8"/>
                <w:szCs w:val="8"/>
                <w:color w:val="auto"/>
              </w:rPr>
            </w:pPr>
          </w:p>
        </w:tc>
        <w:tc>
          <w:tcPr>
            <w:tcW w:w="3100" w:type="dxa"/>
            <w:vAlign w:val="bottom"/>
            <w:gridSpan w:val="2"/>
            <w:shd w:val="clear" w:color="auto" w:fill="D9D9D9"/>
          </w:tcPr>
          <w:p>
            <w:pPr>
              <w:spacing w:after="0"/>
              <w:rPr>
                <w:sz w:val="8"/>
                <w:szCs w:val="8"/>
                <w:color w:val="auto"/>
              </w:rPr>
            </w:pPr>
          </w:p>
        </w:tc>
        <w:tc>
          <w:tcPr>
            <w:tcW w:w="1620" w:type="dxa"/>
            <w:vAlign w:val="bottom"/>
            <w:shd w:val="clear" w:color="auto" w:fill="D9D9D9"/>
          </w:tcPr>
          <w:p>
            <w:pPr>
              <w:spacing w:after="0"/>
              <w:rPr>
                <w:sz w:val="8"/>
                <w:szCs w:val="8"/>
                <w:color w:val="auto"/>
              </w:rPr>
            </w:pPr>
          </w:p>
        </w:tc>
        <w:tc>
          <w:tcPr>
            <w:tcW w:w="20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3"/>
              </w:rPr>
              <w:t>Digits Forward</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10.0 (5,14)</w:t>
            </w:r>
          </w:p>
        </w:tc>
        <w:tc>
          <w:tcPr>
            <w:tcW w:w="3100" w:type="dxa"/>
            <w:vAlign w:val="bottom"/>
            <w:gridSpan w:val="2"/>
            <w:shd w:val="clear" w:color="auto" w:fill="BFBFBF"/>
          </w:tcPr>
          <w:p>
            <w:pPr>
              <w:jc w:val="right"/>
              <w:ind w:right="1160"/>
              <w:spacing w:after="0"/>
              <w:rPr>
                <w:sz w:val="20"/>
                <w:szCs w:val="20"/>
                <w:color w:val="auto"/>
              </w:rPr>
            </w:pPr>
            <w:r>
              <w:rPr>
                <w:rFonts w:ascii="Arial" w:cs="Arial" w:eastAsia="Arial" w:hAnsi="Arial"/>
                <w:sz w:val="16"/>
                <w:szCs w:val="16"/>
                <w:color w:val="auto"/>
              </w:rPr>
              <w:t>10.7 (7,14)</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+0.7</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p&lt;0.003</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1400" w:type="dxa"/>
            <w:vAlign w:val="bottom"/>
            <w:shd w:val="clear" w:color="auto" w:fill="BFBFBF"/>
          </w:tcPr>
          <w:p>
            <w:pPr>
              <w:spacing w:after="0"/>
              <w:rPr>
                <w:sz w:val="8"/>
                <w:szCs w:val="8"/>
                <w:color w:val="auto"/>
              </w:rPr>
            </w:pPr>
          </w:p>
        </w:tc>
        <w:tc>
          <w:tcPr>
            <w:tcW w:w="1700" w:type="dxa"/>
            <w:vAlign w:val="bottom"/>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4"/>
              </w:rPr>
              <w:t>Digits Backward</w:t>
            </w:r>
          </w:p>
        </w:tc>
        <w:tc>
          <w:tcPr>
            <w:tcW w:w="25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3"/>
              </w:rPr>
              <w:t>7.0 (3,13)</w:t>
            </w:r>
          </w:p>
        </w:tc>
        <w:tc>
          <w:tcPr>
            <w:tcW w:w="1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7.8</w:t>
            </w:r>
          </w:p>
        </w:tc>
        <w:tc>
          <w:tcPr>
            <w:tcW w:w="1700" w:type="dxa"/>
            <w:vAlign w:val="bottom"/>
            <w:shd w:val="clear" w:color="auto" w:fill="D9D9D9"/>
          </w:tcPr>
          <w:p>
            <w:pPr>
              <w:ind w:left="20"/>
              <w:spacing w:after="0"/>
              <w:rPr>
                <w:sz w:val="20"/>
                <w:szCs w:val="20"/>
                <w:color w:val="auto"/>
              </w:rPr>
            </w:pPr>
            <w:r>
              <w:rPr>
                <w:rFonts w:ascii="Arial" w:cs="Arial" w:eastAsia="Arial" w:hAnsi="Arial"/>
                <w:sz w:val="16"/>
                <w:szCs w:val="16"/>
                <w:color w:val="auto"/>
              </w:rPr>
              <w:t>(2,14)</w:t>
            </w:r>
          </w:p>
        </w:tc>
        <w:tc>
          <w:tcPr>
            <w:tcW w:w="162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w w:val="94"/>
              </w:rPr>
              <w:t>+0.9</w:t>
            </w:r>
          </w:p>
        </w:tc>
        <w:tc>
          <w:tcPr>
            <w:tcW w:w="2020" w:type="dxa"/>
            <w:vAlign w:val="bottom"/>
            <w:shd w:val="clear" w:color="auto" w:fill="D9D9D9"/>
          </w:tcPr>
          <w:p>
            <w:pPr>
              <w:jc w:val="center"/>
              <w:ind w:right="120"/>
              <w:spacing w:after="0"/>
              <w:rPr>
                <w:sz w:val="20"/>
                <w:szCs w:val="20"/>
                <w:color w:val="auto"/>
              </w:rPr>
            </w:pPr>
            <w:r>
              <w:rPr>
                <w:rFonts w:ascii="Arial" w:cs="Arial" w:eastAsia="Arial" w:hAnsi="Arial"/>
                <w:sz w:val="16"/>
                <w:szCs w:val="16"/>
                <w:color w:val="auto"/>
                <w:w w:val="93"/>
              </w:rPr>
              <w:t>p&lt;0.01</w:t>
            </w:r>
          </w:p>
        </w:tc>
        <w:tc>
          <w:tcPr>
            <w:tcW w:w="0" w:type="dxa"/>
            <w:vAlign w:val="bottom"/>
          </w:tcPr>
          <w:p>
            <w:pPr>
              <w:spacing w:after="0"/>
              <w:rPr>
                <w:sz w:val="1"/>
                <w:szCs w:val="1"/>
                <w:color w:val="auto"/>
              </w:rPr>
            </w:pPr>
          </w:p>
        </w:tc>
      </w:tr>
      <w:tr>
        <w:trPr>
          <w:trHeight w:val="96"/>
        </w:trPr>
        <w:tc>
          <w:tcPr>
            <w:tcW w:w="2080" w:type="dxa"/>
            <w:vAlign w:val="bottom"/>
            <w:shd w:val="clear" w:color="auto" w:fill="D9D9D9"/>
          </w:tcPr>
          <w:p>
            <w:pPr>
              <w:spacing w:after="0"/>
              <w:rPr>
                <w:sz w:val="8"/>
                <w:szCs w:val="8"/>
                <w:color w:val="auto"/>
              </w:rPr>
            </w:pPr>
          </w:p>
        </w:tc>
        <w:tc>
          <w:tcPr>
            <w:tcW w:w="2560" w:type="dxa"/>
            <w:vAlign w:val="bottom"/>
            <w:shd w:val="clear" w:color="auto" w:fill="D9D9D9"/>
          </w:tcPr>
          <w:p>
            <w:pPr>
              <w:spacing w:after="0"/>
              <w:rPr>
                <w:sz w:val="8"/>
                <w:szCs w:val="8"/>
                <w:color w:val="auto"/>
              </w:rPr>
            </w:pPr>
          </w:p>
        </w:tc>
        <w:tc>
          <w:tcPr>
            <w:tcW w:w="1400" w:type="dxa"/>
            <w:vAlign w:val="bottom"/>
            <w:shd w:val="clear" w:color="auto" w:fill="D9D9D9"/>
          </w:tcPr>
          <w:p>
            <w:pPr>
              <w:spacing w:after="0"/>
              <w:rPr>
                <w:sz w:val="8"/>
                <w:szCs w:val="8"/>
                <w:color w:val="auto"/>
              </w:rPr>
            </w:pPr>
          </w:p>
        </w:tc>
        <w:tc>
          <w:tcPr>
            <w:tcW w:w="1700" w:type="dxa"/>
            <w:vAlign w:val="bottom"/>
            <w:shd w:val="clear" w:color="auto" w:fill="D9D9D9"/>
          </w:tcPr>
          <w:p>
            <w:pPr>
              <w:spacing w:after="0"/>
              <w:rPr>
                <w:sz w:val="8"/>
                <w:szCs w:val="8"/>
                <w:color w:val="auto"/>
              </w:rPr>
            </w:pPr>
          </w:p>
        </w:tc>
        <w:tc>
          <w:tcPr>
            <w:tcW w:w="1620" w:type="dxa"/>
            <w:vAlign w:val="bottom"/>
            <w:shd w:val="clear" w:color="auto" w:fill="D9D9D9"/>
          </w:tcPr>
          <w:p>
            <w:pPr>
              <w:spacing w:after="0"/>
              <w:rPr>
                <w:sz w:val="8"/>
                <w:szCs w:val="8"/>
                <w:color w:val="auto"/>
              </w:rPr>
            </w:pPr>
          </w:p>
        </w:tc>
        <w:tc>
          <w:tcPr>
            <w:tcW w:w="20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4"/>
              </w:rPr>
              <w:t>Total Digits</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17.0 (9,26)</w:t>
            </w:r>
          </w:p>
        </w:tc>
        <w:tc>
          <w:tcPr>
            <w:tcW w:w="14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18.6</w:t>
            </w:r>
          </w:p>
        </w:tc>
        <w:tc>
          <w:tcPr>
            <w:tcW w:w="1700" w:type="dxa"/>
            <w:vAlign w:val="bottom"/>
            <w:shd w:val="clear" w:color="auto" w:fill="BFBFBF"/>
          </w:tcPr>
          <w:p>
            <w:pPr>
              <w:ind w:left="20"/>
              <w:spacing w:after="0"/>
              <w:rPr>
                <w:sz w:val="20"/>
                <w:szCs w:val="20"/>
                <w:color w:val="auto"/>
              </w:rPr>
            </w:pPr>
            <w:r>
              <w:rPr>
                <w:rFonts w:ascii="Arial" w:cs="Arial" w:eastAsia="Arial" w:hAnsi="Arial"/>
                <w:sz w:val="16"/>
                <w:szCs w:val="16"/>
                <w:color w:val="auto"/>
              </w:rPr>
              <w:t>(10,27)</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+1.6</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p&lt;0.002</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3100" w:type="dxa"/>
            <w:vAlign w:val="bottom"/>
            <w:gridSpan w:val="2"/>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100" w:type="dxa"/>
            <w:vAlign w:val="bottom"/>
            <w:gridSpan w:val="2"/>
          </w:tcPr>
          <w:p>
            <w:pPr>
              <w:ind w:left="380"/>
              <w:spacing w:after="0"/>
              <w:rPr>
                <w:sz w:val="20"/>
                <w:szCs w:val="20"/>
                <w:color w:val="auto"/>
              </w:rPr>
            </w:pPr>
            <w:r>
              <w:rPr>
                <w:rFonts w:ascii="Arial" w:cs="Arial" w:eastAsia="Arial" w:hAnsi="Arial"/>
                <w:sz w:val="16"/>
                <w:szCs w:val="16"/>
                <w:b w:val="1"/>
                <w:bCs w:val="1"/>
                <w:color w:val="auto"/>
              </w:rPr>
              <w:t>Wechsler Subscores</w:t>
            </w: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In a small extension study to study the duration of drug benefits, 10 subjects were evaluated using TOVA immediately before, and 90 minutes, 4 hours and 7 hours after, taking a single 1400mg dose of MG01CI. Data below show the mean TOVA scores in these patients at the specified time points, showing an extended effect of the drug on cognitive functions. A TOVA score of -1.8 or less is considered abnormal.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110490</wp:posOffset>
            </wp:positionV>
            <wp:extent cx="3173095" cy="18535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73095" cy="185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Mean ADHD Scores Following Single MG01CI Dosing</w:t>
      </w:r>
    </w:p>
    <w:p>
      <w:pPr>
        <w:spacing w:after="0" w:line="204" w:lineRule="exact"/>
        <w:rPr>
          <w:sz w:val="20"/>
          <w:szCs w:val="20"/>
          <w:color w:val="auto"/>
        </w:rPr>
      </w:pPr>
    </w:p>
    <w:p>
      <w:pPr>
        <w:ind w:right="320" w:firstLine="360"/>
        <w:spacing w:after="0" w:line="259" w:lineRule="auto"/>
        <w:rPr>
          <w:sz w:val="20"/>
          <w:szCs w:val="20"/>
          <w:color w:val="auto"/>
        </w:rPr>
      </w:pPr>
      <w:r>
        <w:rPr>
          <w:rFonts w:ascii="Arial" w:cs="Arial" w:eastAsia="Arial" w:hAnsi="Arial"/>
          <w:sz w:val="16"/>
          <w:szCs w:val="16"/>
          <w:color w:val="auto"/>
        </w:rPr>
        <w:t>In another extension study designed to validate the MG01CI dose used in studies thus far, 10 subjects were evaluated using TOVA 90 minutes after blindly taking either 700mg, 1400mg or 2100mg doses of MG01CI on separate occasions. TOVA results following these treatments were compared to the baseline and data obtained before any treatment in these patients. Data below show the mean ADHD score in these patients at baseline and following each of the three evaluated drug doses, establishing the likely effective dose range for MG01CI to be 700-1400mg.</w:t>
      </w:r>
    </w:p>
    <w:p>
      <w:pPr>
        <w:sectPr>
          <w:pgSz w:w="11900" w:h="16838" w:orient="portrait"/>
          <w:cols w:equalWidth="0" w:num="1">
            <w:col w:w="11440"/>
          </w:cols>
          <w:pgMar w:left="240" w:top="824" w:right="219" w:bottom="0" w:gutter="0" w:footer="0" w:header="0"/>
        </w:sectPr>
      </w:pPr>
    </w:p>
    <w:bookmarkStart w:id="45" w:name="page46"/>
    <w:bookmarkEnd w:id="45"/>
    <w:p>
      <w:pPr>
        <w:jc w:val="center"/>
        <w:ind w:right="-2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27940</wp:posOffset>
            </wp:positionV>
            <wp:extent cx="726186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653415</wp:posOffset>
            </wp:positionV>
            <wp:extent cx="7317740" cy="5492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Mean ADHD Scores Before and 90 Minutes Following One of Three MG01CI Doses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Phase IIb Clinical Study</w:t>
      </w:r>
    </w:p>
    <w:p>
      <w:pPr>
        <w:spacing w:after="0" w:line="204" w:lineRule="exact"/>
        <w:rPr>
          <w:sz w:val="20"/>
          <w:szCs w:val="20"/>
          <w:color w:val="auto"/>
        </w:rPr>
      </w:pPr>
    </w:p>
    <w:p>
      <w:pPr>
        <w:ind w:right="260" w:firstLine="360"/>
        <w:spacing w:after="0" w:line="312" w:lineRule="auto"/>
        <w:rPr>
          <w:sz w:val="20"/>
          <w:szCs w:val="20"/>
          <w:color w:val="auto"/>
        </w:rPr>
      </w:pPr>
      <w:r>
        <w:rPr>
          <w:rFonts w:ascii="Arial" w:cs="Arial" w:eastAsia="Arial" w:hAnsi="Arial"/>
          <w:sz w:val="15"/>
          <w:szCs w:val="15"/>
          <w:color w:val="auto"/>
        </w:rPr>
        <w:t>We recently completed a six-week randomized, double-blind, placebo-controlled, parallel-group, multi-center Phase IIb study in 120 adult subjects with ADHD that was performed in two centers in Israel: the ADHD unit at Geha Mental Health Hospital and the Cognitive Neurology unit at Rambam Healthcare Campus.</w:t>
      </w:r>
    </w:p>
    <w:p>
      <w:pPr>
        <w:spacing w:after="0" w:line="128" w:lineRule="exact"/>
        <w:rPr>
          <w:sz w:val="20"/>
          <w:szCs w:val="20"/>
          <w:color w:val="auto"/>
        </w:rPr>
      </w:pPr>
    </w:p>
    <w:p>
      <w:pPr>
        <w:ind w:right="340" w:firstLine="360"/>
        <w:spacing w:after="0" w:line="277" w:lineRule="auto"/>
        <w:rPr>
          <w:sz w:val="20"/>
          <w:szCs w:val="20"/>
          <w:color w:val="auto"/>
        </w:rPr>
      </w:pPr>
      <w:r>
        <w:rPr>
          <w:rFonts w:ascii="Arial" w:cs="Arial" w:eastAsia="Arial" w:hAnsi="Arial"/>
          <w:sz w:val="16"/>
          <w:szCs w:val="16"/>
          <w:color w:val="auto"/>
        </w:rPr>
        <w:t>ADHD subjects were randomly assigned in a 1:1 ratio to one of two treatment groups: 1,400mg MG01CI and matching placebo. The primary efficacy measure was the CAARS questionnaire, and the secondary efficacy measures were the TOVA test and the AAQoL questionnaire.</w:t>
      </w:r>
    </w:p>
    <w:p>
      <w:pPr>
        <w:spacing w:after="0" w:line="152" w:lineRule="exact"/>
        <w:rPr>
          <w:sz w:val="20"/>
          <w:szCs w:val="20"/>
          <w:color w:val="auto"/>
        </w:rPr>
      </w:pPr>
    </w:p>
    <w:p>
      <w:pPr>
        <w:ind w:firstLine="360"/>
        <w:spacing w:after="0" w:line="319" w:lineRule="auto"/>
        <w:rPr>
          <w:sz w:val="20"/>
          <w:szCs w:val="20"/>
          <w:color w:val="auto"/>
        </w:rPr>
      </w:pPr>
      <w:r>
        <w:rPr>
          <w:rFonts w:ascii="Arial" w:cs="Arial" w:eastAsia="Arial" w:hAnsi="Arial"/>
          <w:sz w:val="14"/>
          <w:szCs w:val="14"/>
          <w:color w:val="auto"/>
        </w:rPr>
        <w:t>Significant improvements in CAARS scores (p&lt;0.016), TOVA ADHD scores (p&lt;0.02) and AAQoL scores (p&lt;0.01) were observed in the MG01CI treated group versus the placebo group, as can be seen in the image below. Improvements in CAARS and TOVA scores were statistically significant over the placebo after as little as two weeks of treatment. Sub-analysis of subjects with ADHD inattentive type (n=48) showed an even greater improvement in CAARS scores over the placebo, as well as a larger response rate.</w:t>
      </w:r>
    </w:p>
    <w:p>
      <w:pPr>
        <w:sectPr>
          <w:pgSz w:w="11900" w:h="16838" w:orient="portrait"/>
          <w:cols w:equalWidth="0" w:num="1">
            <w:col w:w="11420"/>
          </w:cols>
          <w:pgMar w:left="240" w:top="1440" w:right="2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492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360"/>
        <w:spacing w:after="0" w:line="319" w:lineRule="auto"/>
        <w:rPr>
          <w:sz w:val="20"/>
          <w:szCs w:val="20"/>
          <w:color w:val="auto"/>
        </w:rPr>
      </w:pPr>
      <w:r>
        <w:rPr>
          <w:rFonts w:ascii="Arial" w:cs="Arial" w:eastAsia="Arial" w:hAnsi="Arial"/>
          <w:sz w:val="14"/>
          <w:szCs w:val="14"/>
          <w:color w:val="auto"/>
        </w:rPr>
        <w:t>Physical examination, laboratory parameters, vital signs, and ECGs showed no consistent differences between treatment groups or cumulative changes over time. The most commonly reported adverse events were nausea, fatigue and headache. Nausea was the only adverse event to occur exclusively in the MG01CI group and should be considered an anticipated event in future MG01CI research; fatigue occurred in similar numbers in both groups, and headache occurred notably less frequently in the MG01CI group.</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Summary of Clinical Data and Key Conclusions</w:t>
      </w:r>
    </w:p>
    <w:p>
      <w:pPr>
        <w:spacing w:after="0" w:line="200" w:lineRule="exact"/>
        <w:rPr>
          <w:sz w:val="20"/>
          <w:szCs w:val="20"/>
          <w:color w:val="auto"/>
        </w:rPr>
      </w:pPr>
    </w:p>
    <w:p>
      <w:pPr>
        <w:ind w:right="380" w:firstLine="360"/>
        <w:spacing w:after="0" w:line="277" w:lineRule="auto"/>
        <w:rPr>
          <w:sz w:val="20"/>
          <w:szCs w:val="20"/>
          <w:color w:val="auto"/>
        </w:rPr>
      </w:pPr>
      <w:r>
        <w:rPr>
          <w:rFonts w:ascii="Arial" w:cs="Arial" w:eastAsia="Arial" w:hAnsi="Arial"/>
          <w:sz w:val="16"/>
          <w:szCs w:val="16"/>
          <w:color w:val="auto"/>
        </w:rPr>
        <w:t>Subjects treated with MG01CI showed statistically significant improvement in CAARS Total ADHD Symptoms Score, as well as higher response rates on the CAARS Total ADHD Symptom Score over subjects treated with placebo.</w:t>
      </w:r>
    </w:p>
    <w:p>
      <w:pPr>
        <w:spacing w:after="0" w:line="15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Improvements in ADHD symptoms (scored by CAARS) were significantly different in subjects treated with MG01Cl vs. placebo as early as 2 weeks following treatment initiation.</w:t>
      </w:r>
    </w:p>
    <w:p>
      <w:pPr>
        <w:spacing w:after="0" w:line="152" w:lineRule="exact"/>
        <w:rPr>
          <w:sz w:val="20"/>
          <w:szCs w:val="20"/>
          <w:color w:val="auto"/>
        </w:rPr>
      </w:pPr>
    </w:p>
    <w:p>
      <w:pPr>
        <w:ind w:right="360" w:firstLine="360"/>
        <w:spacing w:after="0" w:line="259" w:lineRule="auto"/>
        <w:rPr>
          <w:sz w:val="20"/>
          <w:szCs w:val="20"/>
          <w:color w:val="auto"/>
        </w:rPr>
      </w:pPr>
      <w:r>
        <w:rPr>
          <w:rFonts w:ascii="Arial" w:cs="Arial" w:eastAsia="Arial" w:hAnsi="Arial"/>
          <w:sz w:val="16"/>
          <w:szCs w:val="16"/>
          <w:color w:val="auto"/>
        </w:rPr>
        <w:t>Improvement in inattention symptoms was statistically significant. One measure of effectiveness is called an “effect size” based on various statistical computations. An effect size of 0.4 has been reported for Atomoxetine, the only approved non-stimulant medication of Adult ADHD. An effect size of 0.9, calculated for the predominantly-inattentive ADHD population in Alcobra's Phase IIb study is therefore significantly higher, and in fact comparable to reported effect sizes of stimulant medications such as Concerta and Adderall.</w:t>
      </w:r>
    </w:p>
    <w:p>
      <w:pPr>
        <w:spacing w:after="0" w:line="167" w:lineRule="exact"/>
        <w:rPr>
          <w:sz w:val="20"/>
          <w:szCs w:val="20"/>
          <w:color w:val="auto"/>
        </w:rPr>
      </w:pPr>
    </w:p>
    <w:p>
      <w:pPr>
        <w:ind w:right="100" w:firstLine="360"/>
        <w:spacing w:after="0" w:line="351" w:lineRule="auto"/>
        <w:rPr>
          <w:sz w:val="20"/>
          <w:szCs w:val="20"/>
          <w:color w:val="auto"/>
        </w:rPr>
      </w:pPr>
      <w:r>
        <w:rPr>
          <w:rFonts w:ascii="Arial" w:cs="Arial" w:eastAsia="Arial" w:hAnsi="Arial"/>
          <w:sz w:val="14"/>
          <w:szCs w:val="14"/>
          <w:color w:val="auto"/>
        </w:rPr>
        <w:t>Statistically significant findings were found using the TOVA neuropsychological test, as well as the Quality of Life questionnaire. TOVA scores were significantly better as early as two weeks after study initiation, and remained significantly better throughout the trial. AAQoL scores were significantly better starting at week 6 of treatment.</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Adverse Events</w:t>
      </w:r>
    </w:p>
    <w:p>
      <w:pPr>
        <w:spacing w:after="0" w:line="20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6"/>
          <w:szCs w:val="16"/>
          <w:color w:val="auto"/>
        </w:rPr>
        <w:t>The most commonly reported adverse events in the various clinical studies were nausea, fatigue and headache. Transient moderate nausea was the only adverse event to occur exclusively in the MG01CI group, with an incidence of approximately 17%; fatigue was largely the same in the control groups and the MGOCI groups, and headache occurred notably less frequently in the MG01CI group, in about 5% of the subjects.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addition, products containing Metadoxine outside the United States cite either complete lack of adverse events or infrequent diarrhea and moderate skin rash.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Commercialization</w:t>
      </w:r>
    </w:p>
    <w:p>
      <w:pPr>
        <w:spacing w:after="0" w:line="204" w:lineRule="exact"/>
        <w:rPr>
          <w:sz w:val="20"/>
          <w:szCs w:val="20"/>
          <w:color w:val="auto"/>
        </w:rPr>
      </w:pPr>
    </w:p>
    <w:p>
      <w:pPr>
        <w:ind w:right="140" w:firstLine="392"/>
        <w:spacing w:after="0" w:line="264" w:lineRule="auto"/>
        <w:rPr>
          <w:sz w:val="20"/>
          <w:szCs w:val="20"/>
          <w:color w:val="auto"/>
        </w:rPr>
      </w:pPr>
      <w:r>
        <w:rPr>
          <w:rFonts w:ascii="Arial" w:cs="Arial" w:eastAsia="Arial" w:hAnsi="Arial"/>
          <w:sz w:val="16"/>
          <w:szCs w:val="16"/>
          <w:color w:val="auto"/>
        </w:rPr>
        <w:t>We do not have any internal sales, marketing or distribution infrastructure. In the event we receive regulatory approval for MG01CI,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Third-Party Reimbursement</w:t>
      </w:r>
    </w:p>
    <w:p>
      <w:pPr>
        <w:spacing w:after="0" w:line="204" w:lineRule="exact"/>
        <w:rPr>
          <w:sz w:val="20"/>
          <w:szCs w:val="20"/>
          <w:color w:val="auto"/>
        </w:rPr>
      </w:pPr>
    </w:p>
    <w:p>
      <w:pPr>
        <w:ind w:right="120" w:firstLine="369"/>
        <w:spacing w:after="0" w:line="264"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MG01CI will be made on a plan by plan, and in some cases, patient by patient, basis.</w:t>
      </w:r>
    </w:p>
    <w:p>
      <w:pPr>
        <w:spacing w:after="0" w:line="162" w:lineRule="exact"/>
        <w:rPr>
          <w:sz w:val="20"/>
          <w:szCs w:val="20"/>
          <w:color w:val="auto"/>
        </w:rPr>
      </w:pPr>
    </w:p>
    <w:p>
      <w:pPr>
        <w:ind w:right="20" w:firstLine="369"/>
        <w:spacing w:after="0" w:line="257" w:lineRule="auto"/>
        <w:rPr>
          <w:sz w:val="20"/>
          <w:szCs w:val="20"/>
          <w:color w:val="auto"/>
        </w:rPr>
      </w:pPr>
      <w:r>
        <w:rPr>
          <w:rFonts w:ascii="Arial" w:cs="Arial" w:eastAsia="Arial" w:hAnsi="Arial"/>
          <w:sz w:val="16"/>
          <w:szCs w:val="16"/>
          <w:color w:val="auto"/>
        </w:rPr>
        <w:t>Within the Medicare program, as a self-administered drug, MG01CI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68" w:lineRule="exact"/>
        <w:rPr>
          <w:sz w:val="20"/>
          <w:szCs w:val="20"/>
          <w:color w:val="auto"/>
        </w:rPr>
      </w:pPr>
    </w:p>
    <w:p>
      <w:pPr>
        <w:ind w:right="140" w:firstLine="370"/>
        <w:spacing w:after="0" w:line="278" w:lineRule="auto"/>
        <w:rPr>
          <w:sz w:val="20"/>
          <w:szCs w:val="20"/>
          <w:color w:val="auto"/>
        </w:rPr>
      </w:pPr>
      <w:r>
        <w:rPr>
          <w:rFonts w:ascii="Arial" w:cs="Arial" w:eastAsia="Arial" w:hAnsi="Arial"/>
          <w:sz w:val="15"/>
          <w:szCs w:val="15"/>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04" w:lineRule="exact"/>
        <w:rPr>
          <w:sz w:val="20"/>
          <w:szCs w:val="20"/>
          <w:color w:val="auto"/>
        </w:rPr>
      </w:pPr>
    </w:p>
    <w:p>
      <w:pPr>
        <w:ind w:firstLine="370"/>
        <w:spacing w:after="0" w:line="289" w:lineRule="auto"/>
        <w:rPr>
          <w:sz w:val="20"/>
          <w:szCs w:val="20"/>
          <w:color w:val="auto"/>
        </w:rPr>
      </w:pPr>
      <w:r>
        <w:rPr>
          <w:rFonts w:ascii="Arial" w:cs="Arial" w:eastAsia="Arial" w:hAnsi="Arial"/>
          <w:sz w:val="15"/>
          <w:szCs w:val="15"/>
          <w:color w:val="auto"/>
        </w:rPr>
        <w:t>We are conducting development activities to expand the commercial potential of MG01CI. 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2012 and 2011, we incurred $818,000 and $1,822,000, respectively, of research and development expense.</w:t>
      </w:r>
    </w:p>
    <w:p>
      <w:pPr>
        <w:spacing w:after="0" w:line="146"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Our clinical studies have been conducted at two established medical institutions in Israel, the ADHD clinic of the Geha Mental Health Hospital and the Cognitive Neurology unit at Rambam Healthcare Campus. We entered into customary clinical trial agreements in February 2011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clinical trials, and the finalization of the Clinical Study Report. The principal investigators at these institutions were Dr. Iris Manor (Geha) and Dr. Rachel Ben Hayun (Rambam). All clinical and nursing staff was compensated entirely by their employer institution. We do not have any other business relationship with any of the investigators.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from the Office of the Israeli Chief Scientist</w:t>
      </w:r>
    </w:p>
    <w:p>
      <w:pPr>
        <w:spacing w:after="0" w:line="204" w:lineRule="exact"/>
        <w:rPr>
          <w:sz w:val="20"/>
          <w:szCs w:val="20"/>
          <w:color w:val="auto"/>
        </w:rPr>
      </w:pPr>
    </w:p>
    <w:p>
      <w:pPr>
        <w:ind w:right="140" w:firstLine="370"/>
        <w:spacing w:after="0" w:line="256"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Strategic Relationship with Teva Pharmaceuticals</w:t>
      </w:r>
    </w:p>
    <w:p>
      <w:pPr>
        <w:spacing w:after="0" w:line="204" w:lineRule="exact"/>
        <w:rPr>
          <w:sz w:val="20"/>
          <w:szCs w:val="20"/>
          <w:color w:val="auto"/>
        </w:rPr>
      </w:pPr>
    </w:p>
    <w:p>
      <w:pPr>
        <w:ind w:right="40" w:firstLine="370"/>
        <w:spacing w:after="0" w:line="259" w:lineRule="auto"/>
        <w:rPr>
          <w:sz w:val="20"/>
          <w:szCs w:val="20"/>
          <w:color w:val="auto"/>
        </w:rPr>
      </w:pPr>
      <w:r>
        <w:rPr>
          <w:rFonts w:ascii="Arial" w:cs="Arial" w:eastAsia="Arial" w:hAnsi="Arial"/>
          <w:sz w:val="16"/>
          <w:szCs w:val="16"/>
          <w:color w:val="auto"/>
        </w:rPr>
        <w:t>Following our successful proof of concept trial in 2010, Teva Pharmaceuticals, the large Israeli generic drug company, made an equity investment in us, negotiated the right to acquire us should MG01CI reach the market, and funded the next stage of clinical development of MG01CI. All of Teva’s rights to the product terminated when it failed to timely exercise an option to continue development of MG01CI in November 2011 after requesting an extension of the deadline. We do not have any continuing obligations to Teva other than that Teva continues to be a shareholder of the Company with related rights.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04" w:lineRule="exact"/>
        <w:rPr>
          <w:sz w:val="20"/>
          <w:szCs w:val="20"/>
          <w:color w:val="auto"/>
        </w:rPr>
      </w:pPr>
    </w:p>
    <w:p>
      <w:pPr>
        <w:ind w:right="240" w:firstLine="370"/>
        <w:spacing w:after="0" w:line="278" w:lineRule="auto"/>
        <w:rPr>
          <w:sz w:val="20"/>
          <w:szCs w:val="20"/>
          <w:color w:val="auto"/>
        </w:rPr>
      </w:pPr>
      <w:r>
        <w:rPr>
          <w:rFonts w:ascii="Arial" w:cs="Arial" w:eastAsia="Arial" w:hAnsi="Arial"/>
          <w:sz w:val="15"/>
          <w:szCs w:val="15"/>
          <w:color w:val="auto"/>
        </w:rPr>
        <w:t>We currently have no manufacturing facilities and no personnel with commercial-scale manufacturing experience. We currently rely on one third-party manufacturer, Patheon Inc., which is located in Cincinnati, Ohio, to produce bulk drug substance and drug products required for our clinical trials. We have entered into a customary clinical trial agreement with Patheon.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49" w:name="page50"/>
    <w:bookmarkEnd w:id="49"/>
    <w:p>
      <w:pPr>
        <w:ind w:right="160" w:firstLine="370"/>
        <w:spacing w:after="0" w:line="312" w:lineRule="auto"/>
        <w:rPr>
          <w:sz w:val="20"/>
          <w:szCs w:val="20"/>
          <w:color w:val="auto"/>
        </w:rPr>
      </w:pPr>
      <w:r>
        <w:rPr>
          <w:rFonts w:ascii="Arial" w:cs="Arial" w:eastAsia="Arial" w:hAnsi="Arial"/>
          <w:sz w:val="15"/>
          <w:szCs w:val="15"/>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28" w:lineRule="exact"/>
        <w:rPr>
          <w:sz w:val="20"/>
          <w:szCs w:val="20"/>
          <w:color w:val="auto"/>
        </w:rPr>
      </w:pPr>
    </w:p>
    <w:p>
      <w:pPr>
        <w:ind w:right="20" w:firstLine="370"/>
        <w:spacing w:after="0" w:line="256" w:lineRule="auto"/>
        <w:rPr>
          <w:sz w:val="20"/>
          <w:szCs w:val="20"/>
          <w:color w:val="auto"/>
        </w:rPr>
      </w:pPr>
      <w:r>
        <w:rPr>
          <w:rFonts w:ascii="Arial" w:cs="Arial" w:eastAsia="Arial" w:hAnsi="Arial"/>
          <w:sz w:val="16"/>
          <w:szCs w:val="16"/>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04"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We face competition from established pharmaceutical and biotechnology companies that currently market a wide range of drugs to treat ADHD. All of these competitors have far greater marketing and research capabilities than us. We also face potential competition from academic institutions, government agencies and private and public research institutions, among others, which may in the future develop products to treat ADHD. All of these companies and institutions may have products in development that are superior to MG01CI. Our commercial opportunity would be reduced significantly if our competitors develop and commercialize products that are safer, more effective, more convenient, have fewer side effects or are less expensive than MG01CI. Public announcements regarding the development of competing drugs could adversely affect the commercial potential of MG01CI.</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4" w:lineRule="exact"/>
        <w:rPr>
          <w:sz w:val="20"/>
          <w:szCs w:val="20"/>
          <w:color w:val="auto"/>
        </w:rPr>
      </w:pPr>
    </w:p>
    <w:p>
      <w:pPr>
        <w:ind w:right="100" w:firstLine="370"/>
        <w:spacing w:after="0" w:line="259" w:lineRule="auto"/>
        <w:rPr>
          <w:sz w:val="20"/>
          <w:szCs w:val="20"/>
          <w:color w:val="auto"/>
        </w:rPr>
      </w:pPr>
      <w:r>
        <w:rPr>
          <w:rFonts w:ascii="Arial" w:cs="Arial" w:eastAsia="Arial" w:hAnsi="Arial"/>
          <w:sz w:val="16"/>
          <w:szCs w:val="16"/>
          <w:color w:val="auto"/>
        </w:rPr>
        <w:t>We seek patent protection in the United States and internationally for MG01CI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67" w:lineRule="exact"/>
        <w:rPr>
          <w:sz w:val="20"/>
          <w:szCs w:val="20"/>
          <w:color w:val="auto"/>
        </w:rPr>
      </w:pPr>
    </w:p>
    <w:p>
      <w:pPr>
        <w:ind w:right="80" w:firstLine="370"/>
        <w:spacing w:after="0" w:line="255" w:lineRule="auto"/>
        <w:rPr>
          <w:sz w:val="20"/>
          <w:szCs w:val="20"/>
          <w:color w:val="auto"/>
        </w:rPr>
      </w:pPr>
      <w:r>
        <w:rPr>
          <w:rFonts w:ascii="Arial" w:cs="Arial" w:eastAsia="Arial" w:hAnsi="Arial"/>
          <w:sz w:val="16"/>
          <w:szCs w:val="16"/>
          <w:color w:val="auto"/>
        </w:rPr>
        <w:t>One of our patent applications has been allowed by the U.S. PTO, and we expect the patent to be issued shortly. No patents have yet been issued on any of our patent applications. We cannot be sure that any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69" w:lineRule="exact"/>
        <w:rPr>
          <w:sz w:val="20"/>
          <w:szCs w:val="20"/>
          <w:color w:val="auto"/>
        </w:rPr>
      </w:pPr>
    </w:p>
    <w:p>
      <w:pPr>
        <w:ind w:right="180" w:firstLine="370"/>
        <w:spacing w:after="0" w:line="25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success depends in part on our ability to:</w:t>
      </w:r>
    </w:p>
    <w:p>
      <w:pPr>
        <w:spacing w:after="0" w:line="200" w:lineRule="exact"/>
        <w:rPr>
          <w:sz w:val="20"/>
          <w:szCs w:val="20"/>
          <w:color w:val="auto"/>
        </w:rPr>
      </w:pPr>
    </w:p>
    <w:p>
      <w:pPr>
        <w:ind w:left="640" w:hanging="284"/>
        <w:spacing w:after="0"/>
        <w:tabs>
          <w:tab w:leader="none" w:pos="640" w:val="left"/>
        </w:tabs>
        <w:numPr>
          <w:ilvl w:val="0"/>
          <w:numId w:val="43"/>
        </w:numPr>
        <w:rPr>
          <w:rFonts w:ascii="Arial" w:cs="Arial" w:eastAsia="Arial" w:hAnsi="Arial"/>
          <w:sz w:val="16"/>
          <w:szCs w:val="16"/>
          <w:color w:val="A6A6A6"/>
        </w:rPr>
      </w:pPr>
      <w:r>
        <w:rPr>
          <w:rFonts w:ascii="Arial" w:cs="Arial" w:eastAsia="Arial" w:hAnsi="Arial"/>
          <w:sz w:val="16"/>
          <w:szCs w:val="16"/>
          <w:color w:val="auto"/>
        </w:rPr>
        <w:t>preserve trade secrets;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43"/>
        </w:numPr>
        <w:rPr>
          <w:rFonts w:ascii="Arial" w:cs="Arial" w:eastAsia="Arial" w:hAnsi="Arial"/>
          <w:sz w:val="16"/>
          <w:szCs w:val="16"/>
          <w:color w:val="A6A6A6"/>
        </w:rPr>
      </w:pPr>
      <w:r>
        <w:rPr>
          <w:rFonts w:ascii="Arial" w:cs="Arial" w:eastAsia="Arial" w:hAnsi="Arial"/>
          <w:sz w:val="16"/>
          <w:szCs w:val="16"/>
          <w:color w:val="auto"/>
        </w:rPr>
        <w:t>prevent third parties from infringing upon our proprietary rights;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43"/>
        </w:numPr>
        <w:rPr>
          <w:rFonts w:ascii="Arial" w:cs="Arial" w:eastAsia="Arial" w:hAnsi="Arial"/>
          <w:sz w:val="16"/>
          <w:szCs w:val="16"/>
          <w:color w:val="A6A6A6"/>
        </w:rPr>
      </w:pPr>
      <w:r>
        <w:rPr>
          <w:rFonts w:ascii="Arial" w:cs="Arial" w:eastAsia="Arial" w:hAnsi="Arial"/>
          <w:sz w:val="16"/>
          <w:szCs w:val="16"/>
          <w:color w:val="auto"/>
        </w:rPr>
        <w:t>operate our business without infringing the patents and proprietary rights of third parties, both in the United States and internationally.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50" w:name="page51"/>
    <w:bookmarkEnd w:id="50"/>
    <w:p>
      <w:pPr>
        <w:ind w:right="60" w:firstLine="370"/>
        <w:spacing w:after="0" w:line="282" w:lineRule="auto"/>
        <w:rPr>
          <w:sz w:val="20"/>
          <w:szCs w:val="20"/>
          <w:color w:val="auto"/>
        </w:rPr>
      </w:pPr>
      <w:r>
        <w:rPr>
          <w:rFonts w:ascii="Arial" w:cs="Arial" w:eastAsia="Arial" w:hAnsi="Arial"/>
          <w:sz w:val="15"/>
          <w:szCs w:val="15"/>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Clinical trials, the drug approval process, and the marketing of drugs is intensively regulated in the United States and in all major foreign countries.</w:t>
      </w:r>
    </w:p>
    <w:p>
      <w:pPr>
        <w:spacing w:after="0" w:line="200"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an Institutional Review Board,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68" w:lineRule="exact"/>
        <w:rPr>
          <w:sz w:val="20"/>
          <w:szCs w:val="20"/>
          <w:color w:val="auto"/>
        </w:rPr>
      </w:pPr>
    </w:p>
    <w:p>
      <w:pPr>
        <w:ind w:right="280" w:firstLine="370"/>
        <w:spacing w:after="0" w:line="319" w:lineRule="auto"/>
        <w:rPr>
          <w:sz w:val="20"/>
          <w:szCs w:val="20"/>
          <w:color w:val="auto"/>
        </w:rPr>
      </w:pPr>
      <w:r>
        <w:rPr>
          <w:rFonts w:ascii="Arial" w:cs="Arial" w:eastAsia="Arial" w:hAnsi="Arial"/>
          <w:sz w:val="14"/>
          <w:szCs w:val="14"/>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27" w:lineRule="exact"/>
        <w:rPr>
          <w:sz w:val="20"/>
          <w:szCs w:val="20"/>
          <w:color w:val="auto"/>
        </w:rPr>
      </w:pPr>
    </w:p>
    <w:p>
      <w:pPr>
        <w:jc w:val="both"/>
        <w:ind w:right="200" w:firstLine="370"/>
        <w:spacing w:after="0" w:line="264"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or delay regulatory approval of MG01CI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Marketing Approval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process required by the FDA before drugs may be marketed in the United States generally involves the following:</w:t>
      </w:r>
    </w:p>
    <w:p>
      <w:pPr>
        <w:spacing w:after="0" w:line="200" w:lineRule="exact"/>
        <w:rPr>
          <w:sz w:val="20"/>
          <w:szCs w:val="20"/>
          <w:color w:val="auto"/>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nonclinical laboratory and animal tests;</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submission of an Investigational New Drug, or IND, application which must become effective before clinical trials may begin;</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adequate and well-controlled human clinical trials to establish the safety and efficacy of the proposed drug for its intended use or uses;</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pre-approval inspection of manufacturing facilities and clinical trial sites; and</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FDA approval of a new drug application (NDA) which must occur before a drug can be marketed or sold.</w:t>
      </w:r>
    </w:p>
    <w:p>
      <w:pPr>
        <w:spacing w:after="0" w:line="200" w:lineRule="exact"/>
        <w:rPr>
          <w:sz w:val="20"/>
          <w:szCs w:val="20"/>
          <w:color w:val="auto"/>
        </w:rPr>
      </w:pPr>
    </w:p>
    <w:p>
      <w:pPr>
        <w:ind w:right="320" w:firstLine="360"/>
        <w:spacing w:after="0" w:line="277" w:lineRule="auto"/>
        <w:rPr>
          <w:sz w:val="20"/>
          <w:szCs w:val="20"/>
          <w:color w:val="auto"/>
        </w:rPr>
      </w:pPr>
      <w:r>
        <w:rPr>
          <w:rFonts w:ascii="Arial" w:cs="Arial" w:eastAsia="Arial" w:hAnsi="Arial"/>
          <w:sz w:val="16"/>
          <w:szCs w:val="16"/>
          <w:color w:val="auto"/>
        </w:rPr>
        <w:t>The testing and approval process requires substantial time and financial resources, and we cannot be certain that any approvals for MG01CI will be granted on a timely basis if at all.</w:t>
      </w:r>
    </w:p>
    <w:p>
      <w:pPr>
        <w:spacing w:after="0" w:line="152" w:lineRule="exact"/>
        <w:rPr>
          <w:sz w:val="20"/>
          <w:szCs w:val="20"/>
          <w:color w:val="auto"/>
        </w:rPr>
      </w:pPr>
    </w:p>
    <w:p>
      <w:pPr>
        <w:ind w:right="460" w:firstLine="370"/>
        <w:spacing w:after="0" w:line="312" w:lineRule="auto"/>
        <w:rPr>
          <w:sz w:val="20"/>
          <w:szCs w:val="20"/>
          <w:color w:val="auto"/>
        </w:rPr>
      </w:pPr>
      <w:r>
        <w:rPr>
          <w:rFonts w:ascii="Arial" w:cs="Arial" w:eastAsia="Arial" w:hAnsi="Arial"/>
          <w:sz w:val="15"/>
          <w:szCs w:val="15"/>
          <w:color w:val="auto"/>
        </w:rPr>
        <w:t>We will need to successfully complete extensive additional clinical trials in order to be in a position to submit a new drug application to the FDA. Our planned future clinical trials for MG01CI may not begin or be completed on schedule, if at all. Clinical trials can be delayed for a variety of reasons, including delays in:</w:t>
      </w:r>
    </w:p>
    <w:p>
      <w:pPr>
        <w:spacing w:after="0" w:line="128" w:lineRule="exact"/>
        <w:rPr>
          <w:sz w:val="20"/>
          <w:szCs w:val="20"/>
          <w:color w:val="auto"/>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obtaining regulatory approval to commence a study;</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5"/>
          <w:szCs w:val="15"/>
          <w:color w:val="A6A6A6"/>
        </w:rPr>
      </w:pPr>
      <w:r>
        <w:rPr>
          <w:rFonts w:ascii="Arial" w:cs="Arial" w:eastAsia="Arial" w:hAnsi="Arial"/>
          <w:sz w:val="15"/>
          <w:szCs w:val="15"/>
          <w:color w:val="auto"/>
        </w:rPr>
        <w:t>reaching agreement with third-party clinical trial sites and their subsequent performance in conducting accurate and reliable studies on a timely basis;</w:t>
      </w:r>
    </w:p>
    <w:p>
      <w:pPr>
        <w:spacing w:after="0" w:line="211" w:lineRule="exact"/>
        <w:rPr>
          <w:rFonts w:ascii="Arial" w:cs="Arial" w:eastAsia="Arial" w:hAnsi="Arial"/>
          <w:sz w:val="15"/>
          <w:szCs w:val="15"/>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obtaining institutional review board approval to conduct a study at a prospective site;</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recruiting patients to participate in a study; and</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supply of the drug.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51" w:name="page52"/>
    <w:bookmarkEnd w:id="51"/>
    <w:p>
      <w:pPr>
        <w:ind w:right="240" w:firstLine="369"/>
        <w:spacing w:after="0" w:line="257" w:lineRule="auto"/>
        <w:rPr>
          <w:sz w:val="20"/>
          <w:szCs w:val="20"/>
          <w:color w:val="auto"/>
        </w:rPr>
      </w:pPr>
      <w:r>
        <w:rPr>
          <w:rFonts w:ascii="Arial" w:cs="Arial" w:eastAsia="Arial" w:hAnsi="Arial"/>
          <w:sz w:val="16"/>
          <w:szCs w:val="16"/>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68" w:lineRule="exact"/>
        <w:rPr>
          <w:sz w:val="20"/>
          <w:szCs w:val="20"/>
          <w:color w:val="auto"/>
        </w:rPr>
      </w:pPr>
    </w:p>
    <w:p>
      <w:pPr>
        <w:ind w:right="20" w:firstLine="335"/>
        <w:spacing w:after="0" w:line="259" w:lineRule="auto"/>
        <w:rPr>
          <w:sz w:val="20"/>
          <w:szCs w:val="20"/>
          <w:color w:val="auto"/>
        </w:rPr>
      </w:pPr>
      <w:r>
        <w:rPr>
          <w:rFonts w:ascii="Arial" w:cs="Arial" w:eastAsia="Arial" w:hAnsi="Arial"/>
          <w:sz w:val="16"/>
          <w:szCs w:val="16"/>
          <w:color w:val="auto"/>
        </w:rPr>
        <w:t>Our objective is to conduct additional clinical trials for MG01CI and, if those trials are successful, seek marketing approval from the FDA and other worldwide regulatory bodies. To achieve this objective, we plan to initiate and complete two parallel Phase III clinical trials of MG01CI for the treatment of ADHD in adults, and, if it is successful, file for marketing approval for adults initially in the United States and the European Union. We completed a Phase II trial in 2011 and plan to begin an advanced clinical study in 2013.</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NDA approval, human clinical trials are typically conducted in phases that may overlap.</w:t>
      </w:r>
    </w:p>
    <w:p>
      <w:pPr>
        <w:spacing w:after="0" w:line="200" w:lineRule="exact"/>
        <w:rPr>
          <w:sz w:val="20"/>
          <w:szCs w:val="20"/>
          <w:color w:val="auto"/>
        </w:rPr>
      </w:pPr>
    </w:p>
    <w:p>
      <w:pPr>
        <w:jc w:val="both"/>
        <w:ind w:left="360" w:hanging="4"/>
        <w:spacing w:after="0" w:line="264" w:lineRule="auto"/>
        <w:tabs>
          <w:tab w:leader="none" w:pos="640" w:val="left"/>
        </w:tabs>
        <w:numPr>
          <w:ilvl w:val="0"/>
          <w:numId w:val="46"/>
        </w:numPr>
        <w:rPr>
          <w:rFonts w:ascii="Arial" w:cs="Arial" w:eastAsia="Arial" w:hAnsi="Arial"/>
          <w:sz w:val="16"/>
          <w:szCs w:val="16"/>
          <w:color w:val="BFBFBF"/>
        </w:rPr>
      </w:pPr>
      <w:r>
        <w:rPr>
          <w:rFonts w:ascii="Arial" w:cs="Arial" w:eastAsia="Arial" w:hAnsi="Arial"/>
          <w:sz w:val="16"/>
          <w:szCs w:val="16"/>
          <w:i w:val="1"/>
          <w:iCs w:val="1"/>
          <w:color w:val="auto"/>
        </w:rPr>
        <w:t xml:space="preserve">Phase I. </w:t>
      </w:r>
      <w:r>
        <w:rPr>
          <w:rFonts w:ascii="Arial" w:cs="Arial" w:eastAsia="Arial" w:hAnsi="Arial"/>
          <w:sz w:val="16"/>
          <w:szCs w:val="16"/>
          <w:color w:val="auto"/>
        </w:rPr>
        <w:t>The drug is initially introduced into healthy human subjects and tested for safety, dosage tolerance, absorption, metabolism, distribution and excretion.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case of some products for severe or life-threatening diseases, especially when the product may be too inherently toxic to ethically administer to healthy volunteers, the initial human testing is often conducted in patients.</w:t>
      </w:r>
    </w:p>
    <w:p>
      <w:pPr>
        <w:spacing w:after="0" w:line="161" w:lineRule="exact"/>
        <w:rPr>
          <w:rFonts w:ascii="Arial" w:cs="Arial" w:eastAsia="Arial" w:hAnsi="Arial"/>
          <w:sz w:val="16"/>
          <w:szCs w:val="16"/>
          <w:color w:val="BFBFBF"/>
        </w:rPr>
      </w:pPr>
    </w:p>
    <w:p>
      <w:pPr>
        <w:ind w:left="360" w:right="60" w:hanging="4"/>
        <w:spacing w:after="0" w:line="319" w:lineRule="auto"/>
        <w:tabs>
          <w:tab w:leader="none" w:pos="640" w:val="left"/>
        </w:tabs>
        <w:numPr>
          <w:ilvl w:val="0"/>
          <w:numId w:val="46"/>
        </w:numPr>
        <w:rPr>
          <w:rFonts w:ascii="Arial" w:cs="Arial" w:eastAsia="Arial" w:hAnsi="Arial"/>
          <w:sz w:val="14"/>
          <w:szCs w:val="14"/>
          <w:color w:val="BFBFBF"/>
        </w:rPr>
      </w:pPr>
      <w:r>
        <w:rPr>
          <w:rFonts w:ascii="Arial" w:cs="Arial" w:eastAsia="Arial" w:hAnsi="Arial"/>
          <w:sz w:val="14"/>
          <w:szCs w:val="14"/>
          <w:i w:val="1"/>
          <w:iCs w:val="1"/>
          <w:color w:val="auto"/>
        </w:rPr>
        <w:t xml:space="preserve">Phase II. </w:t>
      </w:r>
      <w:r>
        <w:rPr>
          <w:rFonts w:ascii="Arial" w:cs="Arial" w:eastAsia="Arial" w:hAnsi="Arial"/>
          <w:sz w:val="14"/>
          <w:szCs w:val="14"/>
          <w:color w:val="auto"/>
        </w:rPr>
        <w:t>This phase involves trials in a limited patient population to identify possible adverse effects and safety risks, to preliminarily evaluate the efficacy of the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 for specific targeted diseases and to determine dosage tolerance and optimal dosage. Phase II studies may be sub-categorized to Phase IIa studies which are smaller, pilot studies to evaluate limited drug exposure and efficacy signals, and Phase IIb studies which are larger studies testing more rigorously both safety and efficacy.</w:t>
      </w:r>
    </w:p>
    <w:p>
      <w:pPr>
        <w:spacing w:after="0" w:line="319" w:lineRule="exact"/>
        <w:rPr>
          <w:rFonts w:ascii="Arial" w:cs="Arial" w:eastAsia="Arial" w:hAnsi="Arial"/>
          <w:sz w:val="14"/>
          <w:szCs w:val="14"/>
          <w:color w:val="BFBFBF"/>
        </w:rPr>
      </w:pPr>
    </w:p>
    <w:p>
      <w:pPr>
        <w:ind w:left="360" w:right="320" w:hanging="4"/>
        <w:spacing w:after="0" w:line="351" w:lineRule="auto"/>
        <w:tabs>
          <w:tab w:leader="none" w:pos="640" w:val="left"/>
        </w:tabs>
        <w:numPr>
          <w:ilvl w:val="0"/>
          <w:numId w:val="46"/>
        </w:numPr>
        <w:rPr>
          <w:rFonts w:ascii="Arial" w:cs="Arial" w:eastAsia="Arial" w:hAnsi="Arial"/>
          <w:sz w:val="14"/>
          <w:szCs w:val="14"/>
          <w:color w:val="BFBFBF"/>
        </w:rPr>
      </w:pPr>
      <w:r>
        <w:rPr>
          <w:rFonts w:ascii="Arial" w:cs="Arial" w:eastAsia="Arial" w:hAnsi="Arial"/>
          <w:sz w:val="14"/>
          <w:szCs w:val="14"/>
          <w:i w:val="1"/>
          <w:iCs w:val="1"/>
          <w:color w:val="auto"/>
        </w:rPr>
        <w:t xml:space="preserve">Phase III. </w:t>
      </w:r>
      <w:r>
        <w:rPr>
          <w:rFonts w:ascii="Arial" w:cs="Arial" w:eastAsia="Arial" w:hAnsi="Arial"/>
          <w:sz w:val="14"/>
          <w:szCs w:val="14"/>
          <w:color w:val="auto"/>
        </w:rPr>
        <w:t>This phase involves trials undertaken to further evaluate dosage, clinical efficacy and safety in an expanded patient population, often at geographically</w:t>
      </w:r>
      <w:r>
        <w:rPr>
          <w:rFonts w:ascii="Arial" w:cs="Arial" w:eastAsia="Arial" w:hAnsi="Arial"/>
          <w:sz w:val="14"/>
          <w:szCs w:val="14"/>
          <w:i w:val="1"/>
          <w:iCs w:val="1"/>
          <w:color w:val="auto"/>
        </w:rPr>
        <w:t xml:space="preserve"> </w:t>
      </w:r>
      <w:r>
        <w:rPr>
          <w:rFonts w:ascii="Arial" w:cs="Arial" w:eastAsia="Arial" w:hAnsi="Arial"/>
          <w:sz w:val="14"/>
          <w:szCs w:val="14"/>
          <w:color w:val="auto"/>
        </w:rPr>
        <w:t>dispersed clinical trial sites. These trials are intended to establish the overall risk/benefit ratio of the product and provide an adequate basis for product labeling.</w:t>
      </w:r>
    </w:p>
    <w:p>
      <w:pPr>
        <w:spacing w:after="0" w:line="2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All of these trials must be conducted in accordance with good clinical practice requirements in order for the data to be considered reliable for regulatory purposes.</w:t>
      </w:r>
    </w:p>
    <w:p>
      <w:pPr>
        <w:spacing w:after="0" w:line="212" w:lineRule="exact"/>
        <w:rPr>
          <w:sz w:val="20"/>
          <w:szCs w:val="20"/>
          <w:color w:val="auto"/>
        </w:rPr>
      </w:pPr>
    </w:p>
    <w:p>
      <w:pPr>
        <w:ind w:right="100" w:firstLine="370"/>
        <w:spacing w:after="0" w:line="278" w:lineRule="auto"/>
        <w:rPr>
          <w:sz w:val="20"/>
          <w:szCs w:val="20"/>
          <w:color w:val="auto"/>
        </w:rPr>
      </w:pPr>
      <w:r>
        <w:rPr>
          <w:rFonts w:ascii="Arial" w:cs="Arial" w:eastAsia="Arial" w:hAnsi="Arial"/>
          <w:sz w:val="15"/>
          <w:szCs w:val="15"/>
          <w:color w:val="auto"/>
        </w:rPr>
        <w:t>Typically, if a drug product is intended to treat a chronic disease, as is the case with MG01CI,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MG01CI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The NDA Approval Process</w:t>
      </w:r>
    </w:p>
    <w:p>
      <w:pPr>
        <w:spacing w:after="0" w:line="200" w:lineRule="exact"/>
        <w:rPr>
          <w:sz w:val="20"/>
          <w:szCs w:val="20"/>
          <w:color w:val="auto"/>
        </w:rPr>
      </w:pPr>
    </w:p>
    <w:p>
      <w:pPr>
        <w:ind w:right="120" w:firstLine="370"/>
        <w:spacing w:after="0" w:line="256"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8" w:lineRule="exact"/>
        <w:rPr>
          <w:sz w:val="20"/>
          <w:szCs w:val="20"/>
          <w:color w:val="auto"/>
        </w:rPr>
      </w:pPr>
    </w:p>
    <w:p>
      <w:pPr>
        <w:ind w:right="40" w:firstLine="370"/>
        <w:spacing w:after="0" w:line="274" w:lineRule="auto"/>
        <w:rPr>
          <w:sz w:val="20"/>
          <w:szCs w:val="20"/>
          <w:color w:val="auto"/>
        </w:rPr>
      </w:pPr>
      <w:r>
        <w:rPr>
          <w:rFonts w:ascii="Arial" w:cs="Arial" w:eastAsia="Arial" w:hAnsi="Arial"/>
          <w:sz w:val="15"/>
          <w:szCs w:val="15"/>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2" w:name="page53"/>
    <w:bookmarkEnd w:id="52"/>
    <w:p>
      <w:pPr>
        <w:ind w:right="60" w:firstLine="370"/>
        <w:spacing w:after="0" w:line="282" w:lineRule="auto"/>
        <w:rPr>
          <w:sz w:val="20"/>
          <w:szCs w:val="20"/>
          <w:color w:val="auto"/>
        </w:rPr>
      </w:pPr>
      <w:r>
        <w:rPr>
          <w:rFonts w:ascii="Arial" w:cs="Arial" w:eastAsia="Arial" w:hAnsi="Arial"/>
          <w:sz w:val="15"/>
          <w:szCs w:val="15"/>
          <w:color w:val="auto"/>
        </w:rPr>
        <w:t>Based on pivotal Phase III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50" w:lineRule="exact"/>
        <w:rPr>
          <w:sz w:val="20"/>
          <w:szCs w:val="20"/>
          <w:color w:val="auto"/>
        </w:rPr>
      </w:pPr>
    </w:p>
    <w:p>
      <w:pPr>
        <w:jc w:val="both"/>
        <w:ind w:right="20" w:firstLine="370"/>
        <w:spacing w:after="0" w:line="289" w:lineRule="auto"/>
        <w:rPr>
          <w:sz w:val="20"/>
          <w:szCs w:val="20"/>
          <w:color w:val="auto"/>
        </w:rPr>
      </w:pPr>
      <w:r>
        <w:rPr>
          <w:rFonts w:ascii="Arial" w:cs="Arial" w:eastAsia="Arial" w:hAnsi="Arial"/>
          <w:sz w:val="15"/>
          <w:szCs w:val="15"/>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46" w:lineRule="exact"/>
        <w:rPr>
          <w:sz w:val="20"/>
          <w:szCs w:val="20"/>
          <w:color w:val="auto"/>
        </w:rPr>
      </w:pPr>
    </w:p>
    <w:p>
      <w:pPr>
        <w:ind w:right="320" w:firstLine="256"/>
        <w:spacing w:after="0" w:line="351" w:lineRule="auto"/>
        <w:rPr>
          <w:sz w:val="20"/>
          <w:szCs w:val="20"/>
          <w:color w:val="auto"/>
        </w:rPr>
      </w:pPr>
      <w:r>
        <w:rPr>
          <w:rFonts w:ascii="Arial" w:cs="Arial" w:eastAsia="Arial" w:hAnsi="Arial"/>
          <w:sz w:val="14"/>
          <w:szCs w:val="14"/>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06" w:lineRule="exact"/>
        <w:rPr>
          <w:sz w:val="20"/>
          <w:szCs w:val="20"/>
          <w:color w:val="auto"/>
        </w:rPr>
      </w:pPr>
    </w:p>
    <w:p>
      <w:pPr>
        <w:ind w:firstLine="216"/>
        <w:spacing w:after="0" w:line="278" w:lineRule="auto"/>
        <w:rPr>
          <w:sz w:val="20"/>
          <w:szCs w:val="20"/>
          <w:color w:val="auto"/>
        </w:rPr>
      </w:pPr>
      <w:r>
        <w:rPr>
          <w:rFonts w:ascii="Arial" w:cs="Arial" w:eastAsia="Arial" w:hAnsi="Arial"/>
          <w:sz w:val="15"/>
          <w:szCs w:val="15"/>
          <w:color w:val="auto"/>
        </w:rPr>
        <w:t>Additionally, before approving an NDA, the FDA may inspect one or more clinical sites to assure compliance with good clinical practices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54" w:lineRule="exact"/>
        <w:rPr>
          <w:sz w:val="20"/>
          <w:szCs w:val="20"/>
          <w:color w:val="auto"/>
        </w:rPr>
      </w:pPr>
    </w:p>
    <w:p>
      <w:pPr>
        <w:ind w:firstLine="370"/>
        <w:spacing w:after="0" w:line="259" w:lineRule="auto"/>
        <w:rPr>
          <w:sz w:val="20"/>
          <w:szCs w:val="20"/>
          <w:color w:val="auto"/>
        </w:rPr>
      </w:pPr>
      <w:r>
        <w:rPr>
          <w:rFonts w:ascii="Arial" w:cs="Arial" w:eastAsia="Arial" w:hAnsi="Arial"/>
          <w:sz w:val="16"/>
          <w:szCs w:val="16"/>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67" w:lineRule="exact"/>
        <w:rPr>
          <w:sz w:val="20"/>
          <w:szCs w:val="20"/>
          <w:color w:val="auto"/>
        </w:rPr>
      </w:pPr>
    </w:p>
    <w:p>
      <w:pPr>
        <w:jc w:val="both"/>
        <w:ind w:right="380" w:firstLine="370"/>
        <w:spacing w:after="0" w:line="319" w:lineRule="auto"/>
        <w:rPr>
          <w:sz w:val="20"/>
          <w:szCs w:val="20"/>
          <w:color w:val="auto"/>
        </w:rPr>
      </w:pPr>
      <w:r>
        <w:rPr>
          <w:rFonts w:ascii="Arial" w:cs="Arial" w:eastAsia="Arial" w:hAnsi="Arial"/>
          <w:sz w:val="14"/>
          <w:szCs w:val="14"/>
          <w:color w:val="auto"/>
        </w:rPr>
        <w:t>The FDA may require, or companies may pursue, additional clinical trials after a product is approved. These so-called Phase IV studies may be made a condition to be satisfied for continuing drug approval. The results of Phase IV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27" w:lineRule="exact"/>
        <w:rPr>
          <w:sz w:val="20"/>
          <w:szCs w:val="20"/>
          <w:color w:val="auto"/>
        </w:rPr>
      </w:pPr>
    </w:p>
    <w:p>
      <w:pPr>
        <w:ind w:right="140" w:firstLine="370"/>
        <w:spacing w:after="0" w:line="277" w:lineRule="auto"/>
        <w:rPr>
          <w:sz w:val="20"/>
          <w:szCs w:val="20"/>
          <w:color w:val="auto"/>
        </w:rPr>
      </w:pPr>
      <w:r>
        <w:rPr>
          <w:rFonts w:ascii="Arial" w:cs="Arial" w:eastAsia="Arial" w:hAnsi="Arial"/>
          <w:sz w:val="16"/>
          <w:szCs w:val="16"/>
          <w:color w:val="auto"/>
        </w:rPr>
        <w:t>Any approvals that we may ultimately receive could be withdrawn if required post-marketing trials or analyses do not meet the FDA requirements, which could materially harm the commercial prospects for MG01CI.</w:t>
      </w:r>
    </w:p>
    <w:p>
      <w:pPr>
        <w:spacing w:after="0" w:line="152" w:lineRule="exact"/>
        <w:rPr>
          <w:sz w:val="20"/>
          <w:szCs w:val="20"/>
          <w:color w:val="auto"/>
        </w:rPr>
      </w:pPr>
    </w:p>
    <w:p>
      <w:pPr>
        <w:ind w:right="40" w:firstLine="370"/>
        <w:spacing w:after="0" w:line="278" w:lineRule="auto"/>
        <w:rPr>
          <w:sz w:val="20"/>
          <w:szCs w:val="20"/>
          <w:color w:val="auto"/>
        </w:rPr>
      </w:pPr>
      <w:r>
        <w:rPr>
          <w:rFonts w:ascii="Arial" w:cs="Arial" w:eastAsia="Arial" w:hAnsi="Arial"/>
          <w:sz w:val="15"/>
          <w:szCs w:val="15"/>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54"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MG01CI, or obtaining approval but for significantly limited use, would harm our business. In addition, we cannot predict what adverse governmental regulations may arise from future U.S. or foreign governmental action.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53" w:name="page54"/>
    <w:bookmarkEnd w:id="53"/>
    <w:p>
      <w:pPr>
        <w:ind w:left="320"/>
        <w:spacing w:after="0"/>
        <w:rPr>
          <w:sz w:val="20"/>
          <w:szCs w:val="20"/>
          <w:color w:val="auto"/>
        </w:rPr>
      </w:pPr>
      <w:r>
        <w:rPr>
          <w:rFonts w:ascii="Arial" w:cs="Arial" w:eastAsia="Arial" w:hAnsi="Arial"/>
          <w:sz w:val="16"/>
          <w:szCs w:val="16"/>
          <w:b w:val="1"/>
          <w:bCs w:val="1"/>
          <w:i w:val="1"/>
          <w:iCs w:val="1"/>
          <w:color w:val="auto"/>
        </w:rPr>
        <w:t>FDA Post-Approval Requirements</w:t>
      </w:r>
    </w:p>
    <w:p>
      <w:pPr>
        <w:spacing w:after="0" w:line="200" w:lineRule="exact"/>
        <w:rPr>
          <w:sz w:val="20"/>
          <w:szCs w:val="20"/>
          <w:color w:val="auto"/>
        </w:rPr>
      </w:pPr>
    </w:p>
    <w:p>
      <w:pPr>
        <w:ind w:right="20" w:firstLine="369"/>
        <w:spacing w:after="0" w:line="272" w:lineRule="auto"/>
        <w:rPr>
          <w:sz w:val="20"/>
          <w:szCs w:val="20"/>
          <w:color w:val="auto"/>
        </w:rPr>
      </w:pPr>
      <w:r>
        <w:rPr>
          <w:rFonts w:ascii="Arial" w:cs="Arial" w:eastAsia="Arial" w:hAnsi="Arial"/>
          <w:sz w:val="15"/>
          <w:szCs w:val="15"/>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Labeling, Marketing and Promotion</w:t>
      </w:r>
    </w:p>
    <w:p>
      <w:pPr>
        <w:spacing w:after="0" w:line="200" w:lineRule="exact"/>
        <w:rPr>
          <w:sz w:val="20"/>
          <w:szCs w:val="20"/>
          <w:color w:val="auto"/>
        </w:rPr>
      </w:pPr>
    </w:p>
    <w:p>
      <w:pPr>
        <w:ind w:right="80" w:firstLine="369"/>
        <w:spacing w:after="0" w:line="302" w:lineRule="auto"/>
        <w:rPr>
          <w:sz w:val="20"/>
          <w:szCs w:val="20"/>
          <w:color w:val="auto"/>
        </w:rPr>
      </w:pPr>
      <w:r>
        <w:rPr>
          <w:rFonts w:ascii="Arial" w:cs="Arial" w:eastAsia="Arial" w:hAnsi="Arial"/>
          <w:sz w:val="14"/>
          <w:szCs w:val="14"/>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Pediatric Research Equity Act</w:t>
      </w:r>
    </w:p>
    <w:p>
      <w:pPr>
        <w:spacing w:after="0" w:line="200" w:lineRule="exact"/>
        <w:rPr>
          <w:sz w:val="20"/>
          <w:szCs w:val="20"/>
          <w:color w:val="auto"/>
        </w:rPr>
      </w:pPr>
    </w:p>
    <w:p>
      <w:pPr>
        <w:ind w:firstLine="369"/>
        <w:spacing w:after="0" w:line="289" w:lineRule="auto"/>
        <w:rPr>
          <w:sz w:val="20"/>
          <w:szCs w:val="20"/>
          <w:color w:val="auto"/>
        </w:rPr>
      </w:pPr>
      <w:r>
        <w:rPr>
          <w:rFonts w:ascii="Arial" w:cs="Arial" w:eastAsia="Arial" w:hAnsi="Arial"/>
          <w:sz w:val="15"/>
          <w:szCs w:val="15"/>
          <w:color w:val="auto"/>
        </w:rPr>
        <w:t>The Pediatric Research Equity Act, or PREA, amended the FDCA to authorize the FDA to require certain research into drugs used in pediatric patients. The intent of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Anti-Kickback and False Claims Laws</w:t>
      </w:r>
    </w:p>
    <w:p>
      <w:pPr>
        <w:spacing w:after="0" w:line="200" w:lineRule="exact"/>
        <w:rPr>
          <w:sz w:val="20"/>
          <w:szCs w:val="20"/>
          <w:color w:val="auto"/>
        </w:rPr>
      </w:pPr>
    </w:p>
    <w:p>
      <w:pPr>
        <w:ind w:firstLine="369"/>
        <w:spacing w:after="0" w:line="295" w:lineRule="auto"/>
        <w:rPr>
          <w:sz w:val="20"/>
          <w:szCs w:val="20"/>
          <w:color w:val="auto"/>
        </w:rPr>
      </w:pPr>
      <w:r>
        <w:rPr>
          <w:rFonts w:ascii="Arial" w:cs="Arial" w:eastAsia="Arial" w:hAnsi="Arial"/>
          <w:sz w:val="14"/>
          <w:szCs w:val="14"/>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Medicare-Medicaid Anti-Fraud and Abuse Act, as amended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47" w:lineRule="exact"/>
        <w:rPr>
          <w:sz w:val="20"/>
          <w:szCs w:val="20"/>
          <w:color w:val="auto"/>
        </w:rPr>
      </w:pPr>
    </w:p>
    <w:p>
      <w:pPr>
        <w:ind w:right="20" w:firstLine="369"/>
        <w:spacing w:after="0" w:line="282" w:lineRule="auto"/>
        <w:rPr>
          <w:sz w:val="20"/>
          <w:szCs w:val="20"/>
          <w:color w:val="auto"/>
        </w:rPr>
      </w:pPr>
      <w:r>
        <w:rPr>
          <w:rFonts w:ascii="Arial" w:cs="Arial" w:eastAsia="Arial" w:hAnsi="Arial"/>
          <w:sz w:val="15"/>
          <w:szCs w:val="15"/>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50" w:lineRule="exact"/>
        <w:rPr>
          <w:sz w:val="20"/>
          <w:szCs w:val="20"/>
          <w:color w:val="auto"/>
        </w:rPr>
      </w:pPr>
    </w:p>
    <w:p>
      <w:pPr>
        <w:ind w:right="40" w:firstLine="369"/>
        <w:spacing w:after="0" w:line="264" w:lineRule="auto"/>
        <w:rPr>
          <w:sz w:val="20"/>
          <w:szCs w:val="20"/>
          <w:color w:val="auto"/>
        </w:rPr>
      </w:pPr>
      <w:r>
        <w:rPr>
          <w:rFonts w:ascii="Arial" w:cs="Arial" w:eastAsia="Arial" w:hAnsi="Arial"/>
          <w:sz w:val="16"/>
          <w:szCs w:val="16"/>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54" w:name="page55"/>
    <w:bookmarkEnd w:id="54"/>
    <w:p>
      <w:pPr>
        <w:ind w:firstLine="369"/>
        <w:spacing w:after="0" w:line="278" w:lineRule="auto"/>
        <w:rPr>
          <w:sz w:val="20"/>
          <w:szCs w:val="20"/>
          <w:color w:val="auto"/>
        </w:rPr>
      </w:pPr>
      <w:r>
        <w:rPr>
          <w:rFonts w:ascii="Arial" w:cs="Arial" w:eastAsia="Arial" w:hAnsi="Arial"/>
          <w:sz w:val="15"/>
          <w:szCs w:val="15"/>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Patient Protection and Affordable Health Care Act</w:t>
      </w:r>
    </w:p>
    <w:p>
      <w:pPr>
        <w:spacing w:after="0" w:line="200" w:lineRule="exact"/>
        <w:rPr>
          <w:sz w:val="20"/>
          <w:szCs w:val="20"/>
          <w:color w:val="auto"/>
        </w:rPr>
      </w:pPr>
    </w:p>
    <w:p>
      <w:pPr>
        <w:jc w:val="both"/>
        <w:ind w:right="100" w:firstLine="370"/>
        <w:spacing w:after="0" w:line="264" w:lineRule="auto"/>
        <w:rPr>
          <w:sz w:val="20"/>
          <w:szCs w:val="20"/>
          <w:color w:val="auto"/>
        </w:rPr>
      </w:pPr>
      <w:r>
        <w:rPr>
          <w:rFonts w:ascii="Arial" w:cs="Arial" w:eastAsia="Arial" w:hAnsi="Arial"/>
          <w:sz w:val="16"/>
          <w:szCs w:val="16"/>
          <w:color w:val="auto"/>
        </w:rPr>
        <w:t>In March 2010, the Patient Protection and Affordable Health Care Act, as amended by the Health Care and Education Reconciliation Act of 2010, or collectively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62" w:lineRule="exact"/>
        <w:rPr>
          <w:sz w:val="20"/>
          <w:szCs w:val="20"/>
          <w:color w:val="auto"/>
        </w:rPr>
      </w:pPr>
    </w:p>
    <w:p>
      <w:pPr>
        <w:ind w:right="280" w:firstLine="369"/>
        <w:spacing w:after="0" w:line="277" w:lineRule="auto"/>
        <w:rPr>
          <w:sz w:val="20"/>
          <w:szCs w:val="20"/>
          <w:color w:val="auto"/>
        </w:rPr>
      </w:pPr>
      <w:r>
        <w:rPr>
          <w:rFonts w:ascii="Arial" w:cs="Arial" w:eastAsia="Arial" w:hAnsi="Arial"/>
          <w:sz w:val="16"/>
          <w:szCs w:val="16"/>
          <w:color w:val="auto"/>
        </w:rPr>
        <w:t>Many of the details regarding the implementation of PPACA are yet to be determined, and at this time, it remains unclear the full effect that PPACA would have on our business.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Other Regulations</w:t>
      </w:r>
    </w:p>
    <w:p>
      <w:pPr>
        <w:spacing w:after="0" w:line="200" w:lineRule="exact"/>
        <w:rPr>
          <w:sz w:val="20"/>
          <w:szCs w:val="20"/>
          <w:color w:val="auto"/>
        </w:rPr>
      </w:pPr>
    </w:p>
    <w:p>
      <w:pPr>
        <w:ind w:right="200" w:firstLine="370"/>
        <w:spacing w:after="0" w:line="351" w:lineRule="auto"/>
        <w:rPr>
          <w:sz w:val="20"/>
          <w:szCs w:val="20"/>
          <w:color w:val="auto"/>
        </w:rPr>
      </w:pPr>
      <w:r>
        <w:rPr>
          <w:rFonts w:ascii="Arial" w:cs="Arial" w:eastAsia="Arial" w:hAnsi="Arial"/>
          <w:sz w:val="14"/>
          <w:szCs w:val="14"/>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04" w:lineRule="exact"/>
        <w:rPr>
          <w:sz w:val="20"/>
          <w:szCs w:val="20"/>
          <w:color w:val="auto"/>
        </w:rPr>
      </w:pPr>
    </w:p>
    <w:p>
      <w:pPr>
        <w:ind w:right="20" w:firstLine="370"/>
        <w:spacing w:after="0" w:line="257" w:lineRule="auto"/>
        <w:rPr>
          <w:sz w:val="20"/>
          <w:szCs w:val="20"/>
          <w:color w:val="auto"/>
        </w:rPr>
      </w:pPr>
      <w:r>
        <w:rPr>
          <w:rFonts w:ascii="Arial" w:cs="Arial" w:eastAsia="Arial" w:hAnsi="Arial"/>
          <w:sz w:val="16"/>
          <w:szCs w:val="16"/>
          <w:color w:val="auto"/>
        </w:rPr>
        <w:t>Our company uses a cost-effective business model, only retaining top management as company employees or dedicated consultants, and drawing upon other consultants globally to advance our development programs. As of the date hereof our management consisted of our chief executive officer, our chief financial and accounting officer, as well as Ms. Hanna Ron, who is a key employee and an expert in chemistry, manufacturing and controls, and has been providing full-time services to the Company since 2011. We further have service agreements with US-based regulatory consultants as well as additional US-based clinical consultants who are members of our clinical advisory board. We believe that we maintain good relations with all of them.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Facilities</w:t>
      </w:r>
    </w:p>
    <w:p>
      <w:pPr>
        <w:spacing w:after="0" w:line="204" w:lineRule="exact"/>
        <w:rPr>
          <w:sz w:val="20"/>
          <w:szCs w:val="20"/>
          <w:color w:val="auto"/>
        </w:rPr>
      </w:pPr>
    </w:p>
    <w:p>
      <w:pPr>
        <w:ind w:right="40" w:firstLine="370"/>
        <w:spacing w:after="0" w:line="277" w:lineRule="auto"/>
        <w:rPr>
          <w:sz w:val="20"/>
          <w:szCs w:val="20"/>
          <w:color w:val="auto"/>
        </w:rPr>
      </w:pPr>
      <w:r>
        <w:rPr>
          <w:rFonts w:ascii="Arial" w:cs="Arial" w:eastAsia="Arial" w:hAnsi="Arial"/>
          <w:sz w:val="16"/>
          <w:szCs w:val="16"/>
          <w:color w:val="auto"/>
        </w:rPr>
        <w:t>Our headquarters is currently located in Tel Aviv, Israel and consists of approximately 1600 square feet of leased office space under a lease for an indefinite period of time, subject to each party’s right to terminate it within 30 days. We may require additional space and facilities as our business expands.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not currently subject to any material legal proceedings.</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auto"/>
        </w:rPr>
        <w:t>MANAGEMENT</w:t>
      </w:r>
    </w:p>
    <w:p>
      <w:pPr>
        <w:spacing w:after="0" w:line="200" w:lineRule="exact"/>
        <w:rPr>
          <w:sz w:val="20"/>
          <w:szCs w:val="20"/>
          <w:color w:val="auto"/>
        </w:rPr>
      </w:pPr>
    </w:p>
    <w:p>
      <w:pPr>
        <w:jc w:val="center"/>
        <w:ind w:right="8080"/>
        <w:spacing w:after="0"/>
        <w:rPr>
          <w:sz w:val="20"/>
          <w:szCs w:val="20"/>
          <w:color w:val="auto"/>
        </w:rPr>
      </w:pPr>
      <w:r>
        <w:rPr>
          <w:rFonts w:ascii="Arial" w:cs="Arial" w:eastAsia="Arial" w:hAnsi="Arial"/>
          <w:sz w:val="14"/>
          <w:szCs w:val="14"/>
          <w:b w:val="1"/>
          <w:bCs w:val="1"/>
          <w:color w:val="auto"/>
        </w:rPr>
        <w:t>Executive Officers, Key Employees and Directors</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Executive Officers and Directors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information regarding our executive officers, directors and director nominees as of April 1, 2013:</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Arial" w:cs="Arial" w:eastAsia="Arial" w:hAnsi="Arial"/>
                <w:sz w:val="16"/>
                <w:szCs w:val="16"/>
                <w:b w:val="1"/>
                <w:bCs w:val="1"/>
                <w:color w:val="auto"/>
                <w:w w:val="87"/>
              </w:rPr>
              <w:t>Name</w:t>
            </w:r>
          </w:p>
        </w:tc>
        <w:tc>
          <w:tcPr>
            <w:tcW w:w="1440" w:type="dxa"/>
            <w:vAlign w:val="bottom"/>
          </w:tcPr>
          <w:p>
            <w:pPr>
              <w:spacing w:after="0"/>
              <w:rPr>
                <w:sz w:val="16"/>
                <w:szCs w:val="16"/>
                <w:color w:val="auto"/>
              </w:rPr>
            </w:pPr>
          </w:p>
        </w:tc>
        <w:tc>
          <w:tcPr>
            <w:tcW w:w="1860" w:type="dxa"/>
            <w:vAlign w:val="bottom"/>
            <w:gridSpan w:val="3"/>
          </w:tcPr>
          <w:p>
            <w:pPr>
              <w:ind w:left="220"/>
              <w:spacing w:after="0"/>
              <w:rPr>
                <w:sz w:val="20"/>
                <w:szCs w:val="20"/>
                <w:color w:val="auto"/>
              </w:rPr>
            </w:pPr>
            <w:r>
              <w:rPr>
                <w:rFonts w:ascii="Arial" w:cs="Arial" w:eastAsia="Arial" w:hAnsi="Arial"/>
                <w:sz w:val="16"/>
                <w:szCs w:val="16"/>
                <w:b w:val="1"/>
                <w:bCs w:val="1"/>
                <w:color w:val="auto"/>
              </w:rPr>
              <w:t>Age</w:t>
            </w:r>
          </w:p>
        </w:tc>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1840" w:type="dxa"/>
            <w:vAlign w:val="bottom"/>
            <w:gridSpan w:val="2"/>
          </w:tcPr>
          <w:p>
            <w:pPr>
              <w:spacing w:after="0"/>
              <w:rPr>
                <w:sz w:val="20"/>
                <w:szCs w:val="20"/>
                <w:color w:val="auto"/>
              </w:rPr>
            </w:pPr>
            <w:r>
              <w:rPr>
                <w:rFonts w:ascii="Arial" w:cs="Arial" w:eastAsia="Arial" w:hAnsi="Arial"/>
                <w:sz w:val="16"/>
                <w:szCs w:val="16"/>
                <w:color w:val="auto"/>
              </w:rPr>
              <w:t>Dr. Aharon Schwartz</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70</w:t>
            </w:r>
          </w:p>
        </w:tc>
        <w:tc>
          <w:tcPr>
            <w:tcW w:w="138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Chairman of the Board of Directors</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Dr. Yaron Daniely</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37</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Chief Executive Officer, President and 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Ehud (Udi) Gilboa</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46</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w w:val="94"/>
              </w:rPr>
              <w:t>Chief Financial Officer, Chief Accounting Officer and 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Dr. Dalia Megiddo</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61</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Howard B. Rosen</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55</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Nominee for Director</w:t>
            </w:r>
          </w:p>
        </w:tc>
      </w:tr>
      <w:tr>
        <w:trPr>
          <w:trHeight w:val="205"/>
        </w:trPr>
        <w:tc>
          <w:tcPr>
            <w:tcW w:w="1840" w:type="dxa"/>
            <w:vAlign w:val="bottom"/>
            <w:gridSpan w:val="2"/>
          </w:tcPr>
          <w:p>
            <w:pPr>
              <w:spacing w:after="0"/>
              <w:rPr>
                <w:sz w:val="20"/>
                <w:szCs w:val="20"/>
                <w:color w:val="auto"/>
              </w:rPr>
            </w:pPr>
            <w:r>
              <w:rPr>
                <w:rFonts w:ascii="Arial" w:cs="Arial" w:eastAsia="Arial" w:hAnsi="Arial"/>
                <w:sz w:val="16"/>
                <w:szCs w:val="16"/>
                <w:color w:val="auto"/>
              </w:rPr>
              <w:t>Daniel E. Geffken (1) (2)</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56</w:t>
            </w:r>
          </w:p>
        </w:tc>
        <w:tc>
          <w:tcPr>
            <w:tcW w:w="138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Nominee for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580" w:hanging="296"/>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Member of our Audit Committee upon establishment thereof.</w:t>
      </w:r>
    </w:p>
    <w:p>
      <w:pPr>
        <w:spacing w:after="0" w:line="20" w:lineRule="exact"/>
        <w:rPr>
          <w:rFonts w:ascii="Arial" w:cs="Arial" w:eastAsia="Arial" w:hAnsi="Arial"/>
          <w:sz w:val="16"/>
          <w:szCs w:val="16"/>
          <w:color w:val="auto"/>
        </w:rPr>
      </w:pPr>
    </w:p>
    <w:p>
      <w:pPr>
        <w:ind w:left="580" w:hanging="296"/>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Member of our Compensation Committee upon establishment thereof after completion of this offering.</w:t>
      </w:r>
    </w:p>
    <w:p>
      <w:pPr>
        <w:spacing w:after="0" w:line="188"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5"/>
          <w:szCs w:val="15"/>
          <w:color w:val="auto"/>
        </w:rPr>
        <w:t>The Company intends to add two additional members to its Board of Directors. Mr. Geffken will become a member of our Board of Directors immediately after this registration statement becomes effective and execution of the underwriting agreement in connection with this offering. Mr. Rosen will become a member of our Board of Directors promptly after the closing of this offering. These directors will be “independent directors” as contemplated by the NASDAQ Stock Market rules.</w:t>
      </w:r>
    </w:p>
    <w:p>
      <w:pPr>
        <w:spacing w:after="0" w:line="146" w:lineRule="exact"/>
        <w:rPr>
          <w:sz w:val="20"/>
          <w:szCs w:val="20"/>
          <w:color w:val="auto"/>
        </w:rPr>
      </w:pPr>
    </w:p>
    <w:p>
      <w:pPr>
        <w:ind w:right="40" w:firstLine="577"/>
        <w:spacing w:after="0" w:line="302" w:lineRule="auto"/>
        <w:rPr>
          <w:sz w:val="20"/>
          <w:szCs w:val="20"/>
          <w:color w:val="auto"/>
        </w:rPr>
      </w:pPr>
      <w:r>
        <w:rPr>
          <w:rFonts w:ascii="Arial" w:cs="Arial" w:eastAsia="Arial" w:hAnsi="Arial"/>
          <w:sz w:val="14"/>
          <w:szCs w:val="14"/>
          <w:i w:val="1"/>
          <w:iCs w:val="1"/>
          <w:color w:val="auto"/>
        </w:rPr>
        <w:t xml:space="preserve">Dr. Aharon Schwartz </w:t>
      </w:r>
      <w:r>
        <w:rPr>
          <w:rFonts w:ascii="Arial" w:cs="Arial" w:eastAsia="Arial" w:hAnsi="Arial"/>
          <w:sz w:val="14"/>
          <w:szCs w:val="14"/>
          <w:color w:val="auto"/>
        </w:rPr>
        <w:t>joined our Board as Chairman in January 2013. He retired from Teva Pharmaceutical Industries Ltd where he served in a number of positions from</w:t>
      </w:r>
      <w:r>
        <w:rPr>
          <w:rFonts w:ascii="Arial" w:cs="Arial" w:eastAsia="Arial" w:hAnsi="Arial"/>
          <w:sz w:val="14"/>
          <w:szCs w:val="14"/>
          <w:i w:val="1"/>
          <w:iCs w:val="1"/>
          <w:color w:val="auto"/>
        </w:rPr>
        <w:t xml:space="preserve"> </w:t>
      </w:r>
      <w:r>
        <w:rPr>
          <w:rFonts w:ascii="Arial" w:cs="Arial" w:eastAsia="Arial" w:hAnsi="Arial"/>
          <w:sz w:val="14"/>
          <w:szCs w:val="14"/>
          <w:color w:val="auto"/>
        </w:rPr>
        <w:t>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140" w:lineRule="exact"/>
        <w:rPr>
          <w:sz w:val="20"/>
          <w:szCs w:val="20"/>
          <w:color w:val="auto"/>
        </w:rPr>
      </w:pPr>
    </w:p>
    <w:p>
      <w:pPr>
        <w:ind w:right="40" w:firstLine="577"/>
        <w:spacing w:after="0" w:line="295" w:lineRule="auto"/>
        <w:rPr>
          <w:sz w:val="20"/>
          <w:szCs w:val="20"/>
          <w:color w:val="auto"/>
        </w:rPr>
      </w:pPr>
      <w:r>
        <w:rPr>
          <w:rFonts w:ascii="Arial" w:cs="Arial" w:eastAsia="Arial" w:hAnsi="Arial"/>
          <w:sz w:val="14"/>
          <w:szCs w:val="14"/>
          <w:i w:val="1"/>
          <w:iCs w:val="1"/>
          <w:color w:val="auto"/>
        </w:rPr>
        <w:t xml:space="preserve">Dr. Yaron Daniely </w:t>
      </w:r>
      <w:r>
        <w:rPr>
          <w:rFonts w:ascii="Arial" w:cs="Arial" w:eastAsia="Arial" w:hAnsi="Arial"/>
          <w:sz w:val="14"/>
          <w:szCs w:val="14"/>
          <w:color w:val="auto"/>
        </w:rPr>
        <w:t>became our President and Chief Executive Officer and a Director in March 2010. Immediately prior to joining us and since 2007, Dr. Daniely was the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and Chief Executive Officer of NanoCyte, Inc., a company that develops transdermal delivery technologies based in Caesarea, Israel. Before NanoCyte and from 2004, Dr. Daniely was a/the General Manager of Gamida Cell—Teva Joint Venture Ltd. , a joint venture company that acquired an exclusive license to develop and commercialize a Phase III-stage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47" w:lineRule="exact"/>
        <w:rPr>
          <w:sz w:val="20"/>
          <w:szCs w:val="20"/>
          <w:color w:val="auto"/>
        </w:rPr>
      </w:pPr>
    </w:p>
    <w:p>
      <w:pPr>
        <w:ind w:right="40" w:firstLine="617"/>
        <w:spacing w:after="0" w:line="278" w:lineRule="auto"/>
        <w:rPr>
          <w:sz w:val="20"/>
          <w:szCs w:val="20"/>
          <w:color w:val="auto"/>
        </w:rPr>
      </w:pPr>
      <w:r>
        <w:rPr>
          <w:rFonts w:ascii="Arial" w:cs="Arial" w:eastAsia="Arial" w:hAnsi="Arial"/>
          <w:sz w:val="15"/>
          <w:szCs w:val="15"/>
          <w:i w:val="1"/>
          <w:iCs w:val="1"/>
          <w:color w:val="auto"/>
        </w:rPr>
        <w:t xml:space="preserve">Udi Gilboa </w:t>
      </w:r>
      <w:r>
        <w:rPr>
          <w:rFonts w:ascii="Arial" w:cs="Arial" w:eastAsia="Arial" w:hAnsi="Arial"/>
          <w:sz w:val="15"/>
          <w:szCs w:val="15"/>
          <w:color w:val="auto"/>
        </w:rPr>
        <w:t>co-founded the Company in February 2008 and became a director at that time. He has served as our Chief Financial Officer and Chief Accounting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since inception. Mr. Gilboa is the founder and managing partner of Top-Notch Capital, a prominent Israeli life sciences investment bank. He is also the founder of a number of medical device and pharmaceutical companies. Mr. Gilboa holds a Bachelor’s degree and M.B.A. from Tel Aviv University.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Samson Neurosciences Ltd. and Endospan Ltd.</w:t>
      </w:r>
    </w:p>
    <w:p>
      <w:pPr>
        <w:spacing w:after="0" w:line="154" w:lineRule="exact"/>
        <w:rPr>
          <w:sz w:val="20"/>
          <w:szCs w:val="20"/>
          <w:color w:val="auto"/>
        </w:rPr>
      </w:pPr>
    </w:p>
    <w:p>
      <w:pPr>
        <w:ind w:right="20" w:firstLine="577"/>
        <w:spacing w:after="0" w:line="257" w:lineRule="auto"/>
        <w:rPr>
          <w:sz w:val="20"/>
          <w:szCs w:val="20"/>
          <w:color w:val="auto"/>
        </w:rPr>
      </w:pPr>
      <w:r>
        <w:rPr>
          <w:rFonts w:ascii="Arial" w:cs="Arial" w:eastAsia="Arial" w:hAnsi="Arial"/>
          <w:sz w:val="16"/>
          <w:szCs w:val="16"/>
          <w:i w:val="1"/>
          <w:iCs w:val="1"/>
          <w:color w:val="auto"/>
        </w:rPr>
        <w:t xml:space="preserve">Dr. Dalia Megiddo </w:t>
      </w:r>
      <w:r>
        <w:rPr>
          <w:rFonts w:ascii="Arial" w:cs="Arial" w:eastAsia="Arial" w:hAnsi="Arial"/>
          <w:sz w:val="16"/>
          <w:szCs w:val="16"/>
          <w:color w:val="auto"/>
        </w:rPr>
        <w:t>co-founded the Company in February 2008 and became a Director at that time. She is an entrepreneur and a medical doctor in family medicine.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2000, Dr. Megiddo has been a manager of InnoMed Ventures, an Israeli venture capital fund focused on life sciences. From 2006 to 2010, she was also a manager of 7 Health Ventures, an Israeli venture capital fund. Dr, Megiddo is also the founder of a number of life science companies. Dr. Megiddo received her M.D. degree from Hebrew University Hadassah Medical School and also holds an M.B.A. from the Kellogg-Recanati School of Business. She is a director of Bioblast Ltd. and served as a director of Tulip Medical Ltd., Chiasma Inc. and Angioscore Inc.</w:t>
      </w:r>
    </w:p>
    <w:p>
      <w:pPr>
        <w:spacing w:after="0" w:line="168" w:lineRule="exact"/>
        <w:rPr>
          <w:sz w:val="20"/>
          <w:szCs w:val="20"/>
          <w:color w:val="auto"/>
        </w:rPr>
      </w:pPr>
    </w:p>
    <w:p>
      <w:pPr>
        <w:ind w:right="120" w:firstLine="577"/>
        <w:spacing w:after="0" w:line="308" w:lineRule="auto"/>
        <w:rPr>
          <w:sz w:val="20"/>
          <w:szCs w:val="20"/>
          <w:color w:val="auto"/>
        </w:rPr>
      </w:pPr>
      <w:r>
        <w:rPr>
          <w:rFonts w:ascii="Arial" w:cs="Arial" w:eastAsia="Arial" w:hAnsi="Arial"/>
          <w:sz w:val="14"/>
          <w:szCs w:val="14"/>
          <w:i w:val="1"/>
          <w:iCs w:val="1"/>
          <w:color w:val="auto"/>
        </w:rPr>
        <w:t xml:space="preserve">Hanna Ron </w:t>
      </w:r>
      <w:r>
        <w:rPr>
          <w:rFonts w:ascii="Arial" w:cs="Arial" w:eastAsia="Arial" w:hAnsi="Arial"/>
          <w:sz w:val="14"/>
          <w:szCs w:val="14"/>
          <w:color w:val="auto"/>
        </w:rPr>
        <w:t>is a key employee of the Company. She has over 26 years of experience in the pharmaceutical industry and is an expert in chemistry, manufacturing and</w:t>
      </w:r>
      <w:r>
        <w:rPr>
          <w:rFonts w:ascii="Arial" w:cs="Arial" w:eastAsia="Arial" w:hAnsi="Arial"/>
          <w:sz w:val="14"/>
          <w:szCs w:val="14"/>
          <w:i w:val="1"/>
          <w:iCs w:val="1"/>
          <w:color w:val="auto"/>
        </w:rPr>
        <w:t xml:space="preserve"> </w:t>
      </w:r>
      <w:r>
        <w:rPr>
          <w:rFonts w:ascii="Arial" w:cs="Arial" w:eastAsia="Arial" w:hAnsi="Arial"/>
          <w:sz w:val="14"/>
          <w:szCs w:val="14"/>
          <w:color w:val="auto"/>
        </w:rPr>
        <w:t>controls. She has been providing full-time services to the Company since 2011 and has been a consultant to the pharmaceutical industry since 2009. From 2004 to 2009, she was the Vice President of Chemistry, Manufacturing and Controls at Biolin Innovations, an Israeli biotechnology company. She has held other positions in biotechnology and pharmaceutical companies, including being a research and development manager and a pharmaceutical product development manager at Teva Pharmaceuticals.</w:t>
      </w:r>
    </w:p>
    <w:p>
      <w:pPr>
        <w:spacing w:after="0" w:line="135" w:lineRule="exact"/>
        <w:rPr>
          <w:sz w:val="20"/>
          <w:szCs w:val="20"/>
          <w:color w:val="auto"/>
        </w:rPr>
      </w:pPr>
    </w:p>
    <w:p>
      <w:pPr>
        <w:ind w:right="60" w:firstLine="577"/>
        <w:spacing w:after="0" w:line="271" w:lineRule="auto"/>
        <w:rPr>
          <w:sz w:val="20"/>
          <w:szCs w:val="20"/>
          <w:color w:val="auto"/>
        </w:rPr>
      </w:pPr>
      <w:r>
        <w:rPr>
          <w:rFonts w:ascii="Arial" w:cs="Arial" w:eastAsia="Arial" w:hAnsi="Arial"/>
          <w:sz w:val="15"/>
          <w:szCs w:val="15"/>
          <w:i w:val="1"/>
          <w:iCs w:val="1"/>
          <w:color w:val="auto"/>
        </w:rPr>
        <w:t xml:space="preserve">Howard B. Rosen </w:t>
      </w:r>
      <w:r>
        <w:rPr>
          <w:rFonts w:ascii="Arial" w:cs="Arial" w:eastAsia="Arial" w:hAnsi="Arial"/>
          <w:sz w:val="15"/>
          <w:szCs w:val="15"/>
          <w:color w:val="auto"/>
        </w:rPr>
        <w:t>has consented to being elected as a director of the Company, immediately following the closing of this offering. Since 2008, Mr. Rosen has served as a</w:t>
      </w:r>
      <w:r>
        <w:rPr>
          <w:rFonts w:ascii="Arial" w:cs="Arial" w:eastAsia="Arial" w:hAnsi="Arial"/>
          <w:sz w:val="15"/>
          <w:szCs w:val="15"/>
          <w:i w:val="1"/>
          <w:iCs w:val="1"/>
          <w:color w:val="auto"/>
        </w:rPr>
        <w:t xml:space="preserve"> </w:t>
      </w:r>
      <w:r>
        <w:rPr>
          <w:rFonts w:ascii="Arial" w:cs="Arial" w:eastAsia="Arial" w:hAnsi="Arial"/>
          <w:sz w:val="15"/>
          <w:szCs w:val="15"/>
          <w:color w:val="auto"/>
        </w:rPr>
        <w:t>consultant 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Mr. Rosen was President of ALZA Corporation, a pharmaceutical and medical systems company that merged with Johnson &amp; Johnson, a global healthcare company, in 2001, from 2003 until 2004.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PavVax, Inc., NTF Therapeutics, Inc., Pearl Therapeutics, Inc., Entrega,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61" w:lineRule="exact"/>
        <w:rPr>
          <w:sz w:val="20"/>
          <w:szCs w:val="20"/>
          <w:color w:val="auto"/>
        </w:rPr>
      </w:pPr>
    </w:p>
    <w:p>
      <w:pPr>
        <w:jc w:val="both"/>
        <w:ind w:right="40" w:firstLine="577"/>
        <w:spacing w:after="0" w:line="292" w:lineRule="auto"/>
        <w:rPr>
          <w:sz w:val="20"/>
          <w:szCs w:val="20"/>
          <w:color w:val="auto"/>
        </w:rPr>
      </w:pPr>
      <w:r>
        <w:rPr>
          <w:rFonts w:ascii="Arial" w:cs="Arial" w:eastAsia="Arial" w:hAnsi="Arial"/>
          <w:sz w:val="14"/>
          <w:szCs w:val="14"/>
          <w:i w:val="1"/>
          <w:iCs w:val="1"/>
          <w:color w:val="auto"/>
        </w:rPr>
        <w:t xml:space="preserve">Daniel E. Geffken </w:t>
      </w:r>
      <w:r>
        <w:rPr>
          <w:rFonts w:ascii="Arial" w:cs="Arial" w:eastAsia="Arial" w:hAnsi="Arial"/>
          <w:sz w:val="14"/>
          <w:szCs w:val="14"/>
          <w:color w:val="auto"/>
        </w:rPr>
        <w:t>has consented to being elected as a director of the Company, effective immediately after this registration statement becomes effective and execution of</w:t>
      </w:r>
      <w:r>
        <w:rPr>
          <w:rFonts w:ascii="Arial" w:cs="Arial" w:eastAsia="Arial" w:hAnsi="Arial"/>
          <w:sz w:val="14"/>
          <w:szCs w:val="14"/>
          <w:i w:val="1"/>
          <w:iCs w:val="1"/>
          <w:color w:val="auto"/>
        </w:rPr>
        <w:t xml:space="preserve"> </w:t>
      </w:r>
      <w:r>
        <w:rPr>
          <w:rFonts w:ascii="Arial" w:cs="Arial" w:eastAsia="Arial" w:hAnsi="Arial"/>
          <w:sz w:val="14"/>
          <w:szCs w:val="14"/>
          <w:color w:val="auto"/>
        </w:rPr>
        <w:t>the underwriting agreement in connection with this offering. Mr. Geffken has agreed to serve on our Audit Committee and Compensation Committee. Since October 2011, he has been Managing Director of Danforth Advisors, LLC, a management consulting firm that provides financial and strategic support to emerging life science companies. Mr.</w:t>
      </w:r>
    </w:p>
    <w:p>
      <w:pPr>
        <w:spacing w:after="0" w:line="1" w:lineRule="exact"/>
        <w:rPr>
          <w:sz w:val="20"/>
          <w:szCs w:val="20"/>
          <w:color w:val="auto"/>
        </w:rPr>
      </w:pPr>
    </w:p>
    <w:p>
      <w:pPr>
        <w:ind w:right="340"/>
        <w:spacing w:after="0" w:line="294" w:lineRule="auto"/>
        <w:rPr>
          <w:sz w:val="20"/>
          <w:szCs w:val="20"/>
          <w:color w:val="auto"/>
        </w:rPr>
      </w:pPr>
      <w:r>
        <w:rPr>
          <w:rFonts w:ascii="Arial" w:cs="Arial" w:eastAsia="Arial" w:hAnsi="Arial"/>
          <w:sz w:val="15"/>
          <w:szCs w:val="15"/>
          <w:color w:val="auto"/>
        </w:rPr>
        <w:t>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731"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Arrangements Concerning Election of Directors; Family Relationships</w:t>
      </w:r>
    </w:p>
    <w:p>
      <w:pPr>
        <w:spacing w:after="0" w:line="204" w:lineRule="exact"/>
        <w:rPr>
          <w:sz w:val="20"/>
          <w:szCs w:val="20"/>
          <w:color w:val="auto"/>
        </w:rPr>
      </w:pPr>
    </w:p>
    <w:p>
      <w:pPr>
        <w:ind w:right="720" w:firstLine="360"/>
        <w:spacing w:after="0" w:line="277" w:lineRule="auto"/>
        <w:rPr>
          <w:sz w:val="20"/>
          <w:szCs w:val="20"/>
          <w:color w:val="auto"/>
        </w:rPr>
      </w:pPr>
      <w:r>
        <w:rPr>
          <w:rFonts w:ascii="Arial" w:cs="Arial" w:eastAsia="Arial" w:hAnsi="Arial"/>
          <w:sz w:val="16"/>
          <w:szCs w:val="16"/>
          <w:color w:val="auto"/>
        </w:rPr>
        <w:t>There are no arrangements or understandings with major shareholders, customers, suppliers or others pursuant to which any of our directors or members of senior management were selected as such. In addition, there are no family relationships among our executive officers and directors.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Advisory Board</w:t>
      </w:r>
    </w:p>
    <w:p>
      <w:pPr>
        <w:spacing w:after="0" w:line="204" w:lineRule="exact"/>
        <w:rPr>
          <w:sz w:val="20"/>
          <w:szCs w:val="20"/>
          <w:color w:val="auto"/>
        </w:rPr>
      </w:pPr>
    </w:p>
    <w:p>
      <w:pPr>
        <w:ind w:right="80" w:firstLine="360"/>
        <w:spacing w:after="0" w:line="302" w:lineRule="auto"/>
        <w:rPr>
          <w:sz w:val="20"/>
          <w:szCs w:val="20"/>
          <w:color w:val="auto"/>
        </w:rPr>
      </w:pPr>
      <w:r>
        <w:rPr>
          <w:rFonts w:ascii="Arial" w:cs="Arial" w:eastAsia="Arial" w:hAnsi="Arial"/>
          <w:sz w:val="14"/>
          <w:szCs w:val="14"/>
          <w:color w:val="auto"/>
        </w:rPr>
        <w:t>The Company has a Clinical Advisory Board of 12 experts in ADHD. The chairman is Lenard A. Adler, M.D. Dr. Adler has been the Director of the Adult ADHD Program in the Department of Psychiatry at New York University (NYU) School of Medicine in New York since 1995. He is also Professor of Psychiatry and Child and Adolescent Psychiatry at the NYU School of Medicine. Dr. Adler has been a principal contributor to numerous new treatment trials in ADHD and in the development of new scales to diagnose and evaluate symptoms of adult ADHD. He is also author of a book on adult ADHD titled “Scattered Minds.” We entered into a consulting agreement with Dr. Adler that provides for hourly and daily consideration for the services provided by him and is terminable by either party upon providing 30 days’ written advance notice.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Practices</w:t>
      </w:r>
    </w:p>
    <w:p>
      <w:pPr>
        <w:spacing w:after="0" w:line="204" w:lineRule="exact"/>
        <w:rPr>
          <w:sz w:val="20"/>
          <w:szCs w:val="20"/>
          <w:color w:val="auto"/>
        </w:rPr>
      </w:pPr>
    </w:p>
    <w:p>
      <w:pPr>
        <w:ind w:right="100" w:firstLine="360"/>
        <w:spacing w:after="0" w:line="274" w:lineRule="auto"/>
        <w:rPr>
          <w:sz w:val="20"/>
          <w:szCs w:val="20"/>
          <w:color w:val="auto"/>
        </w:rPr>
      </w:pPr>
      <w:r>
        <w:rPr>
          <w:rFonts w:ascii="Arial" w:cs="Arial" w:eastAsia="Arial" w:hAnsi="Arial"/>
          <w:sz w:val="15"/>
          <w:szCs w:val="15"/>
          <w:color w:val="auto"/>
        </w:rPr>
        <w:t>As an Israeli company we are subject to various corporate governance requirements under Israeli law relating to such matters as external directors, the audit committee, the compensation committee and an internal auditor. These requirements are in addition to the corporate governance requirements imposed by the Listing Rules of the NASDAQ Stock Market and other applicable provisions of U.S. securities laws to which we will become subject upon consummation of this offering and the listing of our ordinary shares on the NASDAQ Capital Market. Under the Listing Rules of the NASDAQ Stock Market, a foreign private issuer may generally follow its home country rules of corporate governance in lieu of the comparable requirements of the Listing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Practices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200"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Under the Israeli Companies Law, setting up the Company's policy and oversight over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68" w:lineRule="exact"/>
        <w:rPr>
          <w:sz w:val="20"/>
          <w:szCs w:val="20"/>
          <w:color w:val="auto"/>
        </w:rPr>
      </w:pPr>
    </w:p>
    <w:p>
      <w:pPr>
        <w:ind w:right="100" w:firstLine="360"/>
        <w:spacing w:after="0" w:line="257" w:lineRule="auto"/>
        <w:rPr>
          <w:sz w:val="20"/>
          <w:szCs w:val="20"/>
          <w:color w:val="auto"/>
        </w:rPr>
      </w:pPr>
      <w:r>
        <w:rPr>
          <w:rFonts w:ascii="Arial" w:cs="Arial" w:eastAsia="Arial" w:hAnsi="Arial"/>
          <w:sz w:val="16"/>
          <w:szCs w:val="16"/>
          <w:color w:val="auto"/>
        </w:rPr>
        <w:t>Under our amended and restated articles of association, which will be effective upon the consummation of this offering,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Our Board of Directors will consist of 6 directors upon the consummation of this offering, which will include 2 new directors. In addition, subject to approval at a meeting of our shareholders to be held no later than three months following the completion of this offering, two external directors will join our Board of Directors. We have only one class of directors.</w:t>
      </w:r>
    </w:p>
    <w:p>
      <w:pPr>
        <w:spacing w:after="0" w:line="168" w:lineRule="exact"/>
        <w:rPr>
          <w:sz w:val="20"/>
          <w:szCs w:val="20"/>
          <w:color w:val="auto"/>
        </w:rPr>
      </w:pPr>
    </w:p>
    <w:p>
      <w:pPr>
        <w:ind w:right="220" w:firstLine="360"/>
        <w:spacing w:after="0" w:line="259" w:lineRule="auto"/>
        <w:rPr>
          <w:sz w:val="20"/>
          <w:szCs w:val="20"/>
          <w:color w:val="auto"/>
        </w:rPr>
      </w:pPr>
      <w:r>
        <w:rPr>
          <w:rFonts w:ascii="Arial" w:cs="Arial" w:eastAsia="Arial" w:hAnsi="Arial"/>
          <w:sz w:val="16"/>
          <w:szCs w:val="16"/>
          <w:color w:val="auto"/>
        </w:rPr>
        <w:t>Other than external directors, for whom special election requirements and terms of office apply under the Israeli Companies Law as detailed below, our directors are each elected at a general meeting of our shareholders and serve for a term of one year. Directors shall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67"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57" w:name="page58"/>
    <w:bookmarkEnd w:id="57"/>
    <w:p>
      <w:pPr>
        <w:ind w:left="4" w:right="60" w:firstLine="360"/>
        <w:spacing w:after="0" w:line="273" w:lineRule="auto"/>
        <w:rPr>
          <w:sz w:val="20"/>
          <w:szCs w:val="20"/>
          <w:color w:val="auto"/>
        </w:rPr>
      </w:pPr>
      <w:r>
        <w:rPr>
          <w:rFonts w:ascii="Arial" w:cs="Arial" w:eastAsia="Arial" w:hAnsi="Arial"/>
          <w:sz w:val="15"/>
          <w:szCs w:val="15"/>
          <w:color w:val="auto"/>
        </w:rPr>
        <w:t>In accordance with the exemption available to foreign private issuers under NASDAQ rules, we do not intend to follow the requirements of the NASDAQ rules with regard to the process of nominating directors, and instead, will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56" w:lineRule="exact"/>
        <w:rPr>
          <w:sz w:val="20"/>
          <w:szCs w:val="20"/>
          <w:color w:val="auto"/>
        </w:rPr>
      </w:pPr>
    </w:p>
    <w:p>
      <w:pPr>
        <w:ind w:left="4" w:right="80" w:firstLine="360"/>
        <w:spacing w:after="0" w:line="276" w:lineRule="auto"/>
        <w:rPr>
          <w:sz w:val="20"/>
          <w:szCs w:val="20"/>
          <w:color w:val="auto"/>
        </w:rPr>
      </w:pPr>
      <w:r>
        <w:rPr>
          <w:rFonts w:ascii="Arial" w:cs="Arial" w:eastAsia="Arial" w:hAnsi="Arial"/>
          <w:sz w:val="15"/>
          <w:szCs w:val="15"/>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w:t>
      </w:r>
    </w:p>
    <w:p>
      <w:pPr>
        <w:spacing w:after="0" w:line="155" w:lineRule="exact"/>
        <w:rPr>
          <w:sz w:val="20"/>
          <w:szCs w:val="20"/>
          <w:color w:val="auto"/>
        </w:rPr>
      </w:pPr>
    </w:p>
    <w:p>
      <w:pPr>
        <w:ind w:left="364"/>
        <w:spacing w:after="0"/>
        <w:rPr>
          <w:sz w:val="20"/>
          <w:szCs w:val="20"/>
          <w:color w:val="auto"/>
        </w:rPr>
      </w:pPr>
      <w:r>
        <w:rPr>
          <w:rFonts w:ascii="Arial" w:cs="Arial" w:eastAsia="Arial" w:hAnsi="Arial"/>
          <w:sz w:val="16"/>
          <w:szCs w:val="16"/>
          <w:b w:val="1"/>
          <w:bCs w:val="1"/>
          <w:i w:val="1"/>
          <w:iCs w:val="1"/>
          <w:color w:val="auto"/>
        </w:rPr>
        <w:t>External Directors</w:t>
      </w:r>
    </w:p>
    <w:p>
      <w:pPr>
        <w:spacing w:after="0" w:line="200" w:lineRule="exact"/>
        <w:rPr>
          <w:sz w:val="20"/>
          <w:szCs w:val="20"/>
          <w:color w:val="auto"/>
        </w:rPr>
      </w:pPr>
    </w:p>
    <w:p>
      <w:pPr>
        <w:ind w:left="4" w:right="140" w:firstLine="360"/>
        <w:spacing w:after="0" w:line="259" w:lineRule="auto"/>
        <w:rPr>
          <w:sz w:val="20"/>
          <w:szCs w:val="20"/>
          <w:color w:val="auto"/>
        </w:rPr>
      </w:pPr>
      <w:r>
        <w:rPr>
          <w:rFonts w:ascii="Arial" w:cs="Arial" w:eastAsia="Arial" w:hAnsi="Arial"/>
          <w:sz w:val="16"/>
          <w:szCs w:val="16"/>
          <w:color w:val="auto"/>
        </w:rPr>
        <w:t>Under the Israeli Companies Law, the boards of directors of companies whose shares are publicly traded, including companies with shares listed on the NASDAQ Capital Market, are required to include at least two members elected to serve as external directors. We plan to submit to the approval of a meeting of our shareholders to be held no later than three months following the completion of this offering, the election of two external directors nominees. We are in the process of evaluating candidates for the position of external directors.</w:t>
      </w:r>
    </w:p>
    <w:p>
      <w:pPr>
        <w:spacing w:after="0" w:line="167" w:lineRule="exact"/>
        <w:rPr>
          <w:sz w:val="20"/>
          <w:szCs w:val="20"/>
          <w:color w:val="auto"/>
        </w:rPr>
      </w:pPr>
    </w:p>
    <w:p>
      <w:pPr>
        <w:ind w:left="4" w:right="360" w:firstLine="360"/>
        <w:spacing w:after="0" w:line="277" w:lineRule="auto"/>
        <w:rPr>
          <w:sz w:val="20"/>
          <w:szCs w:val="20"/>
          <w:color w:val="auto"/>
        </w:rPr>
      </w:pPr>
      <w:r>
        <w:rPr>
          <w:rFonts w:ascii="Arial" w:cs="Arial" w:eastAsia="Arial" w:hAnsi="Arial"/>
          <w:sz w:val="16"/>
          <w:szCs w:val="16"/>
          <w:color w:val="auto"/>
        </w:rPr>
        <w:t>The Israeli Companies Law provides that external directors must be elected by a majority vote of the shares present and voting at a shareholders meeting, provided that either:</w:t>
      </w:r>
    </w:p>
    <w:p>
      <w:pPr>
        <w:spacing w:after="0" w:line="152" w:lineRule="exact"/>
        <w:rPr>
          <w:sz w:val="20"/>
          <w:szCs w:val="20"/>
          <w:color w:val="auto"/>
        </w:rPr>
      </w:pPr>
    </w:p>
    <w:p>
      <w:pPr>
        <w:ind w:left="644" w:right="180" w:hanging="284"/>
        <w:spacing w:after="0" w:line="264" w:lineRule="auto"/>
        <w:tabs>
          <w:tab w:leader="none" w:pos="644" w:val="left"/>
        </w:tabs>
        <w:numPr>
          <w:ilvl w:val="0"/>
          <w:numId w:val="48"/>
        </w:numPr>
        <w:rPr>
          <w:rFonts w:ascii="Arial" w:cs="Arial" w:eastAsia="Arial" w:hAnsi="Arial"/>
          <w:sz w:val="16"/>
          <w:szCs w:val="16"/>
          <w:color w:val="A6A6A6"/>
        </w:rPr>
      </w:pPr>
      <w:r>
        <w:rPr>
          <w:rFonts w:ascii="Arial" w:cs="Arial" w:eastAsia="Arial" w:hAnsi="Arial"/>
          <w:sz w:val="16"/>
          <w:szCs w:val="16"/>
          <w:color w:val="auto"/>
        </w:rPr>
        <w:t>the majority voted in favor of election includes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1" w:lineRule="exact"/>
        <w:rPr>
          <w:rFonts w:ascii="Arial" w:cs="Arial" w:eastAsia="Arial" w:hAnsi="Arial"/>
          <w:sz w:val="16"/>
          <w:szCs w:val="16"/>
          <w:color w:val="A6A6A6"/>
        </w:rPr>
      </w:pPr>
    </w:p>
    <w:p>
      <w:pPr>
        <w:ind w:left="644" w:right="280" w:hanging="284"/>
        <w:spacing w:after="0" w:line="277" w:lineRule="auto"/>
        <w:tabs>
          <w:tab w:leader="none" w:pos="644" w:val="left"/>
        </w:tabs>
        <w:numPr>
          <w:ilvl w:val="0"/>
          <w:numId w:val="48"/>
        </w:numPr>
        <w:rPr>
          <w:rFonts w:ascii="Arial" w:cs="Arial" w:eastAsia="Arial" w:hAnsi="Arial"/>
          <w:sz w:val="16"/>
          <w:szCs w:val="16"/>
          <w:color w:val="A6A6A6"/>
        </w:rPr>
      </w:pPr>
      <w:r>
        <w:rPr>
          <w:rFonts w:ascii="Arial" w:cs="Arial" w:eastAsia="Arial" w:hAnsi="Arial"/>
          <w:sz w:val="16"/>
          <w:szCs w:val="16"/>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152" w:lineRule="exact"/>
        <w:rPr>
          <w:sz w:val="20"/>
          <w:szCs w:val="20"/>
          <w:color w:val="auto"/>
        </w:rPr>
      </w:pPr>
    </w:p>
    <w:p>
      <w:pPr>
        <w:ind w:left="4" w:right="120" w:firstLine="360"/>
        <w:spacing w:after="0" w:line="257"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and with respect to the approval of certain extraordinary and interested party transactions by shareholders, any shareholder which has 25% or more of the means of control if no other shareholder holds more than 50% of the voting rights, would be deemed a controlling shareholder.</w:t>
      </w:r>
    </w:p>
    <w:p>
      <w:pPr>
        <w:spacing w:after="0" w:line="168" w:lineRule="exact"/>
        <w:rPr>
          <w:sz w:val="20"/>
          <w:szCs w:val="20"/>
          <w:color w:val="auto"/>
        </w:rPr>
      </w:pPr>
    </w:p>
    <w:p>
      <w:pPr>
        <w:ind w:left="4" w:right="40" w:firstLine="360"/>
        <w:spacing w:after="0" w:line="290" w:lineRule="auto"/>
        <w:rPr>
          <w:sz w:val="20"/>
          <w:szCs w:val="20"/>
          <w:color w:val="auto"/>
        </w:rPr>
      </w:pPr>
      <w:r>
        <w:rPr>
          <w:rFonts w:ascii="Arial" w:cs="Arial" w:eastAsia="Arial" w:hAnsi="Arial"/>
          <w:sz w:val="14"/>
          <w:szCs w:val="14"/>
          <w:color w:val="auto"/>
        </w:rPr>
        <w:t>After an initial term of three years, external directors may be reelected to serve in that capacity for up to two additional three year terms, provided that either (i)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or</w:t>
      </w:r>
    </w:p>
    <w:p>
      <w:pPr>
        <w:spacing w:after="0" w:line="1" w:lineRule="exact"/>
        <w:rPr>
          <w:sz w:val="20"/>
          <w:szCs w:val="20"/>
          <w:color w:val="auto"/>
        </w:rPr>
      </w:pPr>
    </w:p>
    <w:p>
      <w:pPr>
        <w:ind w:left="4" w:hanging="4"/>
        <w:spacing w:after="0" w:line="272" w:lineRule="auto"/>
        <w:tabs>
          <w:tab w:leader="none" w:pos="2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58" w:name="page59"/>
    <w:bookmarkEnd w:id="58"/>
    <w:p>
      <w:pPr>
        <w:ind w:firstLine="360"/>
        <w:spacing w:after="0" w:line="277" w:lineRule="auto"/>
        <w:rPr>
          <w:sz w:val="20"/>
          <w:szCs w:val="20"/>
          <w:color w:val="auto"/>
        </w:rPr>
      </w:pPr>
      <w:r>
        <w:rPr>
          <w:rFonts w:ascii="Arial" w:cs="Arial" w:eastAsia="Arial" w:hAnsi="Arial"/>
          <w:sz w:val="16"/>
          <w:szCs w:val="16"/>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52" w:lineRule="exact"/>
        <w:rPr>
          <w:sz w:val="20"/>
          <w:szCs w:val="20"/>
          <w:color w:val="auto"/>
        </w:rPr>
      </w:pPr>
    </w:p>
    <w:p>
      <w:pPr>
        <w:ind w:right="180" w:firstLine="360"/>
        <w:spacing w:after="0" w:line="257" w:lineRule="auto"/>
        <w:rPr>
          <w:sz w:val="20"/>
          <w:szCs w:val="20"/>
          <w:color w:val="auto"/>
        </w:rPr>
      </w:pPr>
      <w:r>
        <w:rPr>
          <w:rFonts w:ascii="Arial" w:cs="Arial" w:eastAsia="Arial" w:hAnsi="Arial"/>
          <w:sz w:val="16"/>
          <w:szCs w:val="16"/>
          <w:color w:val="auto"/>
        </w:rPr>
        <w:t>Each committee of the board of directors that is authorized to exercise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enacted pursuant to the Companies Laws. Compensation of an external director is determined prior to his or her appointment and may not be changed during his or her term subject to certain exceptions.</w:t>
      </w:r>
    </w:p>
    <w:p>
      <w:pPr>
        <w:spacing w:after="0" w:line="168" w:lineRule="exact"/>
        <w:rPr>
          <w:sz w:val="20"/>
          <w:szCs w:val="20"/>
          <w:color w:val="auto"/>
        </w:rPr>
      </w:pPr>
    </w:p>
    <w:p>
      <w:pPr>
        <w:ind w:right="20" w:firstLine="360"/>
        <w:spacing w:after="0" w:line="274" w:lineRule="auto"/>
        <w:rPr>
          <w:sz w:val="20"/>
          <w:szCs w:val="20"/>
          <w:color w:val="auto"/>
        </w:rPr>
      </w:pPr>
      <w:r>
        <w:rPr>
          <w:rFonts w:ascii="Arial" w:cs="Arial" w:eastAsia="Arial" w:hAnsi="Arial"/>
          <w:sz w:val="15"/>
          <w:szCs w:val="15"/>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term relative is defined as a spouse, sibling, parent, grandparent or descendant; spouse's sibling, parent or descendant; and the spouse of each of the foregoing persons.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term affiliation and the similar types of prohibited relationships include (subject to certain exemptions):</w:t>
      </w:r>
    </w:p>
    <w:p>
      <w:pPr>
        <w:spacing w:after="0" w:line="188" w:lineRule="exact"/>
        <w:rPr>
          <w:sz w:val="20"/>
          <w:szCs w:val="20"/>
          <w:color w:val="auto"/>
        </w:rPr>
      </w:pPr>
    </w:p>
    <w:p>
      <w:pPr>
        <w:ind w:left="640" w:hanging="284"/>
        <w:spacing w:after="0"/>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an employment relationship;</w:t>
      </w:r>
    </w:p>
    <w:p>
      <w:pPr>
        <w:spacing w:after="0" w:line="20" w:lineRule="exact"/>
        <w:rPr>
          <w:rFonts w:ascii="Arial" w:cs="Arial" w:eastAsia="Arial" w:hAnsi="Arial"/>
          <w:sz w:val="16"/>
          <w:szCs w:val="16"/>
          <w:color w:val="A6A6A6"/>
        </w:rPr>
      </w:pPr>
    </w:p>
    <w:p>
      <w:pPr>
        <w:ind w:left="640" w:hanging="284"/>
        <w:spacing w:after="0"/>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a business or professional relationship even if not maintained on a regular basis (excluding insignificant relationships);</w:t>
      </w:r>
    </w:p>
    <w:p>
      <w:pPr>
        <w:spacing w:after="0" w:line="8" w:lineRule="exact"/>
        <w:rPr>
          <w:rFonts w:ascii="Arial" w:cs="Arial" w:eastAsia="Arial" w:hAnsi="Arial"/>
          <w:sz w:val="16"/>
          <w:szCs w:val="16"/>
          <w:color w:val="A6A6A6"/>
        </w:rPr>
      </w:pPr>
    </w:p>
    <w:p>
      <w:pPr>
        <w:ind w:left="640" w:hanging="284"/>
        <w:spacing w:after="0"/>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control; and</w:t>
      </w:r>
    </w:p>
    <w:p>
      <w:pPr>
        <w:spacing w:after="0" w:line="8" w:lineRule="exact"/>
        <w:rPr>
          <w:rFonts w:ascii="Arial" w:cs="Arial" w:eastAsia="Arial" w:hAnsi="Arial"/>
          <w:sz w:val="16"/>
          <w:szCs w:val="16"/>
          <w:color w:val="A6A6A6"/>
        </w:rPr>
      </w:pPr>
    </w:p>
    <w:p>
      <w:pPr>
        <w:ind w:left="640" w:hanging="284"/>
        <w:spacing w:after="0" w:line="261" w:lineRule="auto"/>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64"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62" w:lineRule="exact"/>
        <w:rPr>
          <w:sz w:val="20"/>
          <w:szCs w:val="20"/>
          <w:color w:val="auto"/>
        </w:rPr>
      </w:pPr>
    </w:p>
    <w:p>
      <w:pPr>
        <w:ind w:right="60" w:firstLine="360"/>
        <w:spacing w:after="0" w:line="273" w:lineRule="auto"/>
        <w:rPr>
          <w:sz w:val="20"/>
          <w:szCs w:val="20"/>
          <w:color w:val="auto"/>
        </w:rPr>
      </w:pPr>
      <w:r>
        <w:rPr>
          <w:rFonts w:ascii="Arial" w:cs="Arial" w:eastAsia="Arial" w:hAnsi="Arial"/>
          <w:sz w:val="15"/>
          <w:szCs w:val="15"/>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This restriction extends for a period of two years with regard to the former external director and his or her spouse or child, and for one year with respect to other relatives of the former external director.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9" w:name="page60"/>
    <w:bookmarkEnd w:id="59"/>
    <w:p>
      <w:pPr>
        <w:ind w:right="260" w:firstLine="360"/>
        <w:spacing w:after="0" w:line="264" w:lineRule="auto"/>
        <w:rPr>
          <w:sz w:val="20"/>
          <w:szCs w:val="20"/>
          <w:color w:val="auto"/>
        </w:rPr>
      </w:pPr>
      <w:r>
        <w:rPr>
          <w:rFonts w:ascii="Arial" w:cs="Arial" w:eastAsia="Arial" w:hAnsi="Arial"/>
          <w:sz w:val="16"/>
          <w:szCs w:val="16"/>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2" w:lineRule="exact"/>
        <w:rPr>
          <w:sz w:val="20"/>
          <w:szCs w:val="20"/>
          <w:color w:val="auto"/>
        </w:rPr>
      </w:pPr>
    </w:p>
    <w:p>
      <w:pPr>
        <w:jc w:val="both"/>
        <w:ind w:right="100" w:firstLine="360"/>
        <w:spacing w:after="0" w:line="278" w:lineRule="auto"/>
        <w:rPr>
          <w:sz w:val="20"/>
          <w:szCs w:val="20"/>
          <w:color w:val="auto"/>
        </w:rPr>
      </w:pPr>
      <w:r>
        <w:rPr>
          <w:rFonts w:ascii="Arial" w:cs="Arial" w:eastAsia="Arial" w:hAnsi="Arial"/>
          <w:sz w:val="15"/>
          <w:szCs w:val="15"/>
          <w:color w:val="auto"/>
        </w:rPr>
        <w:t>According to regulations promulgated under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 (iii) has accounting and financial expertise as defined under Israeli law, then neither of our external directors is required to possess accounting and financial expertise as long as both possess other requisite professional qualifications.</w:t>
      </w:r>
    </w:p>
    <w:p>
      <w:pPr>
        <w:spacing w:after="0" w:line="154" w:lineRule="exact"/>
        <w:rPr>
          <w:sz w:val="20"/>
          <w:szCs w:val="20"/>
          <w:color w:val="auto"/>
        </w:rPr>
      </w:pPr>
    </w:p>
    <w:p>
      <w:pPr>
        <w:ind w:right="20" w:firstLine="360"/>
        <w:spacing w:after="0" w:line="255"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Leadership Structure of the Board</w:t>
      </w:r>
    </w:p>
    <w:p>
      <w:pPr>
        <w:spacing w:after="0" w:line="200" w:lineRule="exact"/>
        <w:rPr>
          <w:sz w:val="20"/>
          <w:szCs w:val="20"/>
          <w:color w:val="auto"/>
        </w:rPr>
      </w:pPr>
    </w:p>
    <w:p>
      <w:pPr>
        <w:ind w:right="20" w:firstLine="360"/>
        <w:spacing w:after="0" w:line="312" w:lineRule="auto"/>
        <w:rPr>
          <w:sz w:val="20"/>
          <w:szCs w:val="20"/>
          <w:color w:val="auto"/>
        </w:rPr>
      </w:pPr>
      <w:r>
        <w:rPr>
          <w:rFonts w:ascii="Arial" w:cs="Arial" w:eastAsia="Arial" w:hAnsi="Arial"/>
          <w:sz w:val="15"/>
          <w:szCs w:val="15"/>
          <w:color w:val="auto"/>
        </w:rPr>
        <w:t>In accordance with the Israeli Companies Law and our amended and restated articles of association, our board of directors is required to appoint one of its members to serve as Chairman of the Board of Directors. Our board of directors has appointed Dr. Aharon Schwartz to serve as Chairman of the Board of Directors.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Role of Board in Risk Oversight Process</w:t>
      </w:r>
    </w:p>
    <w:p>
      <w:pPr>
        <w:spacing w:after="0" w:line="204" w:lineRule="exact"/>
        <w:rPr>
          <w:sz w:val="20"/>
          <w:szCs w:val="20"/>
          <w:color w:val="auto"/>
        </w:rPr>
      </w:pPr>
    </w:p>
    <w:p>
      <w:pPr>
        <w:ind w:right="120" w:firstLine="360"/>
        <w:spacing w:after="0" w:line="278" w:lineRule="auto"/>
        <w:rPr>
          <w:sz w:val="20"/>
          <w:szCs w:val="20"/>
          <w:color w:val="auto"/>
        </w:rPr>
      </w:pPr>
      <w:r>
        <w:rPr>
          <w:rFonts w:ascii="Arial" w:cs="Arial" w:eastAsia="Arial" w:hAnsi="Arial"/>
          <w:sz w:val="15"/>
          <w:szCs w:val="15"/>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200" w:lineRule="exact"/>
        <w:rPr>
          <w:sz w:val="20"/>
          <w:szCs w:val="20"/>
          <w:color w:val="auto"/>
        </w:rPr>
      </w:pPr>
    </w:p>
    <w:p>
      <w:pPr>
        <w:ind w:right="80" w:firstLine="360"/>
        <w:spacing w:after="0" w:line="282" w:lineRule="auto"/>
        <w:rPr>
          <w:sz w:val="20"/>
          <w:szCs w:val="20"/>
          <w:color w:val="auto"/>
        </w:rPr>
      </w:pPr>
      <w:r>
        <w:rPr>
          <w:rFonts w:ascii="Arial" w:cs="Arial" w:eastAsia="Arial" w:hAnsi="Arial"/>
          <w:sz w:val="15"/>
          <w:szCs w:val="15"/>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50"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0" w:name="page61"/>
    <w:bookmarkEnd w:id="60"/>
    <w:p>
      <w:pPr>
        <w:jc w:val="both"/>
        <w:ind w:left="644" w:hanging="284"/>
        <w:spacing w:after="0" w:line="289" w:lineRule="auto"/>
        <w:tabs>
          <w:tab w:leader="none" w:pos="644" w:val="left"/>
        </w:tabs>
        <w:numPr>
          <w:ilvl w:val="0"/>
          <w:numId w:val="51"/>
        </w:numPr>
        <w:rPr>
          <w:rFonts w:ascii="Arial" w:cs="Arial" w:eastAsia="Arial" w:hAnsi="Arial"/>
          <w:sz w:val="15"/>
          <w:szCs w:val="15"/>
          <w:color w:val="A6A6A6"/>
        </w:rPr>
      </w:pPr>
      <w:r>
        <w:rPr>
          <w:rFonts w:ascii="Arial" w:cs="Arial" w:eastAsia="Arial" w:hAnsi="Arial"/>
          <w:sz w:val="15"/>
          <w:szCs w:val="15"/>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145" w:lineRule="exact"/>
        <w:rPr>
          <w:rFonts w:ascii="Arial" w:cs="Arial" w:eastAsia="Arial" w:hAnsi="Arial"/>
          <w:sz w:val="15"/>
          <w:szCs w:val="15"/>
          <w:color w:val="A6A6A6"/>
        </w:rPr>
      </w:pPr>
    </w:p>
    <w:p>
      <w:pPr>
        <w:ind w:left="644" w:hanging="284"/>
        <w:spacing w:after="0" w:line="277" w:lineRule="auto"/>
        <w:tabs>
          <w:tab w:leader="none" w:pos="644" w:val="left"/>
        </w:tabs>
        <w:numPr>
          <w:ilvl w:val="0"/>
          <w:numId w:val="51"/>
        </w:numPr>
        <w:rPr>
          <w:rFonts w:ascii="Arial" w:cs="Arial" w:eastAsia="Arial" w:hAnsi="Arial"/>
          <w:sz w:val="16"/>
          <w:szCs w:val="16"/>
          <w:color w:val="A6A6A6"/>
        </w:rPr>
      </w:pPr>
      <w:r>
        <w:rPr>
          <w:rFonts w:ascii="Arial" w:cs="Arial" w:eastAsia="Arial" w:hAnsi="Arial"/>
          <w:sz w:val="16"/>
          <w:szCs w:val="16"/>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52" w:lineRule="exact"/>
        <w:rPr>
          <w:sz w:val="20"/>
          <w:szCs w:val="20"/>
          <w:color w:val="auto"/>
        </w:rPr>
      </w:pPr>
    </w:p>
    <w:p>
      <w:pPr>
        <w:ind w:left="4" w:right="200" w:firstLine="360"/>
        <w:spacing w:after="0" w:line="312" w:lineRule="auto"/>
        <w:rPr>
          <w:sz w:val="20"/>
          <w:szCs w:val="20"/>
          <w:color w:val="auto"/>
        </w:rPr>
      </w:pPr>
      <w:r>
        <w:rPr>
          <w:rFonts w:ascii="Arial" w:cs="Arial" w:eastAsia="Arial" w:hAnsi="Arial"/>
          <w:sz w:val="15"/>
          <w:szCs w:val="15"/>
          <w:color w:val="auto"/>
        </w:rPr>
        <w:t>Our Board of Directors intends to adopt an audit committee charter that will set forth the responsibilities of the Audit Committee consistent with the rules of the SEC and the Listing Rules of the NASDAQ Stock Market, as well as the requirements for such committee under the Israeli Companies Law, as described below.</w:t>
      </w:r>
    </w:p>
    <w:p>
      <w:pPr>
        <w:spacing w:after="0" w:line="128" w:lineRule="exact"/>
        <w:rPr>
          <w:sz w:val="20"/>
          <w:szCs w:val="20"/>
          <w:color w:val="auto"/>
        </w:rPr>
      </w:pPr>
    </w:p>
    <w:p>
      <w:pPr>
        <w:ind w:left="4" w:right="60" w:firstLine="360"/>
        <w:spacing w:after="0" w:line="255" w:lineRule="auto"/>
        <w:rPr>
          <w:sz w:val="20"/>
          <w:szCs w:val="20"/>
          <w:color w:val="auto"/>
        </w:rPr>
      </w:pPr>
      <w:r>
        <w:rPr>
          <w:rFonts w:ascii="Arial" w:cs="Arial" w:eastAsia="Arial" w:hAnsi="Arial"/>
          <w:sz w:val="16"/>
          <w:szCs w:val="16"/>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 We plan to formally form an audit committee that complies with the provisions of the Israeli Companies Law shortly after the election of external directors to our board. In the interim period commencing on date that we enter into an underwriting agreement in connection with this offering and until the formal formation of an audit committee that meets the legal requirements under the Israeli Companies Law, we will have an audit committee with one member.</w:t>
      </w:r>
    </w:p>
    <w:p>
      <w:pPr>
        <w:spacing w:after="0" w:line="169" w:lineRule="exact"/>
        <w:rPr>
          <w:sz w:val="20"/>
          <w:szCs w:val="20"/>
          <w:color w:val="auto"/>
        </w:rPr>
      </w:pPr>
    </w:p>
    <w:p>
      <w:pPr>
        <w:jc w:val="both"/>
        <w:ind w:left="4" w:right="480" w:firstLine="360"/>
        <w:spacing w:after="0" w:line="295" w:lineRule="auto"/>
        <w:rPr>
          <w:sz w:val="20"/>
          <w:szCs w:val="20"/>
          <w:color w:val="auto"/>
        </w:rPr>
      </w:pPr>
      <w:r>
        <w:rPr>
          <w:rFonts w:ascii="Arial" w:cs="Arial" w:eastAsia="Arial" w:hAnsi="Arial"/>
          <w:sz w:val="14"/>
          <w:szCs w:val="14"/>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 w:lineRule="exact"/>
        <w:rPr>
          <w:sz w:val="20"/>
          <w:szCs w:val="20"/>
          <w:color w:val="auto"/>
        </w:rPr>
      </w:pPr>
    </w:p>
    <w:p>
      <w:pPr>
        <w:ind w:left="4" w:right="20" w:hanging="4"/>
        <w:spacing w:after="0" w:line="291" w:lineRule="auto"/>
        <w:tabs>
          <w:tab w:leader="none" w:pos="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50" w:lineRule="exact"/>
        <w:rPr>
          <w:sz w:val="20"/>
          <w:szCs w:val="20"/>
          <w:color w:val="auto"/>
        </w:rPr>
      </w:pPr>
    </w:p>
    <w:p>
      <w:pPr>
        <w:ind w:left="364"/>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00" w:lineRule="exact"/>
        <w:rPr>
          <w:sz w:val="20"/>
          <w:szCs w:val="20"/>
          <w:color w:val="auto"/>
        </w:rPr>
      </w:pPr>
    </w:p>
    <w:p>
      <w:pPr>
        <w:ind w:left="4" w:right="280" w:firstLine="360"/>
        <w:spacing w:after="0" w:line="259" w:lineRule="auto"/>
        <w:rPr>
          <w:sz w:val="20"/>
          <w:szCs w:val="20"/>
          <w:color w:val="auto"/>
        </w:rPr>
      </w:pPr>
      <w:r>
        <w:rPr>
          <w:rFonts w:ascii="Arial" w:cs="Arial" w:eastAsia="Arial" w:hAnsi="Arial"/>
          <w:sz w:val="16"/>
          <w:szCs w:val="16"/>
          <w:color w:val="auto"/>
        </w:rPr>
        <w:t>We intend to rely upon the exemption available to foreign private issuers under the Listing Rules of the NASDAQ Stock Market with respect to the determination of the compensation of our Chief Executive Officer and other executive officers in lieu of forming a compensation committee consisting entirely of independent directors (or the determination of such compensation solely by the independent members of our Board of Directors), and rather form a compensation committee in compliance with the Israeli Companies Law. See "—NASDAQ Listing Rules and home country practices."</w:t>
      </w:r>
    </w:p>
    <w:p>
      <w:pPr>
        <w:spacing w:after="0" w:line="167" w:lineRule="exact"/>
        <w:rPr>
          <w:sz w:val="20"/>
          <w:szCs w:val="20"/>
          <w:color w:val="auto"/>
        </w:rPr>
      </w:pPr>
    </w:p>
    <w:p>
      <w:pPr>
        <w:ind w:left="4" w:right="20" w:firstLine="360"/>
        <w:spacing w:after="0" w:line="278" w:lineRule="auto"/>
        <w:rPr>
          <w:sz w:val="20"/>
          <w:szCs w:val="20"/>
          <w:color w:val="auto"/>
        </w:rPr>
      </w:pPr>
      <w:r>
        <w:rPr>
          <w:rFonts w:ascii="Arial" w:cs="Arial" w:eastAsia="Arial" w:hAnsi="Arial"/>
          <w:sz w:val="15"/>
          <w:szCs w:val="15"/>
          <w:color w:val="auto"/>
        </w:rPr>
        <w:t>Under a recent amendment to the Israeli Companies Law, effective December 12, 2012,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54" w:lineRule="exact"/>
        <w:rPr>
          <w:sz w:val="20"/>
          <w:szCs w:val="20"/>
          <w:color w:val="auto"/>
        </w:rPr>
      </w:pPr>
    </w:p>
    <w:p>
      <w:pPr>
        <w:ind w:left="4" w:right="100" w:firstLine="360"/>
        <w:spacing w:after="0" w:line="264" w:lineRule="auto"/>
        <w:rPr>
          <w:sz w:val="20"/>
          <w:szCs w:val="20"/>
          <w:color w:val="auto"/>
        </w:rPr>
      </w:pPr>
      <w:r>
        <w:rPr>
          <w:rFonts w:ascii="Arial" w:cs="Arial" w:eastAsia="Arial" w:hAnsi="Arial"/>
          <w:sz w:val="16"/>
          <w:szCs w:val="16"/>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61" w:name="page62"/>
    <w:bookmarkEnd w:id="61"/>
    <w:p>
      <w:pPr>
        <w:ind w:left="360"/>
        <w:spacing w:after="0"/>
        <w:rPr>
          <w:sz w:val="20"/>
          <w:szCs w:val="20"/>
          <w:color w:val="auto"/>
        </w:rPr>
      </w:pPr>
      <w:r>
        <w:rPr>
          <w:rFonts w:ascii="Arial" w:cs="Arial" w:eastAsia="Arial" w:hAnsi="Arial"/>
          <w:sz w:val="16"/>
          <w:szCs w:val="16"/>
          <w:color w:val="auto"/>
        </w:rPr>
        <w:t>We plan to form a compensation committee shortly after the election of external directors to our board.</w:t>
      </w:r>
    </w:p>
    <w:p>
      <w:pPr>
        <w:spacing w:after="0" w:line="200" w:lineRule="exact"/>
        <w:rPr>
          <w:sz w:val="20"/>
          <w:szCs w:val="20"/>
          <w:color w:val="auto"/>
        </w:rPr>
      </w:pPr>
    </w:p>
    <w:p>
      <w:pPr>
        <w:ind w:right="60" w:firstLine="360"/>
        <w:spacing w:after="0" w:line="259" w:lineRule="auto"/>
        <w:rPr>
          <w:sz w:val="20"/>
          <w:szCs w:val="20"/>
          <w:color w:val="auto"/>
        </w:rPr>
      </w:pPr>
      <w:r>
        <w:rPr>
          <w:rFonts w:ascii="Arial" w:cs="Arial" w:eastAsia="Arial" w:hAnsi="Arial"/>
          <w:sz w:val="16"/>
          <w:szCs w:val="16"/>
          <w:color w:val="auto"/>
        </w:rPr>
        <w:t>Under the Israeli Companies Law, our compensation committee is responsible for (i) proposing an office holder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67" w:lineRule="exact"/>
        <w:rPr>
          <w:sz w:val="20"/>
          <w:szCs w:val="20"/>
          <w:color w:val="auto"/>
        </w:rPr>
      </w:pPr>
    </w:p>
    <w:p>
      <w:pPr>
        <w:ind w:right="180" w:firstLine="360"/>
        <w:spacing w:after="0" w:line="277" w:lineRule="auto"/>
        <w:rPr>
          <w:sz w:val="20"/>
          <w:szCs w:val="20"/>
          <w:color w:val="auto"/>
        </w:rPr>
      </w:pPr>
      <w:r>
        <w:rPr>
          <w:rFonts w:ascii="Arial" w:cs="Arial" w:eastAsia="Arial" w:hAnsi="Arial"/>
          <w:sz w:val="16"/>
          <w:szCs w:val="16"/>
          <w:color w:val="auto"/>
        </w:rPr>
        <w:t>Under the amendment to the Israeli Companies Law, we are required to adopt an office holder compensation policy no later than 9 months from the consummation of this offering.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Nominating Committee</w:t>
      </w:r>
    </w:p>
    <w:p>
      <w:pPr>
        <w:spacing w:after="0" w:line="200" w:lineRule="exact"/>
        <w:rPr>
          <w:sz w:val="20"/>
          <w:szCs w:val="20"/>
          <w:color w:val="auto"/>
        </w:rPr>
      </w:pPr>
    </w:p>
    <w:p>
      <w:pPr>
        <w:ind w:right="40" w:firstLine="360"/>
        <w:spacing w:after="0" w:line="282" w:lineRule="auto"/>
        <w:rPr>
          <w:sz w:val="20"/>
          <w:szCs w:val="20"/>
          <w:color w:val="auto"/>
        </w:rPr>
      </w:pPr>
      <w:r>
        <w:rPr>
          <w:rFonts w:ascii="Arial" w:cs="Arial" w:eastAsia="Arial" w:hAnsi="Arial"/>
          <w:sz w:val="15"/>
          <w:szCs w:val="15"/>
          <w:color w:val="auto"/>
        </w:rPr>
        <w:t>Our Board of Directors does not currently have a nominating committee, as director nominees are presented by our Board of Directors to our shareholders based upon the nominations made by the Board of Directors itself. We intend to rely upon the exemption available to foreign private issuers under the Listing Rules of the NASDAQ Stock Market from the NASDAQ listing requirements related to independent director oversight of nominations to our Board of Directors and the adoption of a formal written charter or board resolution addressing the nominations process. See "—NASDAQ Listing Rules and home country practices."</w:t>
      </w:r>
    </w:p>
    <w:p>
      <w:pPr>
        <w:spacing w:after="0" w:line="150" w:lineRule="exact"/>
        <w:rPr>
          <w:sz w:val="20"/>
          <w:szCs w:val="20"/>
          <w:color w:val="auto"/>
        </w:rPr>
      </w:pPr>
    </w:p>
    <w:p>
      <w:pPr>
        <w:ind w:right="140" w:firstLine="360"/>
        <w:spacing w:after="0" w:line="289" w:lineRule="auto"/>
        <w:rPr>
          <w:sz w:val="20"/>
          <w:szCs w:val="20"/>
          <w:color w:val="auto"/>
        </w:rPr>
      </w:pPr>
      <w:r>
        <w:rPr>
          <w:rFonts w:ascii="Arial" w:cs="Arial" w:eastAsia="Arial" w:hAnsi="Arial"/>
          <w:sz w:val="15"/>
          <w:szCs w:val="15"/>
          <w:color w:val="auto"/>
        </w:rPr>
        <w:t>We do not have service contracts with any of our directors, except for Ehud Gilboa, Dr. Dalia Megiddo and Dr. Yaron Daniely. Dr. Aharon Schwartz’s compensation has been approved by our shareholders, and the Company expects to enter into a service contract with him shortly. Please see "Certain Relationships and Related Party Transactions —Agreements and Arrangements with, and Compensation of, Directors and Executive Officers" for a summary of these agreements.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Internal auditor</w:t>
      </w:r>
    </w:p>
    <w:p>
      <w:pPr>
        <w:spacing w:after="0" w:line="200" w:lineRule="exact"/>
        <w:rPr>
          <w:sz w:val="20"/>
          <w:szCs w:val="20"/>
          <w:color w:val="auto"/>
        </w:rPr>
      </w:pPr>
    </w:p>
    <w:p>
      <w:pPr>
        <w:ind w:right="60" w:firstLine="360"/>
        <w:spacing w:after="0" w:line="277" w:lineRule="auto"/>
        <w:rPr>
          <w:sz w:val="20"/>
          <w:szCs w:val="20"/>
          <w:color w:val="auto"/>
        </w:rPr>
      </w:pPr>
      <w:r>
        <w:rPr>
          <w:rFonts w:ascii="Arial" w:cs="Arial" w:eastAsia="Arial" w:hAnsi="Arial"/>
          <w:sz w:val="16"/>
          <w:szCs w:val="16"/>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52" w:lineRule="exact"/>
        <w:rPr>
          <w:sz w:val="20"/>
          <w:szCs w:val="20"/>
          <w:color w:val="auto"/>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 person (or a relative of a person) who holds more than 5% of the Company's outstanding shares or voting rights;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 person (or a relative of a person) who has the power to appoint a director or the general manager of the Company;</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an office holder (including a director) of the Company (or a relative thereof);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 member of the Company's independent accounting firm, or anyone on his or her behalf.</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role of the internal auditor is to examine, among other things, our compliance with applicable law and orderly business procedures.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Listing Rules and Home Country Practices</w:t>
      </w:r>
    </w:p>
    <w:p>
      <w:pPr>
        <w:spacing w:after="0" w:line="204" w:lineRule="exact"/>
        <w:rPr>
          <w:sz w:val="20"/>
          <w:szCs w:val="20"/>
          <w:color w:val="auto"/>
        </w:rPr>
      </w:pPr>
    </w:p>
    <w:p>
      <w:pPr>
        <w:ind w:right="280" w:firstLine="360"/>
        <w:spacing w:after="0" w:line="308" w:lineRule="auto"/>
        <w:rPr>
          <w:sz w:val="20"/>
          <w:szCs w:val="20"/>
          <w:color w:val="auto"/>
        </w:rPr>
      </w:pPr>
      <w:r>
        <w:rPr>
          <w:rFonts w:ascii="Arial" w:cs="Arial" w:eastAsia="Arial" w:hAnsi="Arial"/>
          <w:sz w:val="14"/>
          <w:szCs w:val="14"/>
          <w:color w:val="auto"/>
        </w:rPr>
        <w:t>The Sarbanes-Oxley Act, as well as related rules subsequently implemented by the SEC, require foreign private issuers, such as us, to comply with various corporate governance practices. In addition, upon the contemplated listing of our ordinary shares on the NASDAQ Capital Market, we will need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35" w:lineRule="exact"/>
        <w:rPr>
          <w:sz w:val="20"/>
          <w:szCs w:val="20"/>
          <w:color w:val="auto"/>
        </w:rPr>
      </w:pPr>
    </w:p>
    <w:p>
      <w:pPr>
        <w:ind w:right="420" w:firstLine="360"/>
        <w:spacing w:after="0" w:line="264" w:lineRule="auto"/>
        <w:rPr>
          <w:sz w:val="20"/>
          <w:szCs w:val="20"/>
          <w:color w:val="auto"/>
        </w:rPr>
      </w:pPr>
      <w:r>
        <w:rPr>
          <w:rFonts w:ascii="Arial" w:cs="Arial" w:eastAsia="Arial" w:hAnsi="Arial"/>
          <w:sz w:val="16"/>
          <w:szCs w:val="16"/>
          <w:color w:val="auto"/>
        </w:rPr>
        <w:t>In accordance with Israeli law and practice and subject to the exemption set forth in Rule 5615 of the Listing Rules of the NASDAQ Stock Market, if we list on the NASDAQ Capital Market we intend to follow the provisions of the Israeli Companies Law, rather than the Listing Rules of the NASDAQ Stock Market, with respect to the following requirements:</w:t>
      </w:r>
    </w:p>
    <w:p>
      <w:pPr>
        <w:spacing w:after="0" w:line="162" w:lineRule="exact"/>
        <w:rPr>
          <w:sz w:val="20"/>
          <w:szCs w:val="20"/>
          <w:color w:val="auto"/>
        </w:rPr>
      </w:pPr>
    </w:p>
    <w:p>
      <w:pPr>
        <w:ind w:left="360" w:hanging="4"/>
        <w:spacing w:after="0" w:line="278" w:lineRule="auto"/>
        <w:tabs>
          <w:tab w:leader="none" w:pos="640" w:val="left"/>
        </w:tabs>
        <w:numPr>
          <w:ilvl w:val="0"/>
          <w:numId w:val="54"/>
        </w:numPr>
        <w:rPr>
          <w:rFonts w:ascii="Arial" w:cs="Arial" w:eastAsia="Arial" w:hAnsi="Arial"/>
          <w:sz w:val="15"/>
          <w:szCs w:val="15"/>
          <w:color w:val="A6A6A6"/>
        </w:rPr>
      </w:pPr>
      <w:r>
        <w:rPr>
          <w:rFonts w:ascii="Arial" w:cs="Arial" w:eastAsia="Arial" w:hAnsi="Arial"/>
          <w:sz w:val="15"/>
          <w:szCs w:val="15"/>
          <w:i w:val="1"/>
          <w:iCs w:val="1"/>
          <w:color w:val="auto"/>
        </w:rPr>
        <w:t xml:space="preserve">Distribution of periodic reports to shareholders; proxy solicitation. </w:t>
      </w:r>
      <w:r>
        <w:rPr>
          <w:rFonts w:ascii="Arial" w:cs="Arial" w:eastAsia="Arial" w:hAnsi="Arial"/>
          <w:sz w:val="15"/>
          <w:szCs w:val="15"/>
          <w:color w:val="auto"/>
        </w:rPr>
        <w:t>As opposed to the Listing Rules of the NASDAQ Stock Market, which require listed issuers to</w:t>
      </w:r>
      <w:r>
        <w:rPr>
          <w:rFonts w:ascii="Arial" w:cs="Arial" w:eastAsia="Arial" w:hAnsi="Arial"/>
          <w:sz w:val="15"/>
          <w:szCs w:val="15"/>
          <w:i w:val="1"/>
          <w:iCs w:val="1"/>
          <w:color w:val="auto"/>
        </w:rPr>
        <w:t xml:space="preserve"> </w:t>
      </w:r>
      <w:r>
        <w:rPr>
          <w:rFonts w:ascii="Arial" w:cs="Arial" w:eastAsia="Arial" w:hAnsi="Arial"/>
          <w:sz w:val="15"/>
          <w:szCs w:val="15"/>
          <w:color w:val="auto"/>
        </w:rPr>
        <w:t>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plan to make our audited financial statements available to our shareholders at our offices and will only mail such reports to shareholders upon request. As a foreign private issuer, we are generally exempt from the SEC's proxy solicitation rules.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2" w:name="page63"/>
    <w:bookmarkEnd w:id="62"/>
    <w:p>
      <w:pPr>
        <w:ind w:left="360" w:right="40" w:hanging="4"/>
        <w:spacing w:after="0" w:line="278" w:lineRule="auto"/>
        <w:tabs>
          <w:tab w:leader="none" w:pos="640" w:val="left"/>
        </w:tabs>
        <w:numPr>
          <w:ilvl w:val="0"/>
          <w:numId w:val="55"/>
        </w:numPr>
        <w:rPr>
          <w:rFonts w:ascii="Arial" w:cs="Arial" w:eastAsia="Arial" w:hAnsi="Arial"/>
          <w:sz w:val="15"/>
          <w:szCs w:val="15"/>
          <w:color w:val="A6A6A6"/>
        </w:rPr>
      </w:pPr>
      <w:r>
        <w:rPr>
          <w:rFonts w:ascii="Arial" w:cs="Arial" w:eastAsia="Arial" w:hAnsi="Arial"/>
          <w:sz w:val="15"/>
          <w:szCs w:val="15"/>
          <w:i w:val="1"/>
          <w:iCs w:val="1"/>
          <w:color w:val="auto"/>
        </w:rPr>
        <w:t xml:space="preserve">Nomination of our directors. </w:t>
      </w:r>
      <w:r>
        <w:rPr>
          <w:rFonts w:ascii="Arial" w:cs="Arial" w:eastAsia="Arial" w:hAnsi="Arial"/>
          <w:sz w:val="15"/>
          <w:szCs w:val="15"/>
          <w:color w:val="auto"/>
        </w:rPr>
        <w:t>With the exception of our external directors and directors elected by our Board of Directors due to vacancy, our directors are elected by</w:t>
      </w:r>
      <w:r>
        <w:rPr>
          <w:rFonts w:ascii="Arial" w:cs="Arial" w:eastAsia="Arial" w:hAnsi="Arial"/>
          <w:sz w:val="15"/>
          <w:szCs w:val="15"/>
          <w:i w:val="1"/>
          <w:iCs w:val="1"/>
          <w:color w:val="auto"/>
        </w:rPr>
        <w:t xml:space="preserve"> </w:t>
      </w:r>
      <w:r>
        <w:rPr>
          <w:rFonts w:ascii="Arial" w:cs="Arial" w:eastAsia="Arial" w:hAnsi="Arial"/>
          <w:sz w:val="15"/>
          <w:szCs w:val="15"/>
          <w:color w:val="auto"/>
        </w:rPr>
        <w:t>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as required under the Listing Rules of the NASDAQ Stock Market.</w:t>
      </w:r>
    </w:p>
    <w:p>
      <w:pPr>
        <w:spacing w:after="0" w:line="154" w:lineRule="exact"/>
        <w:rPr>
          <w:rFonts w:ascii="Arial" w:cs="Arial" w:eastAsia="Arial" w:hAnsi="Arial"/>
          <w:sz w:val="15"/>
          <w:szCs w:val="15"/>
          <w:color w:val="A6A6A6"/>
        </w:rPr>
      </w:pPr>
    </w:p>
    <w:p>
      <w:pPr>
        <w:jc w:val="both"/>
        <w:ind w:left="360" w:hanging="4"/>
        <w:spacing w:after="0" w:line="289" w:lineRule="auto"/>
        <w:tabs>
          <w:tab w:leader="none" w:pos="640" w:val="left"/>
        </w:tabs>
        <w:numPr>
          <w:ilvl w:val="0"/>
          <w:numId w:val="55"/>
        </w:numPr>
        <w:rPr>
          <w:rFonts w:ascii="Arial" w:cs="Arial" w:eastAsia="Arial" w:hAnsi="Arial"/>
          <w:sz w:val="15"/>
          <w:szCs w:val="15"/>
          <w:color w:val="A6A6A6"/>
        </w:rPr>
      </w:pPr>
      <w:r>
        <w:rPr>
          <w:rFonts w:ascii="Arial" w:cs="Arial" w:eastAsia="Arial" w:hAnsi="Arial"/>
          <w:sz w:val="15"/>
          <w:szCs w:val="15"/>
          <w:i w:val="1"/>
          <w:iCs w:val="1"/>
          <w:color w:val="auto"/>
        </w:rPr>
        <w:t xml:space="preserve">Compensation of officers. </w:t>
      </w:r>
      <w:r>
        <w:rPr>
          <w:rFonts w:ascii="Arial" w:cs="Arial" w:eastAsia="Arial" w:hAnsi="Arial"/>
          <w:sz w:val="15"/>
          <w:szCs w:val="15"/>
          <w:color w:val="auto"/>
        </w:rPr>
        <w:t>Israeli law and our amended and restated articles of association do not require that the independent members of our Board of Directors (or a</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46"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62" w:lineRule="exact"/>
        <w:rPr>
          <w:sz w:val="20"/>
          <w:szCs w:val="20"/>
          <w:color w:val="auto"/>
        </w:rPr>
      </w:pPr>
    </w:p>
    <w:p>
      <w:pPr>
        <w:ind w:right="80" w:firstLine="360"/>
        <w:spacing w:after="0" w:line="276" w:lineRule="auto"/>
        <w:rPr>
          <w:sz w:val="20"/>
          <w:szCs w:val="20"/>
          <w:color w:val="auto"/>
        </w:rPr>
      </w:pPr>
      <w:r>
        <w:rPr>
          <w:rFonts w:ascii="Arial" w:cs="Arial" w:eastAsia="Arial" w:hAnsi="Arial"/>
          <w:sz w:val="15"/>
          <w:szCs w:val="15"/>
          <w:color w:val="auto"/>
        </w:rPr>
        <w:t>Shareholder approval is required for officer compensation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55" w:lineRule="exact"/>
        <w:rPr>
          <w:sz w:val="20"/>
          <w:szCs w:val="20"/>
          <w:color w:val="auto"/>
        </w:rPr>
      </w:pPr>
    </w:p>
    <w:p>
      <w:pPr>
        <w:ind w:right="20" w:firstLine="360"/>
        <w:spacing w:after="0" w:line="254" w:lineRule="auto"/>
        <w:rPr>
          <w:sz w:val="20"/>
          <w:szCs w:val="20"/>
          <w:color w:val="auto"/>
        </w:rPr>
      </w:pPr>
      <w:r>
        <w:rPr>
          <w:rFonts w:ascii="Arial" w:cs="Arial" w:eastAsia="Arial" w:hAnsi="Arial"/>
          <w:sz w:val="16"/>
          <w:szCs w:val="16"/>
          <w:color w:val="auto"/>
        </w:rPr>
        <w:t>Additionally, approval of the compensation of an executive officer, who is also a director, shall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172" w:lineRule="exact"/>
        <w:rPr>
          <w:sz w:val="20"/>
          <w:szCs w:val="20"/>
          <w:color w:val="auto"/>
        </w:rPr>
      </w:pPr>
    </w:p>
    <w:p>
      <w:pPr>
        <w:ind w:right="520" w:firstLine="360"/>
        <w:spacing w:after="0" w:line="312" w:lineRule="auto"/>
        <w:rPr>
          <w:sz w:val="20"/>
          <w:szCs w:val="20"/>
          <w:color w:val="auto"/>
        </w:rPr>
      </w:pPr>
      <w:r>
        <w:rPr>
          <w:rFonts w:ascii="Arial" w:cs="Arial" w:eastAsia="Arial" w:hAnsi="Arial"/>
          <w:sz w:val="15"/>
          <w:szCs w:val="15"/>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128" w:lineRule="exact"/>
        <w:rPr>
          <w:sz w:val="20"/>
          <w:szCs w:val="20"/>
          <w:color w:val="auto"/>
        </w:rPr>
      </w:pPr>
    </w:p>
    <w:p>
      <w:pPr>
        <w:ind w:left="360" w:right="20" w:hanging="4"/>
        <w:spacing w:after="0" w:line="255" w:lineRule="auto"/>
        <w:tabs>
          <w:tab w:leader="none" w:pos="640" w:val="left"/>
        </w:tabs>
        <w:numPr>
          <w:ilvl w:val="0"/>
          <w:numId w:val="56"/>
        </w:numPr>
        <w:rPr>
          <w:rFonts w:ascii="Arial" w:cs="Arial" w:eastAsia="Arial" w:hAnsi="Arial"/>
          <w:sz w:val="16"/>
          <w:szCs w:val="16"/>
          <w:color w:val="A6A6A6"/>
        </w:rPr>
      </w:pPr>
      <w:r>
        <w:rPr>
          <w:rFonts w:ascii="Arial" w:cs="Arial" w:eastAsia="Arial" w:hAnsi="Arial"/>
          <w:sz w:val="16"/>
          <w:szCs w:val="16"/>
          <w:i w:val="1"/>
          <w:iCs w:val="1"/>
          <w:color w:val="auto"/>
        </w:rPr>
        <w:t xml:space="preserve">Independent directors. </w:t>
      </w:r>
      <w:r>
        <w:rPr>
          <w:rFonts w:ascii="Arial" w:cs="Arial" w:eastAsia="Arial" w:hAnsi="Arial"/>
          <w:sz w:val="16"/>
          <w:szCs w:val="16"/>
          <w:color w:val="auto"/>
        </w:rPr>
        <w:t>Israeli law does not require that a majority of the directors serving on our Board of Directors be "independent," as defined under NASDAQ</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3" w:name="page64"/>
    <w:bookmarkEnd w:id="63"/>
    <w:p>
      <w:pPr>
        <w:ind w:left="360" w:hanging="4"/>
        <w:spacing w:after="0" w:line="291" w:lineRule="auto"/>
        <w:tabs>
          <w:tab w:leader="none" w:pos="640" w:val="left"/>
        </w:tabs>
        <w:numPr>
          <w:ilvl w:val="0"/>
          <w:numId w:val="57"/>
        </w:numPr>
        <w:rPr>
          <w:rFonts w:ascii="Arial" w:cs="Arial" w:eastAsia="Arial" w:hAnsi="Arial"/>
          <w:sz w:val="14"/>
          <w:szCs w:val="14"/>
          <w:color w:val="A6A6A6"/>
        </w:rPr>
      </w:pPr>
      <w:r>
        <w:rPr>
          <w:rFonts w:ascii="Arial" w:cs="Arial" w:eastAsia="Arial" w:hAnsi="Arial"/>
          <w:sz w:val="14"/>
          <w:szCs w:val="14"/>
          <w:i w:val="1"/>
          <w:iCs w:val="1"/>
          <w:color w:val="auto"/>
        </w:rPr>
        <w:t xml:space="preserve">Shareholder approval. </w:t>
      </w:r>
      <w:r>
        <w:rPr>
          <w:rFonts w:ascii="Arial" w:cs="Arial" w:eastAsia="Arial" w:hAnsi="Arial"/>
          <w:sz w:val="14"/>
          <w:szCs w:val="14"/>
          <w:color w:val="auto"/>
        </w:rPr>
        <w:t>We will seek shareholder approval for all corporate actions requiring such approval under the requirements of the Israeli Companies Law,</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described below under "Approval of related party transactions under Israeli Law </w:t>
      </w:r>
      <w:r>
        <w:rPr>
          <w:rFonts w:ascii="Arial" w:cs="Arial" w:eastAsia="Arial" w:hAnsi="Arial"/>
          <w:sz w:val="14"/>
          <w:szCs w:val="14"/>
          <w:b w:val="1"/>
          <w:bCs w:val="1"/>
          <w:color w:val="auto"/>
        </w:rPr>
        <w:t>—</w:t>
      </w:r>
      <w:r>
        <w:rPr>
          <w:rFonts w:ascii="Arial" w:cs="Arial" w:eastAsia="Arial" w:hAnsi="Arial"/>
          <w:sz w:val="14"/>
          <w:szCs w:val="14"/>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4"/>
          <w:szCs w:val="14"/>
          <w:b w:val="1"/>
          <w:bCs w:val="1"/>
          <w:color w:val="auto"/>
        </w:rPr>
        <w:t>—</w:t>
      </w:r>
      <w:r>
        <w:rPr>
          <w:rFonts w:ascii="Arial" w:cs="Arial" w:eastAsia="Arial" w:hAnsi="Arial"/>
          <w:sz w:val="14"/>
          <w:szCs w:val="14"/>
          <w:color w:val="auto"/>
        </w:rPr>
        <w:t xml:space="preserve"> Disclosure of personal interests of controlling shareholders". In addition, under the Israeli Companies Law, a merger requires approval of the shareholders of each of the merging companies.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 of Related Party Transactions under Israeli Law</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Fiduciary duties of directors and executive officers</w:t>
      </w:r>
    </w:p>
    <w:p>
      <w:pPr>
        <w:spacing w:after="0" w:line="204" w:lineRule="exact"/>
        <w:rPr>
          <w:sz w:val="20"/>
          <w:szCs w:val="20"/>
          <w:color w:val="auto"/>
        </w:rPr>
      </w:pPr>
    </w:p>
    <w:p>
      <w:pPr>
        <w:ind w:right="120" w:firstLine="360"/>
        <w:spacing w:after="0" w:line="277" w:lineRule="auto"/>
        <w:rPr>
          <w:sz w:val="20"/>
          <w:szCs w:val="20"/>
          <w:color w:val="auto"/>
        </w:rPr>
      </w:pPr>
      <w:r>
        <w:rPr>
          <w:rFonts w:ascii="Arial" w:cs="Arial" w:eastAsia="Arial" w:hAnsi="Arial"/>
          <w:sz w:val="16"/>
          <w:szCs w:val="16"/>
          <w:color w:val="auto"/>
        </w:rPr>
        <w:t>The Israeli Companies Law codifies the fiduciary duties that office holders owe to a company. Each person listed in the table under "Management—Executive officers and directors" is an office holder under the Israeli Companies Law.</w:t>
      </w:r>
    </w:p>
    <w:p>
      <w:pPr>
        <w:spacing w:after="0" w:line="152"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162" w:lineRule="exact"/>
        <w:rPr>
          <w:sz w:val="20"/>
          <w:szCs w:val="20"/>
          <w:color w:val="auto"/>
        </w:rPr>
      </w:pPr>
    </w:p>
    <w:p>
      <w:pPr>
        <w:ind w:left="640" w:hanging="284"/>
        <w:spacing w:after="0"/>
        <w:tabs>
          <w:tab w:leader="none" w:pos="640" w:val="left"/>
        </w:tabs>
        <w:numPr>
          <w:ilvl w:val="0"/>
          <w:numId w:val="58"/>
        </w:numPr>
        <w:rPr>
          <w:rFonts w:ascii="Arial" w:cs="Arial" w:eastAsia="Arial" w:hAnsi="Arial"/>
          <w:sz w:val="16"/>
          <w:szCs w:val="16"/>
          <w:color w:val="A6A6A6"/>
        </w:rPr>
      </w:pPr>
      <w:r>
        <w:rPr>
          <w:rFonts w:ascii="Arial" w:cs="Arial" w:eastAsia="Arial" w:hAnsi="Arial"/>
          <w:sz w:val="16"/>
          <w:szCs w:val="16"/>
          <w:color w:val="auto"/>
        </w:rPr>
        <w:t>information on the advisability of a given action brought for his or her approval or performed by virtue of his or her position;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8"/>
        </w:numPr>
        <w:rPr>
          <w:rFonts w:ascii="Arial" w:cs="Arial" w:eastAsia="Arial" w:hAnsi="Arial"/>
          <w:sz w:val="16"/>
          <w:szCs w:val="16"/>
          <w:color w:val="A6A6A6"/>
        </w:rPr>
      </w:pPr>
      <w:r>
        <w:rPr>
          <w:rFonts w:ascii="Arial" w:cs="Arial" w:eastAsia="Arial" w:hAnsi="Arial"/>
          <w:sz w:val="16"/>
          <w:szCs w:val="16"/>
          <w:color w:val="auto"/>
        </w:rPr>
        <w:t>all other important information pertaining to these actions.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duty of loyalty requires an office holder to act in good faith and for the benefit of the Company, and includes a duty to:</w:t>
      </w:r>
    </w:p>
    <w:p>
      <w:pPr>
        <w:spacing w:after="0" w:line="200" w:lineRule="exact"/>
        <w:rPr>
          <w:sz w:val="20"/>
          <w:szCs w:val="20"/>
          <w:color w:val="auto"/>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refrain from any activity that is competitive with the Company;</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refrain from exploiting any business opportunity of the Company to receive a personal gain for himself or herself or others; and</w:t>
      </w:r>
    </w:p>
    <w:p>
      <w:pPr>
        <w:spacing w:after="0" w:line="200" w:lineRule="exact"/>
        <w:rPr>
          <w:rFonts w:ascii="Arial" w:cs="Arial" w:eastAsia="Arial" w:hAnsi="Arial"/>
          <w:sz w:val="16"/>
          <w:szCs w:val="16"/>
          <w:color w:val="A6A6A6"/>
        </w:rPr>
      </w:pPr>
    </w:p>
    <w:p>
      <w:pPr>
        <w:ind w:left="640" w:hanging="284"/>
        <w:spacing w:after="0" w:line="277" w:lineRule="auto"/>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disclose to the Company any information or documents relating to the Company's affairs which the office holder received as a result of his or her position as an office holder.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Disclosure of Personal Interests of an Office Holder</w:t>
      </w:r>
    </w:p>
    <w:p>
      <w:pPr>
        <w:spacing w:after="0" w:line="200" w:lineRule="exact"/>
        <w:rPr>
          <w:sz w:val="20"/>
          <w:szCs w:val="20"/>
          <w:color w:val="auto"/>
        </w:rPr>
      </w:pPr>
    </w:p>
    <w:p>
      <w:pPr>
        <w:ind w:right="40" w:firstLine="357"/>
        <w:spacing w:after="0" w:line="294" w:lineRule="auto"/>
        <w:rPr>
          <w:sz w:val="20"/>
          <w:szCs w:val="20"/>
          <w:color w:val="auto"/>
        </w:rPr>
      </w:pPr>
      <w:r>
        <w:rPr>
          <w:rFonts w:ascii="Arial" w:cs="Arial" w:eastAsia="Arial" w:hAnsi="Arial"/>
          <w:sz w:val="14"/>
          <w:szCs w:val="14"/>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4" w:name="page65"/>
    <w:bookmarkEnd w:id="64"/>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a transaction other than in the ordinary course of business;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a transaction that is not on market terms;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a transaction that may have a material impact on a company's profitability, assets or liabilities.</w:t>
      </w:r>
    </w:p>
    <w:p>
      <w:pPr>
        <w:spacing w:after="0" w:line="200" w:lineRule="exact"/>
        <w:rPr>
          <w:sz w:val="20"/>
          <w:szCs w:val="20"/>
          <w:color w:val="auto"/>
        </w:rPr>
      </w:pPr>
    </w:p>
    <w:p>
      <w:pPr>
        <w:ind w:right="220" w:firstLine="360"/>
        <w:spacing w:after="0" w:line="254" w:lineRule="auto"/>
        <w:rPr>
          <w:sz w:val="20"/>
          <w:szCs w:val="20"/>
          <w:color w:val="auto"/>
        </w:rPr>
      </w:pPr>
      <w:r>
        <w:rPr>
          <w:rFonts w:ascii="Arial" w:cs="Arial" w:eastAsia="Arial" w:hAnsi="Arial"/>
          <w:sz w:val="16"/>
          <w:szCs w:val="16"/>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 as described above under "—NASDAQ Listing Rules and home country practices—Compensation of officers" and "—NASDAQ Listing Rules and home country practices—Shareholder approval."</w:t>
      </w:r>
    </w:p>
    <w:p>
      <w:pPr>
        <w:spacing w:after="0" w:line="172" w:lineRule="exact"/>
        <w:rPr>
          <w:sz w:val="20"/>
          <w:szCs w:val="20"/>
          <w:color w:val="auto"/>
        </w:rPr>
      </w:pPr>
    </w:p>
    <w:p>
      <w:pPr>
        <w:ind w:firstLine="360"/>
        <w:spacing w:after="0" w:line="302" w:lineRule="auto"/>
        <w:rPr>
          <w:sz w:val="20"/>
          <w:szCs w:val="20"/>
          <w:color w:val="auto"/>
        </w:rPr>
      </w:pPr>
      <w:r>
        <w:rPr>
          <w:rFonts w:ascii="Arial" w:cs="Arial" w:eastAsia="Arial" w:hAnsi="Arial"/>
          <w:sz w:val="14"/>
          <w:szCs w:val="14"/>
          <w:color w:val="auto"/>
        </w:rPr>
        <w:t>Generally, a person who has a personal interest in a matter which is considered at a meeting of the board of directors or the audit committee may not be present at such a meeting or vote on that matter unless a majority of the directors or members of the audit committee have a personal interest in the matter, or unless the chairman of the audit committee or board of directors (as applicable) determines that he or she should be present in order to present the transaction that is subject to approval. Generally, if a majority of the members of the audit committee and/or the board of directors has a personal interest in the approval of a transaction, then all directors may participate in discussions of the audit committee and/or the board of directors on such transaction and the voting on approval thereof, but shareholder approval is also required for such transaction.</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Disclosure of Personal Interests of Controlling Shareholders</w:t>
      </w:r>
    </w:p>
    <w:p>
      <w:pPr>
        <w:spacing w:after="0" w:line="200" w:lineRule="exact"/>
        <w:rPr>
          <w:sz w:val="20"/>
          <w:szCs w:val="20"/>
          <w:color w:val="auto"/>
        </w:rPr>
      </w:pPr>
    </w:p>
    <w:p>
      <w:pPr>
        <w:ind w:firstLine="360"/>
        <w:spacing w:after="0" w:line="297" w:lineRule="auto"/>
        <w:rPr>
          <w:sz w:val="20"/>
          <w:szCs w:val="20"/>
          <w:color w:val="auto"/>
        </w:rPr>
      </w:pPr>
      <w:r>
        <w:rPr>
          <w:rFonts w:ascii="Arial" w:cs="Arial" w:eastAsia="Arial" w:hAnsi="Arial"/>
          <w:sz w:val="14"/>
          <w:szCs w:val="14"/>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43" w:lineRule="exact"/>
        <w:rPr>
          <w:sz w:val="20"/>
          <w:szCs w:val="20"/>
          <w:color w:val="auto"/>
        </w:rPr>
      </w:pPr>
    </w:p>
    <w:p>
      <w:pPr>
        <w:ind w:left="640" w:hanging="284"/>
        <w:spacing w:after="0"/>
        <w:tabs>
          <w:tab w:leader="none" w:pos="640" w:val="left"/>
        </w:tabs>
        <w:numPr>
          <w:ilvl w:val="0"/>
          <w:numId w:val="61"/>
        </w:numPr>
        <w:rPr>
          <w:rFonts w:ascii="Arial" w:cs="Arial" w:eastAsia="Arial" w:hAnsi="Arial"/>
          <w:sz w:val="16"/>
          <w:szCs w:val="16"/>
          <w:color w:val="A6A6A6"/>
        </w:rPr>
      </w:pPr>
      <w:r>
        <w:rPr>
          <w:rFonts w:ascii="Arial" w:cs="Arial" w:eastAsia="Arial" w:hAnsi="Arial"/>
          <w:sz w:val="16"/>
          <w:szCs w:val="16"/>
          <w:color w:val="auto"/>
        </w:rPr>
        <w:t>a disinterested majority; or</w:t>
      </w:r>
    </w:p>
    <w:p>
      <w:pPr>
        <w:spacing w:after="0" w:line="200" w:lineRule="exact"/>
        <w:rPr>
          <w:rFonts w:ascii="Arial" w:cs="Arial" w:eastAsia="Arial" w:hAnsi="Arial"/>
          <w:sz w:val="16"/>
          <w:szCs w:val="16"/>
          <w:color w:val="A6A6A6"/>
        </w:rPr>
      </w:pPr>
    </w:p>
    <w:p>
      <w:pPr>
        <w:ind w:left="640" w:hanging="284"/>
        <w:spacing w:after="0" w:line="277" w:lineRule="auto"/>
        <w:tabs>
          <w:tab w:leader="none" w:pos="640" w:val="left"/>
        </w:tabs>
        <w:numPr>
          <w:ilvl w:val="0"/>
          <w:numId w:val="61"/>
        </w:numPr>
        <w:rPr>
          <w:rFonts w:ascii="Arial" w:cs="Arial" w:eastAsia="Arial" w:hAnsi="Arial"/>
          <w:sz w:val="16"/>
          <w:szCs w:val="16"/>
          <w:color w:val="A6A6A6"/>
        </w:rPr>
      </w:pPr>
      <w:r>
        <w:rPr>
          <w:rFonts w:ascii="Arial" w:cs="Arial" w:eastAsia="Arial" w:hAnsi="Arial"/>
          <w:sz w:val="16"/>
          <w:szCs w:val="16"/>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344" w:lineRule="exact"/>
        <w:rPr>
          <w:sz w:val="20"/>
          <w:szCs w:val="20"/>
          <w:color w:val="auto"/>
        </w:rPr>
      </w:pPr>
    </w:p>
    <w:p>
      <w:pPr>
        <w:ind w:right="240" w:firstLine="360"/>
        <w:spacing w:after="0" w:line="277" w:lineRule="auto"/>
        <w:rPr>
          <w:sz w:val="20"/>
          <w:szCs w:val="20"/>
          <w:color w:val="auto"/>
        </w:rPr>
      </w:pPr>
      <w:r>
        <w:rPr>
          <w:rFonts w:ascii="Arial" w:cs="Arial" w:eastAsia="Arial" w:hAnsi="Arial"/>
          <w:sz w:val="16"/>
          <w:szCs w:val="16"/>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52" w:lineRule="exact"/>
        <w:rPr>
          <w:sz w:val="20"/>
          <w:szCs w:val="20"/>
          <w:color w:val="auto"/>
        </w:rPr>
      </w:pPr>
    </w:p>
    <w:p>
      <w:pPr>
        <w:ind w:right="160" w:firstLine="360"/>
        <w:spacing w:after="0" w:line="264" w:lineRule="auto"/>
        <w:rPr>
          <w:sz w:val="20"/>
          <w:szCs w:val="20"/>
          <w:color w:val="auto"/>
        </w:rPr>
      </w:pPr>
      <w:r>
        <w:rPr>
          <w:rFonts w:ascii="Arial" w:cs="Arial" w:eastAsia="Arial" w:hAnsi="Arial"/>
          <w:sz w:val="16"/>
          <w:szCs w:val="16"/>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the shareholders, in that order, as described above under "NASDAQ Listing Rules and home country practices—Compensation of officers".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5" w:name="page66"/>
    <w:bookmarkEnd w:id="65"/>
    <w:p>
      <w:pPr>
        <w:ind w:left="360"/>
        <w:spacing w:after="0"/>
        <w:rPr>
          <w:sz w:val="20"/>
          <w:szCs w:val="20"/>
          <w:color w:val="auto"/>
        </w:rPr>
      </w:pPr>
      <w:r>
        <w:rPr>
          <w:rFonts w:ascii="Arial" w:cs="Arial" w:eastAsia="Arial" w:hAnsi="Arial"/>
          <w:sz w:val="16"/>
          <w:szCs w:val="16"/>
          <w:i w:val="1"/>
          <w:iCs w:val="1"/>
          <w:color w:val="auto"/>
        </w:rPr>
        <w:t>Shareholder Duties</w:t>
      </w:r>
    </w:p>
    <w:p>
      <w:pPr>
        <w:spacing w:after="0" w:line="200"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6"/>
          <w:szCs w:val="16"/>
          <w:color w:val="auto"/>
        </w:rPr>
        <w:t>Pursuant to the Israeli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62" w:lineRule="exact"/>
        <w:rPr>
          <w:sz w:val="20"/>
          <w:szCs w:val="20"/>
          <w:color w:val="auto"/>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an amendment to the Company's articles of association;</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an increase of the Company's authorized share capital;</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 merger;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approval of interested party transactions and acts of office holders that require shareholder approval.</w:t>
      </w:r>
    </w:p>
    <w:p>
      <w:pPr>
        <w:spacing w:after="0" w:line="3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a shareholder also has a general duty to refrain from discriminating against other shareholders.</w:t>
      </w:r>
    </w:p>
    <w:p>
      <w:pPr>
        <w:spacing w:after="0" w:line="200" w:lineRule="exact"/>
        <w:rPr>
          <w:sz w:val="20"/>
          <w:szCs w:val="20"/>
          <w:color w:val="auto"/>
        </w:rPr>
      </w:pPr>
    </w:p>
    <w:p>
      <w:pPr>
        <w:ind w:firstLine="360"/>
        <w:spacing w:after="0" w:line="282" w:lineRule="auto"/>
        <w:rPr>
          <w:sz w:val="20"/>
          <w:szCs w:val="20"/>
          <w:color w:val="auto"/>
        </w:rPr>
      </w:pPr>
      <w:r>
        <w:rPr>
          <w:rFonts w:ascii="Arial" w:cs="Arial" w:eastAsia="Arial" w:hAnsi="Arial"/>
          <w:sz w:val="15"/>
          <w:szCs w:val="15"/>
          <w:color w:val="auto"/>
        </w:rPr>
        <w:t>Certain shareholders have a further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Exculpation, Insurance and Indemnification of Directors and Officers</w:t>
      </w:r>
    </w:p>
    <w:p>
      <w:pPr>
        <w:spacing w:after="0" w:line="204" w:lineRule="exact"/>
        <w:rPr>
          <w:sz w:val="20"/>
          <w:szCs w:val="20"/>
          <w:color w:val="auto"/>
        </w:rPr>
      </w:pPr>
    </w:p>
    <w:p>
      <w:pPr>
        <w:ind w:right="80" w:firstLine="360"/>
        <w:spacing w:after="0" w:line="259" w:lineRule="auto"/>
        <w:rPr>
          <w:sz w:val="20"/>
          <w:szCs w:val="20"/>
          <w:color w:val="auto"/>
        </w:rPr>
      </w:pPr>
      <w:r>
        <w:rPr>
          <w:rFonts w:ascii="Arial" w:cs="Arial" w:eastAsia="Arial" w:hAnsi="Arial"/>
          <w:sz w:val="16"/>
          <w:szCs w:val="16"/>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67" w:lineRule="exact"/>
        <w:rPr>
          <w:sz w:val="20"/>
          <w:szCs w:val="20"/>
          <w:color w:val="auto"/>
        </w:rPr>
      </w:pPr>
    </w:p>
    <w:p>
      <w:pPr>
        <w:ind w:right="80" w:firstLine="360"/>
        <w:spacing w:after="0" w:line="264" w:lineRule="auto"/>
        <w:rPr>
          <w:sz w:val="20"/>
          <w:szCs w:val="20"/>
          <w:color w:val="auto"/>
        </w:rPr>
      </w:pPr>
      <w:r>
        <w:rPr>
          <w:rFonts w:ascii="Arial" w:cs="Arial" w:eastAsia="Arial" w:hAnsi="Arial"/>
          <w:sz w:val="16"/>
          <w:szCs w:val="16"/>
          <w:color w:val="auto"/>
        </w:rPr>
        <w:t>Under the Israeli Companies Law, a company may indemnify, or undertake in advance to indemnify, an office holder for the following liabilities and expenses, imposed on office holder or incurred by office holder due to acts performed by him or her as an office holder, provided its articles of association include a provision authorizing such indemnification:</w:t>
      </w:r>
    </w:p>
    <w:p>
      <w:pPr>
        <w:spacing w:after="0" w:line="162" w:lineRule="exact"/>
        <w:rPr>
          <w:sz w:val="20"/>
          <w:szCs w:val="20"/>
          <w:color w:val="auto"/>
        </w:rPr>
      </w:pPr>
    </w:p>
    <w:p>
      <w:pPr>
        <w:ind w:left="360" w:right="80" w:hanging="4"/>
        <w:spacing w:after="0" w:line="257" w:lineRule="auto"/>
        <w:tabs>
          <w:tab w:leader="none" w:pos="640" w:val="left"/>
        </w:tabs>
        <w:numPr>
          <w:ilvl w:val="0"/>
          <w:numId w:val="63"/>
        </w:numPr>
        <w:rPr>
          <w:rFonts w:ascii="Arial" w:cs="Arial" w:eastAsia="Arial" w:hAnsi="Arial"/>
          <w:sz w:val="16"/>
          <w:szCs w:val="16"/>
          <w:color w:val="A6A6A6"/>
        </w:rPr>
      </w:pPr>
      <w:r>
        <w:rPr>
          <w:rFonts w:ascii="Arial" w:cs="Arial" w:eastAsia="Arial" w:hAnsi="Arial"/>
          <w:sz w:val="16"/>
          <w:szCs w:val="16"/>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68" w:lineRule="exact"/>
        <w:rPr>
          <w:rFonts w:ascii="Arial" w:cs="Arial" w:eastAsia="Arial" w:hAnsi="Arial"/>
          <w:sz w:val="16"/>
          <w:szCs w:val="16"/>
          <w:color w:val="A6A6A6"/>
        </w:rPr>
      </w:pPr>
    </w:p>
    <w:p>
      <w:pPr>
        <w:ind w:left="360" w:right="120" w:hanging="4"/>
        <w:spacing w:after="0" w:line="308" w:lineRule="auto"/>
        <w:tabs>
          <w:tab w:leader="none" w:pos="640" w:val="left"/>
        </w:tabs>
        <w:numPr>
          <w:ilvl w:val="0"/>
          <w:numId w:val="63"/>
        </w:numPr>
        <w:rPr>
          <w:rFonts w:ascii="Arial" w:cs="Arial" w:eastAsia="Arial" w:hAnsi="Arial"/>
          <w:sz w:val="14"/>
          <w:szCs w:val="14"/>
          <w:color w:val="A6A6A6"/>
        </w:rPr>
      </w:pPr>
      <w:r>
        <w:rPr>
          <w:rFonts w:ascii="Arial" w:cs="Arial" w:eastAsia="Arial" w:hAnsi="Arial"/>
          <w:sz w:val="14"/>
          <w:szCs w:val="14"/>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34" w:lineRule="exact"/>
        <w:rPr>
          <w:rFonts w:ascii="Arial" w:cs="Arial" w:eastAsia="Arial" w:hAnsi="Arial"/>
          <w:sz w:val="14"/>
          <w:szCs w:val="14"/>
          <w:color w:val="A6A6A6"/>
        </w:rPr>
      </w:pPr>
    </w:p>
    <w:p>
      <w:pPr>
        <w:ind w:left="360" w:right="80" w:hanging="4"/>
        <w:spacing w:after="0" w:line="264" w:lineRule="auto"/>
        <w:tabs>
          <w:tab w:leader="none" w:pos="640" w:val="left"/>
        </w:tabs>
        <w:numPr>
          <w:ilvl w:val="0"/>
          <w:numId w:val="63"/>
        </w:numPr>
        <w:rPr>
          <w:rFonts w:ascii="Arial" w:cs="Arial" w:eastAsia="Arial" w:hAnsi="Arial"/>
          <w:sz w:val="16"/>
          <w:szCs w:val="16"/>
          <w:color w:val="A6A6A6"/>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6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52" w:lineRule="exact"/>
        <w:rPr>
          <w:sz w:val="20"/>
          <w:szCs w:val="20"/>
          <w:color w:val="auto"/>
        </w:rPr>
      </w:pPr>
    </w:p>
    <w:p>
      <w:pPr>
        <w:ind w:left="360" w:right="80" w:hanging="4"/>
        <w:spacing w:after="0" w:line="277" w:lineRule="auto"/>
        <w:tabs>
          <w:tab w:leader="none" w:pos="640" w:val="left"/>
        </w:tabs>
        <w:numPr>
          <w:ilvl w:val="0"/>
          <w:numId w:val="64"/>
        </w:numPr>
        <w:rPr>
          <w:rFonts w:ascii="Arial" w:cs="Arial" w:eastAsia="Arial" w:hAnsi="Arial"/>
          <w:sz w:val="16"/>
          <w:szCs w:val="16"/>
          <w:color w:val="A6A6A6"/>
        </w:rPr>
      </w:pPr>
      <w:r>
        <w:rPr>
          <w:rFonts w:ascii="Arial" w:cs="Arial" w:eastAsia="Arial" w:hAnsi="Arial"/>
          <w:sz w:val="16"/>
          <w:szCs w:val="16"/>
          <w:color w:val="auto"/>
        </w:rPr>
        <w:t>a breach of the duty of loyalty to the Company, provided that the office holder acted in good faith and had a reasonable basis to believe that the act would not harm the Company;</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66" w:name="page67"/>
    <w:bookmarkEnd w:id="66"/>
    <w:p>
      <w:pPr>
        <w:ind w:left="640" w:hanging="284"/>
        <w:spacing w:after="0"/>
        <w:tabs>
          <w:tab w:leader="none" w:pos="640" w:val="left"/>
        </w:tabs>
        <w:numPr>
          <w:ilvl w:val="0"/>
          <w:numId w:val="65"/>
        </w:numPr>
        <w:rPr>
          <w:rFonts w:ascii="Arial" w:cs="Arial" w:eastAsia="Arial" w:hAnsi="Arial"/>
          <w:sz w:val="16"/>
          <w:szCs w:val="16"/>
          <w:color w:val="A6A6A6"/>
        </w:rPr>
      </w:pPr>
      <w:r>
        <w:rPr>
          <w:rFonts w:ascii="Arial" w:cs="Arial" w:eastAsia="Arial" w:hAnsi="Arial"/>
          <w:sz w:val="16"/>
          <w:szCs w:val="16"/>
          <w:color w:val="auto"/>
        </w:rPr>
        <w:t>a breach of duty of care to the Company or to a third party;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5"/>
        </w:numPr>
        <w:rPr>
          <w:rFonts w:ascii="Arial" w:cs="Arial" w:eastAsia="Arial" w:hAnsi="Arial"/>
          <w:sz w:val="16"/>
          <w:szCs w:val="16"/>
          <w:color w:val="A6A6A6"/>
        </w:rPr>
      </w:pPr>
      <w:r>
        <w:rPr>
          <w:rFonts w:ascii="Arial" w:cs="Arial" w:eastAsia="Arial" w:hAnsi="Arial"/>
          <w:sz w:val="16"/>
          <w:szCs w:val="16"/>
          <w:color w:val="auto"/>
        </w:rPr>
        <w:t>a financial liability imposed on the office holder in favor of a third party.</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Nevertheless, under the Israeli Companies Law, a company may not indemnify, exculpate or insure an office holder against any of the following:</w:t>
      </w:r>
    </w:p>
    <w:p>
      <w:pPr>
        <w:spacing w:after="0" w:line="200" w:lineRule="exact"/>
        <w:rPr>
          <w:sz w:val="20"/>
          <w:szCs w:val="20"/>
          <w:color w:val="auto"/>
        </w:rPr>
      </w:pPr>
    </w:p>
    <w:p>
      <w:pPr>
        <w:ind w:left="360" w:right="20" w:hanging="4"/>
        <w:spacing w:after="0" w:line="277" w:lineRule="auto"/>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an act or omission committed with intent to derive unlawful personal benefit;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fine, monetary sanction, penalty or forfeit levied against the office holder.</w:t>
      </w:r>
    </w:p>
    <w:p>
      <w:pPr>
        <w:spacing w:after="0" w:line="200" w:lineRule="exact"/>
        <w:rPr>
          <w:sz w:val="20"/>
          <w:szCs w:val="20"/>
          <w:color w:val="auto"/>
        </w:rPr>
      </w:pPr>
    </w:p>
    <w:p>
      <w:pPr>
        <w:ind w:right="60" w:firstLine="360"/>
        <w:spacing w:after="0" w:line="312" w:lineRule="auto"/>
        <w:rPr>
          <w:sz w:val="20"/>
          <w:szCs w:val="20"/>
          <w:color w:val="auto"/>
        </w:rPr>
      </w:pPr>
      <w:r>
        <w:rPr>
          <w:rFonts w:ascii="Arial" w:cs="Arial" w:eastAsia="Arial" w:hAnsi="Arial"/>
          <w:sz w:val="15"/>
          <w:szCs w:val="15"/>
          <w:color w:val="auto"/>
        </w:rPr>
        <w:t>Under the Israeli Companies Law, exculpation, indemnification and insurance of office holders require the approval of the compensation committee, board of directors and, in certain circumstances, the shareholders, as described above under "—NASDAQ Listing Rules and home country practices—Compensation of officers."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amended and restated articles of association permit us to exculpate, indemnify and insure our office holders to the fullest extent permitted by the Israeli Companies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Law.</w:t>
      </w:r>
    </w:p>
    <w:p>
      <w:pPr>
        <w:spacing w:after="0" w:line="188" w:lineRule="exact"/>
        <w:rPr>
          <w:sz w:val="20"/>
          <w:szCs w:val="20"/>
          <w:color w:val="auto"/>
        </w:rPr>
      </w:pPr>
    </w:p>
    <w:p>
      <w:pPr>
        <w:ind w:right="160" w:firstLine="360"/>
        <w:spacing w:after="0" w:line="319" w:lineRule="auto"/>
        <w:rPr>
          <w:sz w:val="20"/>
          <w:szCs w:val="20"/>
          <w:color w:val="auto"/>
        </w:rPr>
      </w:pPr>
      <w:r>
        <w:rPr>
          <w:rFonts w:ascii="Arial" w:cs="Arial" w:eastAsia="Arial" w:hAnsi="Arial"/>
          <w:sz w:val="14"/>
          <w:szCs w:val="14"/>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204" w:lineRule="exact"/>
        <w:rPr>
          <w:sz w:val="20"/>
          <w:szCs w:val="20"/>
          <w:color w:val="auto"/>
        </w:rPr>
      </w:pPr>
    </w:p>
    <w:p>
      <w:pPr>
        <w:ind w:firstLine="360"/>
        <w:spacing w:after="0" w:line="273" w:lineRule="auto"/>
        <w:rPr>
          <w:sz w:val="20"/>
          <w:szCs w:val="20"/>
          <w:color w:val="auto"/>
        </w:rPr>
      </w:pPr>
      <w:r>
        <w:rPr>
          <w:rFonts w:ascii="Arial" w:cs="Arial" w:eastAsia="Arial" w:hAnsi="Arial"/>
          <w:sz w:val="15"/>
          <w:szCs w:val="15"/>
          <w:color w:val="auto"/>
        </w:rPr>
        <w:t>We have adopted, effective upon the consummation of this offering,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www.alcobra-pharma.com.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such Form 20-F, we will disclose such waiver or amendment on our website in accordance with the requirements of Instruction 4 to such Item 16B.</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Executive Officers and Directors</w:t>
      </w:r>
    </w:p>
    <w:p>
      <w:pPr>
        <w:spacing w:after="0" w:line="204"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The aggregate compensation, including share-based compensation, paid by us to our directors and executive officers with respect to the year ended December 31, 2012 was approximately $500,000. This amount includes approximately $50,000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our industry.</w:t>
      </w:r>
    </w:p>
    <w:p>
      <w:pPr>
        <w:spacing w:after="0" w:line="16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6"/>
          <w:szCs w:val="16"/>
          <w:color w:val="auto"/>
        </w:rPr>
        <w:t>As of December 31, 2012, options to purchase 430,013 ordinary shares issued to our chief executive officer, Dr. Yaron Daniely, were outstanding under our 2010 Incentive Option Plan. 340,460 options were granted November 15, 2010. Of such outstanding options which were granted on November 15, 2010, options to purchase 157,756 ordinary shares were vested as of December 31, 2012, with an exercise price of $0.328 per share. The expiration date of all of these options is November 15, 2020. 89,553 additional options shall vest upon closing of this offering.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7" w:name="page68"/>
    <w:bookmarkEnd w:id="67"/>
    <w:p>
      <w:pPr>
        <w:ind w:left="364"/>
        <w:spacing w:after="0"/>
        <w:rPr>
          <w:sz w:val="20"/>
          <w:szCs w:val="20"/>
          <w:color w:val="auto"/>
        </w:rPr>
      </w:pPr>
      <w:r>
        <w:rPr>
          <w:rFonts w:ascii="Arial" w:cs="Arial" w:eastAsia="Arial" w:hAnsi="Arial"/>
          <w:sz w:val="16"/>
          <w:szCs w:val="16"/>
          <w:color w:val="auto"/>
        </w:rPr>
        <w:t>We do not have written agreements with any director providing for benefits upon the termination of his employment with our company.</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Employment Agreements with Executive Officers; Consulting and Directorship Services Provided by Directors</w:t>
      </w:r>
    </w:p>
    <w:p>
      <w:pPr>
        <w:spacing w:after="0" w:line="204" w:lineRule="exact"/>
        <w:rPr>
          <w:sz w:val="20"/>
          <w:szCs w:val="20"/>
          <w:color w:val="auto"/>
        </w:rPr>
      </w:pPr>
    </w:p>
    <w:p>
      <w:pPr>
        <w:ind w:left="4" w:firstLine="360"/>
        <w:spacing w:after="0" w:line="278" w:lineRule="auto"/>
        <w:rPr>
          <w:sz w:val="20"/>
          <w:szCs w:val="20"/>
          <w:color w:val="auto"/>
        </w:rPr>
      </w:pPr>
      <w:r>
        <w:rPr>
          <w:rFonts w:ascii="Arial" w:cs="Arial" w:eastAsia="Arial" w:hAnsi="Arial"/>
          <w:sz w:val="15"/>
          <w:szCs w:val="15"/>
          <w:color w:val="auto"/>
        </w:rPr>
        <w:t>We have entered into a written employment agreement with our chief executive officer. This agreement contains provisions standard for a company in our industry regarding non-competition, confidentiality of information and assignment of inventions. Under current applicable employment laws, we may not be able to enforce covenants not to compete and therefore may be unable to prevent our competitors from benefiting from the expertise of some of our former employees. Please see "Risk factors—Risks Relating to Our Business and Industry.” for a further description of the enforceability of non-competition clauses. See "Certain Relationships and Related Party Transactions—Agreements and Arrangements with, and Compensation of, Directors and Executive Officers" for additional information.</w:t>
      </w:r>
    </w:p>
    <w:p>
      <w:pPr>
        <w:spacing w:after="0" w:line="154" w:lineRule="exact"/>
        <w:rPr>
          <w:sz w:val="20"/>
          <w:szCs w:val="20"/>
          <w:color w:val="auto"/>
        </w:rPr>
      </w:pPr>
    </w:p>
    <w:p>
      <w:pPr>
        <w:ind w:left="4" w:right="40" w:firstLine="360"/>
        <w:spacing w:after="0" w:line="264" w:lineRule="auto"/>
        <w:rPr>
          <w:sz w:val="20"/>
          <w:szCs w:val="20"/>
          <w:color w:val="auto"/>
        </w:rPr>
      </w:pPr>
      <w:r>
        <w:rPr>
          <w:rFonts w:ascii="Arial" w:cs="Arial" w:eastAsia="Arial" w:hAnsi="Arial"/>
          <w:sz w:val="16"/>
          <w:szCs w:val="16"/>
          <w:color w:val="auto"/>
        </w:rPr>
        <w:t>We receive consulting and directorship services from certain of our directors. The amounts payable pursuant to these arrangements have been approved by our Board of Directors and shareholders. See "Certain relationships and related party transactions—Agreements and arrangements with, and compensation of, directors and executive officers" for additional information.</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2010 Incentive Option Plan</w:t>
      </w:r>
    </w:p>
    <w:p>
      <w:pPr>
        <w:spacing w:after="0" w:line="204" w:lineRule="exact"/>
        <w:rPr>
          <w:sz w:val="20"/>
          <w:szCs w:val="20"/>
          <w:color w:val="auto"/>
        </w:rPr>
      </w:pPr>
    </w:p>
    <w:p>
      <w:pPr>
        <w:jc w:val="both"/>
        <w:ind w:left="4" w:right="100" w:firstLine="360"/>
        <w:spacing w:after="0" w:line="264" w:lineRule="auto"/>
        <w:rPr>
          <w:sz w:val="20"/>
          <w:szCs w:val="20"/>
          <w:color w:val="auto"/>
        </w:rPr>
      </w:pPr>
      <w:r>
        <w:rPr>
          <w:rFonts w:ascii="Arial" w:cs="Arial" w:eastAsia="Arial" w:hAnsi="Arial"/>
          <w:sz w:val="16"/>
          <w:szCs w:val="16"/>
          <w:color w:val="auto"/>
        </w:rPr>
        <w:t>We maintain one equity incentive plan—our 2010 Incentive Option Plan, or our 2010 Plan. As of April 1, 2013, a total of 771,453 shares were reserved for issuance under our 2010 Plan, of which options to purchase 764,444 ordinary shares were issued and outstanding thereunder. Of such outstanding options, options to purchase 396,022 ordinary shares were vested as of April 1, 2013, with a weighted average exercise price of $0.26 per share.</w:t>
      </w:r>
    </w:p>
    <w:p>
      <w:pPr>
        <w:spacing w:after="0" w:line="162" w:lineRule="exact"/>
        <w:rPr>
          <w:sz w:val="20"/>
          <w:szCs w:val="20"/>
          <w:color w:val="auto"/>
        </w:rPr>
      </w:pPr>
    </w:p>
    <w:p>
      <w:pPr>
        <w:ind w:left="4" w:right="740" w:firstLine="360"/>
        <w:spacing w:after="0" w:line="277" w:lineRule="auto"/>
        <w:rPr>
          <w:sz w:val="20"/>
          <w:szCs w:val="20"/>
          <w:color w:val="auto"/>
        </w:rPr>
      </w:pPr>
      <w:r>
        <w:rPr>
          <w:rFonts w:ascii="Arial" w:cs="Arial" w:eastAsia="Arial" w:hAnsi="Arial"/>
          <w:sz w:val="16"/>
          <w:szCs w:val="16"/>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52" w:lineRule="exact"/>
        <w:rPr>
          <w:sz w:val="20"/>
          <w:szCs w:val="20"/>
          <w:color w:val="auto"/>
        </w:rPr>
      </w:pPr>
    </w:p>
    <w:p>
      <w:pPr>
        <w:ind w:left="4" w:right="40" w:firstLine="360"/>
        <w:spacing w:after="0" w:line="277" w:lineRule="auto"/>
        <w:rPr>
          <w:sz w:val="20"/>
          <w:szCs w:val="20"/>
          <w:color w:val="auto"/>
        </w:rPr>
      </w:pPr>
      <w:r>
        <w:rPr>
          <w:rFonts w:ascii="Arial" w:cs="Arial" w:eastAsia="Arial" w:hAnsi="Arial"/>
          <w:sz w:val="16"/>
          <w:szCs w:val="16"/>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52" w:lineRule="exact"/>
        <w:rPr>
          <w:sz w:val="20"/>
          <w:szCs w:val="20"/>
          <w:color w:val="auto"/>
        </w:rPr>
      </w:pPr>
    </w:p>
    <w:p>
      <w:pPr>
        <w:ind w:left="364"/>
        <w:spacing w:after="0"/>
        <w:rPr>
          <w:sz w:val="20"/>
          <w:szCs w:val="20"/>
          <w:color w:val="auto"/>
        </w:rPr>
      </w:pPr>
      <w:r>
        <w:rPr>
          <w:rFonts w:ascii="Arial" w:cs="Arial" w:eastAsia="Arial" w:hAnsi="Arial"/>
          <w:sz w:val="16"/>
          <w:szCs w:val="16"/>
          <w:color w:val="auto"/>
        </w:rPr>
        <w:t>Options granted under the 2010 Plan to Israeli employees have been granted under the capital gains track of Section 102 of the Ordinance.</w:t>
      </w:r>
    </w:p>
    <w:p>
      <w:pPr>
        <w:spacing w:after="0" w:line="200" w:lineRule="exact"/>
        <w:rPr>
          <w:sz w:val="20"/>
          <w:szCs w:val="20"/>
          <w:color w:val="auto"/>
        </w:rPr>
      </w:pPr>
    </w:p>
    <w:p>
      <w:pPr>
        <w:ind w:left="4" w:right="100" w:firstLine="360"/>
        <w:spacing w:after="0" w:line="291" w:lineRule="auto"/>
        <w:rPr>
          <w:sz w:val="20"/>
          <w:szCs w:val="20"/>
          <w:color w:val="auto"/>
        </w:rPr>
      </w:pPr>
      <w:r>
        <w:rPr>
          <w:rFonts w:ascii="Arial" w:cs="Arial" w:eastAsia="Arial" w:hAnsi="Arial"/>
          <w:sz w:val="14"/>
          <w:szCs w:val="14"/>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w:t>
      </w:r>
    </w:p>
    <w:p>
      <w:pPr>
        <w:ind w:left="4" w:hanging="4"/>
        <w:spacing w:after="0" w:line="274" w:lineRule="auto"/>
        <w:tabs>
          <w:tab w:leader="none" w:pos="231" w:val="left"/>
        </w:tabs>
        <w:numPr>
          <w:ilvl w:val="0"/>
          <w:numId w:val="67"/>
        </w:numPr>
        <w:rPr>
          <w:rFonts w:ascii="Arial" w:cs="Arial" w:eastAsia="Arial" w:hAnsi="Arial"/>
          <w:sz w:val="15"/>
          <w:szCs w:val="15"/>
          <w:color w:val="auto"/>
        </w:rPr>
      </w:pPr>
      <w:r>
        <w:rPr>
          <w:rFonts w:ascii="Arial" w:cs="Arial" w:eastAsia="Arial" w:hAnsi="Arial"/>
          <w:sz w:val="15"/>
          <w:szCs w:val="15"/>
          <w:color w:val="auto"/>
        </w:rPr>
        <w:t>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56" w:lineRule="exact"/>
        <w:rPr>
          <w:sz w:val="20"/>
          <w:szCs w:val="20"/>
          <w:color w:val="auto"/>
        </w:rPr>
      </w:pPr>
    </w:p>
    <w:p>
      <w:pPr>
        <w:ind w:left="4" w:right="80" w:firstLine="360"/>
        <w:spacing w:after="0" w:line="276" w:lineRule="auto"/>
        <w:rPr>
          <w:sz w:val="20"/>
          <w:szCs w:val="20"/>
          <w:color w:val="auto"/>
        </w:rPr>
      </w:pPr>
      <w:r>
        <w:rPr>
          <w:rFonts w:ascii="Arial" w:cs="Arial" w:eastAsia="Arial" w:hAnsi="Arial"/>
          <w:sz w:val="15"/>
          <w:szCs w:val="15"/>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55" w:lineRule="exact"/>
        <w:rPr>
          <w:sz w:val="20"/>
          <w:szCs w:val="20"/>
          <w:color w:val="auto"/>
        </w:rPr>
      </w:pPr>
    </w:p>
    <w:p>
      <w:pPr>
        <w:ind w:left="4" w:right="80" w:firstLine="360"/>
        <w:spacing w:after="0" w:line="257" w:lineRule="auto"/>
        <w:rPr>
          <w:sz w:val="20"/>
          <w:szCs w:val="20"/>
          <w:color w:val="auto"/>
        </w:rPr>
      </w:pPr>
      <w:r>
        <w:rPr>
          <w:rFonts w:ascii="Arial" w:cs="Arial" w:eastAsia="Arial" w:hAnsi="Arial"/>
          <w:sz w:val="16"/>
          <w:szCs w:val="16"/>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7 days, following which all outstanding options shall terminate.</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C</w:t>
      </w:r>
      <w:r>
        <w:rPr>
          <w:rFonts w:ascii="Arial" w:cs="Arial" w:eastAsia="Arial" w:hAnsi="Arial"/>
          <w:sz w:val="16"/>
          <w:szCs w:val="16"/>
          <w:b w:val="1"/>
          <w:bCs w:val="1"/>
          <w:color w:val="auto"/>
        </w:rPr>
        <w:t>ertain relationships and related party transactions</w:t>
      </w:r>
    </w:p>
    <w:p>
      <w:pPr>
        <w:spacing w:after="0" w:line="204" w:lineRule="exact"/>
        <w:rPr>
          <w:sz w:val="20"/>
          <w:szCs w:val="20"/>
          <w:color w:val="auto"/>
        </w:rPr>
      </w:pPr>
    </w:p>
    <w:p>
      <w:pPr>
        <w:ind w:right="500" w:firstLine="360"/>
        <w:spacing w:after="0" w:line="277" w:lineRule="auto"/>
        <w:rPr>
          <w:sz w:val="20"/>
          <w:szCs w:val="20"/>
          <w:color w:val="auto"/>
        </w:rPr>
      </w:pPr>
      <w:r>
        <w:rPr>
          <w:rFonts w:ascii="Arial" w:cs="Arial" w:eastAsia="Arial" w:hAnsi="Arial"/>
          <w:sz w:val="16"/>
          <w:szCs w:val="16"/>
          <w:color w:val="auto"/>
        </w:rPr>
        <w:t>The following is a description of the material terms of those transactions with related parties to which we, or our subsidiaries, are party and which we are required to disclose pursuant to the disclosure rules of the SEC.</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and Compensation of, Directors and Executive Officers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Employment Agreement with Dr. Yaron Daniely</w:t>
      </w:r>
    </w:p>
    <w:p>
      <w:pPr>
        <w:spacing w:after="0" w:line="200" w:lineRule="exact"/>
        <w:rPr>
          <w:sz w:val="20"/>
          <w:szCs w:val="20"/>
          <w:color w:val="auto"/>
        </w:rPr>
      </w:pPr>
    </w:p>
    <w:p>
      <w:pPr>
        <w:ind w:firstLine="360"/>
        <w:spacing w:after="0" w:line="293" w:lineRule="auto"/>
        <w:rPr>
          <w:sz w:val="20"/>
          <w:szCs w:val="20"/>
          <w:color w:val="auto"/>
        </w:rPr>
      </w:pPr>
      <w:r>
        <w:rPr>
          <w:rFonts w:ascii="Arial" w:cs="Arial" w:eastAsia="Arial" w:hAnsi="Arial"/>
          <w:sz w:val="14"/>
          <w:szCs w:val="14"/>
          <w:color w:val="auto"/>
        </w:rPr>
        <w:t>We entered into an employment agreement, dated March 4, 2010, with our Chief Executive Officer, Dr. Yaron Daniely. This employment agreement was amended several times, with the latest amendment approved by our shareholders on January 2, 2013. Under the terms of his amended employment agreement, upon conclusion of this offering, Dr. Daniely will be entitled to a gross monthly salary of $15,000. In addition, Dr. Daniely will be eligible to receive (i) a special bonus of $100,000 upon successful completion of Phase III Clinical Studies, (ii) a special bonus of $75,000 upon the successful completion of this offering and (iii) an annual bonus in an amount of two to six monthly salaries, to be determined based on the achievement of certain milestones set by our board of directors.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granted Dr. Daniely an aggregate of 430,013 options to purchase our ordinary shares, of which 157,756 have vested as of December 31, 2012.</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Consulting Agreement with Dr. Dalia Megiddo</w:t>
      </w:r>
    </w:p>
    <w:p>
      <w:pPr>
        <w:spacing w:after="0" w:line="20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Dr. Dalia Megiddo has provided our company with consulting services related to pre-clinical, clinical, regulatory and intellectual property issues pursuant to an agreement, effective May 1, 2011 and terminable by either party upon 30 days’ prior written notice, approved by our board of directors and shareholders. The monthly amount payable to Dr. Megiddo under this arrangement is $2,500.</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March 2013, the Company increased the monthly fee to be payable to Dr. Megiddo to $5,000, subject to and effective upon closing of this offering.</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Services Agreement with Udi Gilboa</w:t>
      </w:r>
    </w:p>
    <w:p>
      <w:pPr>
        <w:spacing w:after="0" w:line="200" w:lineRule="exact"/>
        <w:rPr>
          <w:sz w:val="20"/>
          <w:szCs w:val="20"/>
          <w:color w:val="auto"/>
        </w:rPr>
      </w:pPr>
    </w:p>
    <w:p>
      <w:pPr>
        <w:ind w:firstLine="360"/>
        <w:spacing w:after="0" w:line="302" w:lineRule="auto"/>
        <w:rPr>
          <w:sz w:val="20"/>
          <w:szCs w:val="20"/>
          <w:color w:val="auto"/>
        </w:rPr>
      </w:pPr>
      <w:r>
        <w:rPr>
          <w:rFonts w:ascii="Arial" w:cs="Arial" w:eastAsia="Arial" w:hAnsi="Arial"/>
          <w:sz w:val="14"/>
          <w:szCs w:val="14"/>
          <w:color w:val="auto"/>
        </w:rPr>
        <w:t>Udi Gilboa, our chief financial officer, has provided us with part time chief financial officer and chief operating officer services pursuant to a services agreement that became effective on March 1, 2008. In March of 2013, the Company agreed to increase the amount payable to Mr. Gilboa under the services agreement from $7,000 to $12,000 per month, and to extend the notice required prior to his termination without cause from 60 days to 90 days, in each case subject to and effective upon the consummation of this offering. In addition, in June 2010, we entered into an agreement with Top-Notch Consulting 2009 Ltd., which is wholly owned by Mr. Gilboa. Under this agreement, Top-Notch provides the Company with office space and services for a monthly fee of approximately $4,000 since June 1, 2010. Either party may terminate the agreement on 30 days’ notice.</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Services of Aharon Schwartz as Director and Chairman of Our Board of Directors</w:t>
      </w:r>
    </w:p>
    <w:p>
      <w:pPr>
        <w:spacing w:after="0" w:line="200" w:lineRule="exact"/>
        <w:rPr>
          <w:sz w:val="20"/>
          <w:szCs w:val="20"/>
          <w:color w:val="auto"/>
        </w:rPr>
      </w:pPr>
    </w:p>
    <w:p>
      <w:pPr>
        <w:ind w:firstLine="360"/>
        <w:spacing w:after="0" w:line="319" w:lineRule="auto"/>
        <w:rPr>
          <w:sz w:val="20"/>
          <w:szCs w:val="20"/>
          <w:color w:val="auto"/>
        </w:rPr>
      </w:pPr>
      <w:r>
        <w:rPr>
          <w:rFonts w:ascii="Arial" w:cs="Arial" w:eastAsia="Arial" w:hAnsi="Arial"/>
          <w:sz w:val="14"/>
          <w:szCs w:val="14"/>
          <w:color w:val="auto"/>
        </w:rPr>
        <w:t>Dr. Aharon Schwartz has served as a director and Chairman of the Board of Directors of our company since January 2, 2013. In connection with such services, Dr. Schwartz receives a monthly amount of $3,333. In addition, we granted Dr. Schwartz 111,941 options to purchase ordinary shares under our 2010 Incentive Option Plan. Of such options, 89,553 shall vest according to our 2010 Incentive Option Plan, and the remaining 22,388 will vest upon initiation of Phase III Clinical Studies in the United States.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0" w:right="259" w:bottom="1440" w:gutter="0" w:footer="0" w:header="0"/>
        </w:sectPr>
      </w:pPr>
    </w:p>
    <w:bookmarkStart w:id="69" w:name="page70"/>
    <w:bookmarkEnd w:id="69"/>
    <w:p>
      <w:pPr>
        <w:ind w:left="360"/>
        <w:spacing w:after="0"/>
        <w:rPr>
          <w:sz w:val="20"/>
          <w:szCs w:val="20"/>
          <w:color w:val="auto"/>
        </w:rPr>
      </w:pPr>
      <w:r>
        <w:rPr>
          <w:rFonts w:ascii="Arial" w:cs="Arial" w:eastAsia="Arial" w:hAnsi="Arial"/>
          <w:sz w:val="16"/>
          <w:szCs w:val="16"/>
          <w:b w:val="1"/>
          <w:bCs w:val="1"/>
          <w:i w:val="1"/>
          <w:iCs w:val="1"/>
          <w:color w:val="auto"/>
        </w:rPr>
        <w:t>Indemnification Agreements</w:t>
      </w:r>
    </w:p>
    <w:p>
      <w:pPr>
        <w:spacing w:after="0" w:line="200" w:lineRule="exact"/>
        <w:rPr>
          <w:sz w:val="20"/>
          <w:szCs w:val="20"/>
          <w:color w:val="auto"/>
        </w:rPr>
      </w:pPr>
    </w:p>
    <w:p>
      <w:pPr>
        <w:ind w:firstLine="433"/>
        <w:spacing w:after="0" w:line="257" w:lineRule="auto"/>
        <w:rPr>
          <w:sz w:val="20"/>
          <w:szCs w:val="20"/>
          <w:color w:val="auto"/>
        </w:rPr>
      </w:pPr>
      <w:r>
        <w:rPr>
          <w:rFonts w:ascii="Arial" w:cs="Arial" w:eastAsia="Arial" w:hAnsi="Arial"/>
          <w:sz w:val="16"/>
          <w:szCs w:val="16"/>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including with respect to liabilities resulting from this offering to the extent that these liabilities are not covered by insurance. We have also obtained Directors &amp; Officers insurance for each of our officers and directors. For further information, see "Management—Exculpation, insurance and indemnification of directors and officers."</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40"/>
          </w:cols>
          <w:pgMar w:left="240" w:top="824" w:right="319" w:bottom="144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b w:val="1"/>
          <w:bCs w:val="1"/>
          <w:color w:val="auto"/>
        </w:rPr>
        <w:t>PRINCIPAL SHAREHOLDERS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information regarding beneficial ownership of our ordinary shares as of April 1, 2013 by:</w:t>
      </w:r>
    </w:p>
    <w:p>
      <w:pPr>
        <w:spacing w:after="0" w:line="200" w:lineRule="exact"/>
        <w:rPr>
          <w:sz w:val="20"/>
          <w:szCs w:val="20"/>
          <w:color w:val="auto"/>
        </w:rPr>
      </w:pPr>
    </w:p>
    <w:p>
      <w:pPr>
        <w:ind w:left="1020" w:hanging="519"/>
        <w:spacing w:after="0"/>
        <w:tabs>
          <w:tab w:leader="none" w:pos="1020" w:val="left"/>
        </w:tabs>
        <w:numPr>
          <w:ilvl w:val="0"/>
          <w:numId w:val="68"/>
        </w:numPr>
        <w:rPr>
          <w:rFonts w:ascii="Arial" w:cs="Arial" w:eastAsia="Arial" w:hAnsi="Arial"/>
          <w:sz w:val="16"/>
          <w:szCs w:val="16"/>
          <w:color w:val="A6A6A6"/>
        </w:rPr>
      </w:pPr>
      <w:r>
        <w:rPr>
          <w:rFonts w:ascii="Arial" w:cs="Arial" w:eastAsia="Arial" w:hAnsi="Arial"/>
          <w:sz w:val="16"/>
          <w:szCs w:val="16"/>
          <w:color w:val="auto"/>
        </w:rPr>
        <w:t>each person, or group of affiliated persons, known to us to be the beneficial owner of more than 5% of our outstanding ordinary shares;</w:t>
      </w:r>
    </w:p>
    <w:p>
      <w:pPr>
        <w:spacing w:after="0" w:line="200" w:lineRule="exact"/>
        <w:rPr>
          <w:rFonts w:ascii="Arial" w:cs="Arial" w:eastAsia="Arial" w:hAnsi="Arial"/>
          <w:sz w:val="16"/>
          <w:szCs w:val="16"/>
          <w:color w:val="A6A6A6"/>
        </w:rPr>
      </w:pPr>
    </w:p>
    <w:p>
      <w:pPr>
        <w:ind w:left="1020" w:hanging="519"/>
        <w:spacing w:after="0"/>
        <w:tabs>
          <w:tab w:leader="none" w:pos="1020" w:val="left"/>
        </w:tabs>
        <w:numPr>
          <w:ilvl w:val="0"/>
          <w:numId w:val="68"/>
        </w:numPr>
        <w:rPr>
          <w:rFonts w:ascii="Arial" w:cs="Arial" w:eastAsia="Arial" w:hAnsi="Arial"/>
          <w:sz w:val="16"/>
          <w:szCs w:val="16"/>
          <w:color w:val="A6A6A6"/>
        </w:rPr>
      </w:pPr>
      <w:r>
        <w:rPr>
          <w:rFonts w:ascii="Arial" w:cs="Arial" w:eastAsia="Arial" w:hAnsi="Arial"/>
          <w:sz w:val="16"/>
          <w:szCs w:val="16"/>
          <w:color w:val="auto"/>
        </w:rPr>
        <w:t>each of our directors and executive officers; and</w:t>
      </w:r>
    </w:p>
    <w:p>
      <w:pPr>
        <w:spacing w:after="0" w:line="200" w:lineRule="exact"/>
        <w:rPr>
          <w:rFonts w:ascii="Arial" w:cs="Arial" w:eastAsia="Arial" w:hAnsi="Arial"/>
          <w:sz w:val="16"/>
          <w:szCs w:val="16"/>
          <w:color w:val="A6A6A6"/>
        </w:rPr>
      </w:pPr>
    </w:p>
    <w:p>
      <w:pPr>
        <w:ind w:left="1020" w:hanging="519"/>
        <w:spacing w:after="0"/>
        <w:tabs>
          <w:tab w:leader="none" w:pos="1020" w:val="left"/>
        </w:tabs>
        <w:numPr>
          <w:ilvl w:val="0"/>
          <w:numId w:val="68"/>
        </w:numPr>
        <w:rPr>
          <w:rFonts w:ascii="Arial" w:cs="Arial" w:eastAsia="Arial" w:hAnsi="Arial"/>
          <w:sz w:val="16"/>
          <w:szCs w:val="16"/>
          <w:color w:val="A6A6A6"/>
        </w:rPr>
      </w:pPr>
      <w:r>
        <w:rPr>
          <w:rFonts w:ascii="Arial" w:cs="Arial" w:eastAsia="Arial" w:hAnsi="Arial"/>
          <w:sz w:val="16"/>
          <w:szCs w:val="16"/>
          <w:color w:val="auto"/>
        </w:rPr>
        <w:t>all of our directors and executive officers as a group.</w:t>
      </w:r>
    </w:p>
    <w:p>
      <w:pPr>
        <w:spacing w:after="0" w:line="200" w:lineRule="exact"/>
        <w:rPr>
          <w:sz w:val="20"/>
          <w:szCs w:val="20"/>
          <w:color w:val="auto"/>
        </w:rPr>
      </w:pPr>
    </w:p>
    <w:p>
      <w:pPr>
        <w:ind w:right="60" w:firstLine="577"/>
        <w:spacing w:after="0" w:line="256" w:lineRule="auto"/>
        <w:rPr>
          <w:sz w:val="20"/>
          <w:szCs w:val="20"/>
          <w:color w:val="auto"/>
        </w:rPr>
      </w:pPr>
      <w:r>
        <w:rPr>
          <w:rFonts w:ascii="Arial" w:cs="Arial" w:eastAsia="Arial" w:hAnsi="Arial"/>
          <w:sz w:val="16"/>
          <w:szCs w:val="16"/>
          <w:color w:val="auto"/>
        </w:rPr>
        <w:t>Beneficial ownership is determined in accordance with the rules of the SEC, and includes voting or investment power with respect to ordinary shares. Ordinary shares issuable under share options or warrants that are exercisable within 60 days after April 1, 2013 are deemed outstanding for the purpose of computing the percentage ownership of the person holding the options or warrants but are not deemed outstanding for the purpose of computing the percentage ownership of any other person. Percentage of shares beneficially owned before this offering is based on 7,794,256 shares outstanding on April 1, 2013. The number of ordinary shares deemed outstanding after this offering includes the ordinary shares being offered for sale in this offering and the mandatory conversion of our outstanding convertible notes but assumes no exercise of the underwriter’s over-allotment option.</w:t>
      </w:r>
    </w:p>
    <w:p>
      <w:pPr>
        <w:spacing w:after="0" w:line="168" w:lineRule="exact"/>
        <w:rPr>
          <w:sz w:val="20"/>
          <w:szCs w:val="20"/>
          <w:color w:val="auto"/>
        </w:rPr>
      </w:pPr>
    </w:p>
    <w:p>
      <w:pPr>
        <w:ind w:right="280" w:firstLine="577"/>
        <w:spacing w:after="0" w:line="319" w:lineRule="auto"/>
        <w:rPr>
          <w:sz w:val="20"/>
          <w:szCs w:val="20"/>
          <w:color w:val="auto"/>
        </w:rPr>
      </w:pPr>
      <w:r>
        <w:rPr>
          <w:rFonts w:ascii="Arial" w:cs="Arial" w:eastAsia="Arial" w:hAnsi="Arial"/>
          <w:sz w:val="14"/>
          <w:szCs w:val="14"/>
          <w:color w:val="auto"/>
        </w:rPr>
        <w:t>As of April 1, 2013, there were 18 record holders of our ordinary shares, among whom is one U.S. holder who beneficially owns less than 5% of our ordinary shares. None of our shareholders has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127" w:lineRule="exact"/>
        <w:rPr>
          <w:sz w:val="20"/>
          <w:szCs w:val="20"/>
          <w:color w:val="auto"/>
        </w:rPr>
      </w:pPr>
    </w:p>
    <w:p>
      <w:pPr>
        <w:ind w:right="20" w:firstLine="577"/>
        <w:spacing w:after="0" w:line="264" w:lineRule="auto"/>
        <w:rPr>
          <w:sz w:val="20"/>
          <w:szCs w:val="20"/>
          <w:color w:val="auto"/>
        </w:rPr>
      </w:pPr>
      <w:r>
        <w:rPr>
          <w:rFonts w:ascii="Arial" w:cs="Arial" w:eastAsia="Arial" w:hAnsi="Arial"/>
          <w:sz w:val="16"/>
          <w:szCs w:val="16"/>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shareholder’s address is: c/o Alcobra Ltd., 35 Ehad Ha-Am Street, Tel Aviv 65202, Israel.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No. of Shares</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960" w:type="dxa"/>
            <w:vAlign w:val="bottom"/>
            <w:gridSpan w:val="3"/>
          </w:tcPr>
          <w:p>
            <w:pPr>
              <w:jc w:val="center"/>
              <w:ind w:left="1340"/>
              <w:spacing w:after="0"/>
              <w:rPr>
                <w:sz w:val="20"/>
                <w:szCs w:val="20"/>
                <w:color w:val="auto"/>
              </w:rPr>
            </w:pPr>
            <w:r>
              <w:rPr>
                <w:rFonts w:ascii="Arial" w:cs="Arial" w:eastAsia="Arial" w:hAnsi="Arial"/>
                <w:sz w:val="16"/>
                <w:szCs w:val="16"/>
                <w:b w:val="1"/>
                <w:bCs w:val="1"/>
                <w:color w:val="auto"/>
                <w:w w:val="91"/>
              </w:rPr>
              <w:t>Beneficially Owned</w:t>
            </w:r>
          </w:p>
        </w:tc>
        <w:tc>
          <w:tcPr>
            <w:tcW w:w="1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Percentage Owned</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Prior to this</w:t>
            </w:r>
          </w:p>
        </w:tc>
        <w:tc>
          <w:tcPr>
            <w:tcW w:w="10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Before this</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7"/>
              </w:rPr>
              <w:t>Percentage Owned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Offering</w:t>
            </w:r>
          </w:p>
        </w:tc>
        <w:tc>
          <w:tcPr>
            <w:tcW w:w="10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Offering</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3"/>
              </w:rPr>
              <w:t>After this Offering</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Holders of more than 5% of our voting securities:</w:t>
            </w:r>
          </w:p>
        </w:tc>
        <w:tc>
          <w:tcPr>
            <w:tcW w:w="152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Udi Gilboa</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2,734,927</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34.7%</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color w:val="auto"/>
              </w:rPr>
              <w:t>Dr. Dalia Megiddo</w:t>
            </w:r>
          </w:p>
        </w:tc>
        <w:tc>
          <w:tcPr>
            <w:tcW w:w="29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2,803,817</w:t>
            </w:r>
          </w:p>
        </w:tc>
        <w:tc>
          <w:tcPr>
            <w:tcW w:w="16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35.5%</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Hadasit Medical Research Services &amp; Development Ltd.</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750,667</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9.5%</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Directors and executive officers who are not 5% holders:</w:t>
            </w:r>
          </w:p>
        </w:tc>
        <w:tc>
          <w:tcPr>
            <w:tcW w:w="152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Dr. Yaron Daniely (1)</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173,532</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2.2%</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FFCC"/>
          </w:tcPr>
          <w:p>
            <w:pPr>
              <w:spacing w:after="0" w:line="176" w:lineRule="exact"/>
              <w:rPr>
                <w:sz w:val="20"/>
                <w:szCs w:val="20"/>
                <w:color w:val="auto"/>
              </w:rPr>
            </w:pPr>
            <w:r>
              <w:rPr>
                <w:rFonts w:ascii="Arial" w:cs="Arial" w:eastAsia="Arial" w:hAnsi="Arial"/>
                <w:sz w:val="16"/>
                <w:szCs w:val="16"/>
                <w:b w:val="1"/>
                <w:bCs w:val="1"/>
                <w:color w:val="auto"/>
              </w:rPr>
              <w:t>All directors and executive officers as a group</w:t>
            </w:r>
          </w:p>
        </w:tc>
        <w:tc>
          <w:tcPr>
            <w:tcW w:w="1520" w:type="dxa"/>
            <w:vAlign w:val="bottom"/>
            <w:shd w:val="clear" w:color="auto" w:fill="CCFFCC"/>
          </w:tcPr>
          <w:p>
            <w:pPr>
              <w:spacing w:after="0"/>
              <w:rPr>
                <w:sz w:val="15"/>
                <w:szCs w:val="15"/>
                <w:color w:val="auto"/>
              </w:rPr>
            </w:pPr>
          </w:p>
        </w:tc>
        <w:tc>
          <w:tcPr>
            <w:tcW w:w="13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3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(4 persons)</w:t>
            </w:r>
          </w:p>
        </w:tc>
        <w:tc>
          <w:tcPr>
            <w:tcW w:w="29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5,712,276</w:t>
            </w:r>
          </w:p>
        </w:tc>
        <w:tc>
          <w:tcPr>
            <w:tcW w:w="16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72.3%</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700" w:right="40" w:hanging="584"/>
        <w:spacing w:after="0" w:line="259" w:lineRule="auto"/>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Consists of options currently exercisable or exercisable within 60 days of April 1, 2013 to purchase 173,532 ordinary shares (which have an exercise price of $0.328 per share and expire in November 15, 2020). Does not include the following options not currently exercisable: 78,878 options that are time-vested, 88,050 options that become exercisable upon an initial public offering or an acquisition of the Company and 89,553 options that will commence vesting upon an initial public offering or an acquisition of the Company. The options were granted under our 2010 Plan.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6"/>
          <w:szCs w:val="16"/>
          <w:b w:val="1"/>
          <w:bCs w:val="1"/>
          <w:color w:val="auto"/>
        </w:rPr>
        <w:t>DESCRIPTION OF SHARE CAPITAL</w:t>
      </w:r>
    </w:p>
    <w:p>
      <w:pPr>
        <w:spacing w:after="0" w:line="204" w:lineRule="exact"/>
        <w:rPr>
          <w:sz w:val="20"/>
          <w:szCs w:val="20"/>
          <w:color w:val="auto"/>
        </w:rPr>
      </w:pPr>
    </w:p>
    <w:p>
      <w:pPr>
        <w:ind w:right="800" w:firstLine="360"/>
        <w:spacing w:after="0" w:line="277"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which will be adopted immediately prior to the consummation of this offering are summaries and do not purport to be complete.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Ordinary Shares</w:t>
      </w:r>
    </w:p>
    <w:p>
      <w:pPr>
        <w:spacing w:after="0" w:line="200" w:lineRule="exact"/>
        <w:rPr>
          <w:sz w:val="20"/>
          <w:szCs w:val="20"/>
          <w:color w:val="auto"/>
        </w:rPr>
      </w:pPr>
    </w:p>
    <w:p>
      <w:pPr>
        <w:ind w:right="40" w:firstLine="360"/>
        <w:spacing w:after="0" w:line="277" w:lineRule="auto"/>
        <w:rPr>
          <w:sz w:val="20"/>
          <w:szCs w:val="20"/>
          <w:color w:val="auto"/>
        </w:rPr>
      </w:pPr>
      <w:r>
        <w:rPr>
          <w:rFonts w:ascii="Arial" w:cs="Arial" w:eastAsia="Arial" w:hAnsi="Arial"/>
          <w:sz w:val="16"/>
          <w:szCs w:val="16"/>
          <w:color w:val="auto"/>
        </w:rPr>
        <w:t>Immediately prior to the consummation of this offering, our authorized share capital will consist of 50,000,000 ordinary shares, par value NIS 0.01 per share. As of April 1, 2013 there were 7,794,256 shares issued and outstanding.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All of our outstanding ordinary shares are validly issued, fully paid and non-assessable. They are not redeemable and do not have any preemptive rights.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Warrants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April 1, 2013, we had the following warrants outstanding:</w:t>
      </w:r>
    </w:p>
    <w:p>
      <w:pPr>
        <w:spacing w:after="0" w:line="200" w:lineRule="exact"/>
        <w:rPr>
          <w:sz w:val="20"/>
          <w:szCs w:val="20"/>
          <w:color w:val="auto"/>
        </w:rPr>
      </w:pPr>
    </w:p>
    <w:p>
      <w:pPr>
        <w:ind w:left="360" w:right="220" w:hanging="4"/>
        <w:spacing w:after="0" w:line="277" w:lineRule="auto"/>
        <w:tabs>
          <w:tab w:leader="none" w:pos="640" w:val="left"/>
        </w:tabs>
        <w:numPr>
          <w:ilvl w:val="0"/>
          <w:numId w:val="70"/>
        </w:numPr>
        <w:rPr>
          <w:rFonts w:ascii="Arial" w:cs="Arial" w:eastAsia="Arial" w:hAnsi="Arial"/>
          <w:sz w:val="16"/>
          <w:szCs w:val="16"/>
          <w:color w:val="A6A6A6"/>
        </w:rPr>
      </w:pPr>
      <w:r>
        <w:rPr>
          <w:rFonts w:ascii="Arial" w:cs="Arial" w:eastAsia="Arial" w:hAnsi="Arial"/>
          <w:sz w:val="16"/>
          <w:szCs w:val="16"/>
          <w:i w:val="1"/>
          <w:iCs w:val="1"/>
          <w:color w:val="auto"/>
        </w:rPr>
        <w:t xml:space="preserve">Warrants issued to professional advisor. </w:t>
      </w:r>
      <w:r>
        <w:rPr>
          <w:rFonts w:ascii="Arial" w:cs="Arial" w:eastAsia="Arial" w:hAnsi="Arial"/>
          <w:sz w:val="16"/>
          <w:szCs w:val="16"/>
          <w:color w:val="auto"/>
        </w:rPr>
        <w:t>As consideration for certain professional services, on April 2, 2008, we issued to certain advisors warrants to purchase up to</w:t>
      </w:r>
      <w:r>
        <w:rPr>
          <w:rFonts w:ascii="Arial" w:cs="Arial" w:eastAsia="Arial" w:hAnsi="Arial"/>
          <w:sz w:val="16"/>
          <w:szCs w:val="16"/>
          <w:i w:val="1"/>
          <w:iCs w:val="1"/>
          <w:color w:val="auto"/>
        </w:rPr>
        <w:t xml:space="preserve"> </w:t>
      </w:r>
      <w:r>
        <w:rPr>
          <w:rFonts w:ascii="Arial" w:cs="Arial" w:eastAsia="Arial" w:hAnsi="Arial"/>
          <w:sz w:val="16"/>
          <w:szCs w:val="16"/>
          <w:color w:val="auto"/>
        </w:rPr>
        <w:t>58,700 ordinary shares at an exercise price of NIS 0.01 per share. These warrants shall expire on April 2, 2018.</w:t>
      </w:r>
    </w:p>
    <w:p>
      <w:pPr>
        <w:spacing w:after="0" w:line="151" w:lineRule="exact"/>
        <w:rPr>
          <w:rFonts w:ascii="Arial" w:cs="Arial" w:eastAsia="Arial" w:hAnsi="Arial"/>
          <w:sz w:val="16"/>
          <w:szCs w:val="16"/>
          <w:color w:val="A6A6A6"/>
        </w:rPr>
      </w:pPr>
    </w:p>
    <w:p>
      <w:pPr>
        <w:ind w:left="360" w:right="20" w:hanging="4"/>
        <w:spacing w:after="0" w:line="259" w:lineRule="auto"/>
        <w:tabs>
          <w:tab w:leader="none" w:pos="680" w:val="left"/>
        </w:tabs>
        <w:numPr>
          <w:ilvl w:val="0"/>
          <w:numId w:val="70"/>
        </w:numPr>
        <w:rPr>
          <w:rFonts w:ascii="Arial" w:cs="Arial" w:eastAsia="Arial" w:hAnsi="Arial"/>
          <w:sz w:val="16"/>
          <w:szCs w:val="16"/>
          <w:color w:val="A6A6A6"/>
        </w:rPr>
      </w:pPr>
      <w:r>
        <w:rPr>
          <w:rFonts w:ascii="Arial" w:cs="Arial" w:eastAsia="Arial" w:hAnsi="Arial"/>
          <w:sz w:val="16"/>
          <w:szCs w:val="16"/>
          <w:i w:val="1"/>
          <w:iCs w:val="1"/>
          <w:color w:val="auto"/>
        </w:rPr>
        <w:t>Warrants issued in the February 2010 Preferred B Subscription Agreement</w:t>
      </w:r>
      <w:r>
        <w:rPr>
          <w:rFonts w:ascii="Arial" w:cs="Arial" w:eastAsia="Arial" w:hAnsi="Arial"/>
          <w:sz w:val="16"/>
          <w:szCs w:val="16"/>
          <w:color w:val="auto"/>
        </w:rPr>
        <w:t>. In connection with the February 2010 Preferred B Subscription Agreement, as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detailed below, we issued to the investors warrants to purchase up to 129,257 series B3 preferred shares at an exercise price of $2.73 per share. The warrants are currently exercisable into ordinary shares. These warrants shall expire immediately prior to the closing of this offering and are expected to be exercised on a cashless basis contingent upon the closing of this offering.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Options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History</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is a summary of the history of our share capital for the last three years.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Share Options. </w:t>
      </w:r>
      <w:r>
        <w:rPr>
          <w:rFonts w:ascii="Arial" w:cs="Arial" w:eastAsia="Arial" w:hAnsi="Arial"/>
          <w:sz w:val="16"/>
          <w:szCs w:val="16"/>
          <w:color w:val="auto"/>
        </w:rPr>
        <w:t>Since January 1, 2010, we have issued 292,531 ordinary shares upon the exercise of share options.</w:t>
      </w:r>
    </w:p>
    <w:p>
      <w:pPr>
        <w:spacing w:after="0" w:line="200" w:lineRule="exact"/>
        <w:rPr>
          <w:sz w:val="20"/>
          <w:szCs w:val="20"/>
          <w:color w:val="auto"/>
        </w:rPr>
      </w:pPr>
    </w:p>
    <w:p>
      <w:pPr>
        <w:ind w:firstLine="577"/>
        <w:spacing w:after="0" w:line="259" w:lineRule="auto"/>
        <w:rPr>
          <w:sz w:val="20"/>
          <w:szCs w:val="20"/>
          <w:color w:val="auto"/>
        </w:rPr>
      </w:pPr>
      <w:r>
        <w:rPr>
          <w:rFonts w:ascii="Arial" w:cs="Arial" w:eastAsia="Arial" w:hAnsi="Arial"/>
          <w:sz w:val="16"/>
          <w:szCs w:val="16"/>
          <w:i w:val="1"/>
          <w:iCs w:val="1"/>
          <w:color w:val="auto"/>
        </w:rPr>
        <w:t>February 2010 Preferred B Subscription Agreement</w:t>
      </w:r>
      <w:r>
        <w:rPr>
          <w:rFonts w:ascii="Arial" w:cs="Arial" w:eastAsia="Arial" w:hAnsi="Arial"/>
          <w:sz w:val="16"/>
          <w:szCs w:val="16"/>
          <w:color w:val="auto"/>
        </w:rPr>
        <w:t>. On February 28, 2010, we closed the February 2010 Preferred B Subscription Agreement, pursuant to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sold an aggregate of 397,698 series B1 preferred shares at a price of $2.18, and an aggregate of 128,512 series B2 preferred shares at a price of $1.75 per share and issued warrants to purchase up to an aggregate of 129,257 series B3 preferred shares with an exercise price of $2.73 per share, which shall expire immediately prior to the closing of this offering.</w:t>
      </w:r>
    </w:p>
    <w:p>
      <w:pPr>
        <w:spacing w:after="0" w:line="167" w:lineRule="exact"/>
        <w:rPr>
          <w:sz w:val="20"/>
          <w:szCs w:val="20"/>
          <w:color w:val="auto"/>
        </w:rPr>
      </w:pPr>
    </w:p>
    <w:p>
      <w:pPr>
        <w:ind w:right="280" w:firstLine="577"/>
        <w:spacing w:after="0" w:line="277" w:lineRule="auto"/>
        <w:rPr>
          <w:sz w:val="20"/>
          <w:szCs w:val="20"/>
          <w:color w:val="auto"/>
        </w:rPr>
      </w:pPr>
      <w:r>
        <w:rPr>
          <w:rFonts w:ascii="Arial" w:cs="Arial" w:eastAsia="Arial" w:hAnsi="Arial"/>
          <w:sz w:val="16"/>
          <w:szCs w:val="16"/>
          <w:i w:val="1"/>
          <w:iCs w:val="1"/>
          <w:color w:val="auto"/>
        </w:rPr>
        <w:t xml:space="preserve">February 2011 Share Purchase Agreement. </w:t>
      </w:r>
      <w:r>
        <w:rPr>
          <w:rFonts w:ascii="Arial" w:cs="Arial" w:eastAsia="Arial" w:hAnsi="Arial"/>
          <w:sz w:val="16"/>
          <w:szCs w:val="16"/>
          <w:color w:val="auto"/>
        </w:rPr>
        <w:t>On March 24, 2011, we closed the February 2011 Share Purchase Agreement, pursuant to which we sold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304,324 of our ordinary shares at a price of $11.50 per share.</w:t>
      </w:r>
    </w:p>
    <w:p>
      <w:pPr>
        <w:spacing w:after="0" w:line="152" w:lineRule="exact"/>
        <w:rPr>
          <w:sz w:val="20"/>
          <w:szCs w:val="20"/>
          <w:color w:val="auto"/>
        </w:rPr>
      </w:pPr>
    </w:p>
    <w:p>
      <w:pPr>
        <w:ind w:right="420" w:firstLine="577"/>
        <w:spacing w:after="0" w:line="264" w:lineRule="auto"/>
        <w:rPr>
          <w:sz w:val="20"/>
          <w:szCs w:val="20"/>
          <w:color w:val="auto"/>
        </w:rPr>
      </w:pPr>
      <w:r>
        <w:rPr>
          <w:rFonts w:ascii="Arial" w:cs="Arial" w:eastAsia="Arial" w:hAnsi="Arial"/>
          <w:sz w:val="16"/>
          <w:szCs w:val="16"/>
          <w:i w:val="1"/>
          <w:iCs w:val="1"/>
          <w:color w:val="auto"/>
        </w:rPr>
        <w:t>Recapitalization and conversion of Preferred Shares to Ordinary Shares</w:t>
      </w:r>
      <w:r>
        <w:rPr>
          <w:rFonts w:ascii="Arial" w:cs="Arial" w:eastAsia="Arial" w:hAnsi="Arial"/>
          <w:sz w:val="16"/>
          <w:szCs w:val="16"/>
          <w:color w:val="auto"/>
        </w:rPr>
        <w:t>. In connection with the February 2011 Share Purchase Agreement, on March 24, 2011, all</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of preferred shares in the Company’s share capital, including all preferred shares issued and outstanding, were converted to ordinary shares on a one for one basis, resulting in a one-class capital structure consisting solely of ordinary shares.</w:t>
      </w:r>
    </w:p>
    <w:p>
      <w:pPr>
        <w:spacing w:after="0" w:line="162" w:lineRule="exact"/>
        <w:rPr>
          <w:sz w:val="20"/>
          <w:szCs w:val="20"/>
          <w:color w:val="auto"/>
        </w:rPr>
      </w:pPr>
    </w:p>
    <w:p>
      <w:pPr>
        <w:jc w:val="both"/>
        <w:ind w:right="180" w:firstLine="577"/>
        <w:spacing w:after="0" w:line="264" w:lineRule="auto"/>
        <w:rPr>
          <w:sz w:val="20"/>
          <w:szCs w:val="20"/>
          <w:color w:val="auto"/>
        </w:rPr>
      </w:pPr>
      <w:r>
        <w:rPr>
          <w:rFonts w:ascii="Arial" w:cs="Arial" w:eastAsia="Arial" w:hAnsi="Arial"/>
          <w:sz w:val="16"/>
          <w:szCs w:val="16"/>
          <w:i w:val="1"/>
          <w:iCs w:val="1"/>
          <w:color w:val="auto"/>
        </w:rPr>
        <w:t>2012 Convertible Notes</w:t>
      </w:r>
      <w:r>
        <w:rPr>
          <w:rFonts w:ascii="Arial" w:cs="Arial" w:eastAsia="Arial" w:hAnsi="Arial"/>
          <w:sz w:val="16"/>
          <w:szCs w:val="16"/>
          <w:color w:val="auto"/>
        </w:rPr>
        <w:t>. During 2012, we issued convertible notes for a total principal amount of $600,000. According to the terms of the convertible notes,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bearing an annual interest rate of 6%, shall be automatically converted into ordinary shares as of immediately after closing of this offering, at a 25% discount from the initial public offering price.</w:t>
      </w:r>
    </w:p>
    <w:p>
      <w:pPr>
        <w:spacing w:after="0" w:line="162" w:lineRule="exact"/>
        <w:rPr>
          <w:sz w:val="20"/>
          <w:szCs w:val="20"/>
          <w:color w:val="auto"/>
        </w:rPr>
      </w:pPr>
    </w:p>
    <w:p>
      <w:pPr>
        <w:jc w:val="both"/>
        <w:ind w:right="100" w:firstLine="577"/>
        <w:spacing w:after="0" w:line="264" w:lineRule="auto"/>
        <w:rPr>
          <w:sz w:val="20"/>
          <w:szCs w:val="20"/>
          <w:color w:val="auto"/>
        </w:rPr>
      </w:pPr>
      <w:r>
        <w:rPr>
          <w:rFonts w:ascii="Arial" w:cs="Arial" w:eastAsia="Arial" w:hAnsi="Arial"/>
          <w:sz w:val="16"/>
          <w:szCs w:val="16"/>
          <w:i w:val="1"/>
          <w:iCs w:val="1"/>
          <w:color w:val="auto"/>
        </w:rPr>
        <w:t xml:space="preserve">2013 Convertible Notes. </w:t>
      </w:r>
      <w:r>
        <w:rPr>
          <w:rFonts w:ascii="Arial" w:cs="Arial" w:eastAsia="Arial" w:hAnsi="Arial"/>
          <w:sz w:val="16"/>
          <w:szCs w:val="16"/>
          <w:color w:val="auto"/>
        </w:rPr>
        <w:t>In February 2013 we issued to certain of our existing shareholders additional convertible notes for an aggregate principal amount of $115,000.</w:t>
      </w:r>
      <w:r>
        <w:rPr>
          <w:rFonts w:ascii="Arial" w:cs="Arial" w:eastAsia="Arial" w:hAnsi="Arial"/>
          <w:sz w:val="16"/>
          <w:szCs w:val="16"/>
          <w:i w:val="1"/>
          <w:iCs w:val="1"/>
          <w:color w:val="auto"/>
        </w:rPr>
        <w:t xml:space="preserve"> </w:t>
      </w:r>
      <w:r>
        <w:rPr>
          <w:rFonts w:ascii="Arial" w:cs="Arial" w:eastAsia="Arial" w:hAnsi="Arial"/>
          <w:sz w:val="16"/>
          <w:szCs w:val="16"/>
          <w:color w:val="auto"/>
        </w:rPr>
        <w:t>Like the 2012 Convertible Notes, these notes bear an annual interest rate of 6%, and shall be automatically converted into ordinary shares as of immediately after the closing of this offering at a 25% discount from the initial public offering price.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0" w:right="25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Voting Rights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our ordinary shares have one vote for each ordinary share held on all matters submitted to a vote before the shareholders at a general meeting.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of Shares</w:t>
      </w:r>
    </w:p>
    <w:p>
      <w:pPr>
        <w:spacing w:after="0" w:line="204" w:lineRule="exact"/>
        <w:rPr>
          <w:sz w:val="20"/>
          <w:szCs w:val="20"/>
          <w:color w:val="auto"/>
        </w:rPr>
      </w:pPr>
    </w:p>
    <w:p>
      <w:pPr>
        <w:ind w:right="340" w:firstLine="360"/>
        <w:spacing w:after="0" w:line="259" w:lineRule="auto"/>
        <w:rPr>
          <w:sz w:val="20"/>
          <w:szCs w:val="20"/>
          <w:color w:val="auto"/>
        </w:rPr>
      </w:pPr>
      <w:r>
        <w:rPr>
          <w:rFonts w:ascii="Arial" w:cs="Arial" w:eastAsia="Arial" w:hAnsi="Arial"/>
          <w:sz w:val="16"/>
          <w:szCs w:val="16"/>
          <w:color w:val="auto"/>
        </w:rPr>
        <w:t>Our ordinary shares that are fully paid for are issued in registered form and may be freely transferred under our amended and restated articles of association, unless the transfer is restricted or prohibited by applicable law or the rules of a stock exchange on which the shares are traded.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67" w:lineRule="exact"/>
        <w:rPr>
          <w:sz w:val="20"/>
          <w:szCs w:val="20"/>
          <w:color w:val="auto"/>
        </w:rPr>
      </w:pPr>
    </w:p>
    <w:p>
      <w:pPr>
        <w:ind w:right="40" w:firstLine="360"/>
        <w:spacing w:after="0" w:line="255" w:lineRule="auto"/>
        <w:rPr>
          <w:sz w:val="20"/>
          <w:szCs w:val="20"/>
          <w:color w:val="auto"/>
        </w:rPr>
      </w:pPr>
      <w:r>
        <w:rPr>
          <w:rFonts w:ascii="Arial" w:cs="Arial" w:eastAsia="Arial" w:hAnsi="Arial"/>
          <w:sz w:val="16"/>
          <w:szCs w:val="16"/>
          <w:color w:val="auto"/>
        </w:rPr>
        <w:t>Our research and development efforts were financed in part, in the past, through grants that we received from Israel's Office of the Chief Scientist of the Ministry of Industry, Trade and Labor, as a result of which we must comply with the requirements of the Research Law. According to the Research Law, a change of control of our company should be reported to the research committee at the Ministry of Industry, Trade and Labor, or the Committee, and a change in the holding of the means of control in our company (means of control include the right to vote at a general meeting of a company or a corresponding body of another corporation or the right to appoint directors of the corporation or its general manager) which results in any person not being a citizen or resident of Israel or corporation incorporated in Israel holding 5% or more of the issued share capital or of the voting power of our company, should be reported to the Committee, which may notify us of its objection to such change, and such person shall be required to sign an undertaking in a certain form published by the Committee.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04" w:lineRule="exact"/>
        <w:rPr>
          <w:sz w:val="20"/>
          <w:szCs w:val="20"/>
          <w:color w:val="auto"/>
        </w:rPr>
      </w:pPr>
    </w:p>
    <w:p>
      <w:pPr>
        <w:ind w:right="80" w:firstLine="360"/>
        <w:spacing w:after="0" w:line="351" w:lineRule="auto"/>
        <w:rPr>
          <w:sz w:val="20"/>
          <w:szCs w:val="20"/>
          <w:color w:val="auto"/>
        </w:rPr>
      </w:pPr>
      <w:r>
        <w:rPr>
          <w:rFonts w:ascii="Arial" w:cs="Arial" w:eastAsia="Arial" w:hAnsi="Arial"/>
          <w:sz w:val="14"/>
          <w:szCs w:val="14"/>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06"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Our directors hold office for their scheduled term unless they are removed from office upon the occurrence of certain events, in accordance with the Israeli Companies Law and our amended and restated articles of association. In addition, our amended and restated articles of association allow our Board of Directors to appoint directors to fill vacancies on the Board of Directors to serve until the next annual meeting following his or her appointment.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and Liquidation Rights</w:t>
      </w:r>
    </w:p>
    <w:p>
      <w:pPr>
        <w:spacing w:after="0" w:line="204" w:lineRule="exact"/>
        <w:rPr>
          <w:sz w:val="20"/>
          <w:szCs w:val="20"/>
          <w:color w:val="auto"/>
        </w:rPr>
      </w:pPr>
    </w:p>
    <w:p>
      <w:pPr>
        <w:ind w:right="440" w:firstLine="360"/>
        <w:spacing w:after="0" w:line="259" w:lineRule="auto"/>
        <w:rPr>
          <w:sz w:val="20"/>
          <w:szCs w:val="20"/>
          <w:color w:val="auto"/>
        </w:rPr>
      </w:pPr>
      <w:r>
        <w:rPr>
          <w:rFonts w:ascii="Arial" w:cs="Arial" w:eastAsia="Arial" w:hAnsi="Arial"/>
          <w:sz w:val="16"/>
          <w:szCs w:val="16"/>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67"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Pursuant to the Israeli Companies Law, the distribution amount is limited to the greater of retained earnings or earnings generated over the previous two years, as such items are defined under the Companies Law, according to our then last reviewed or audited financial reports, provided that the date of the financial reports is not more than six months prior to the date of distribution, or we may distribute dividends that do not meet such criteria only with court approval. In each case, we are only permitted to pay a dividend if our Board of Directors or the court, as applicable, determined that there is no reasonable concern that payment of the dividend will prevent us from satisfying our existing and foreseeable obligations as they become due.</w:t>
      </w:r>
    </w:p>
    <w:p>
      <w:pPr>
        <w:spacing w:after="0" w:line="168" w:lineRule="exact"/>
        <w:rPr>
          <w:sz w:val="20"/>
          <w:szCs w:val="20"/>
          <w:color w:val="auto"/>
        </w:rPr>
      </w:pPr>
    </w:p>
    <w:p>
      <w:pPr>
        <w:ind w:right="260" w:firstLine="360"/>
        <w:spacing w:after="0" w:line="26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Exchange Controls</w:t>
      </w:r>
    </w:p>
    <w:p>
      <w:pPr>
        <w:spacing w:after="0" w:line="204" w:lineRule="exact"/>
        <w:rPr>
          <w:sz w:val="20"/>
          <w:szCs w:val="20"/>
          <w:color w:val="auto"/>
        </w:rPr>
      </w:pPr>
    </w:p>
    <w:p>
      <w:pPr>
        <w:ind w:right="480" w:firstLine="360"/>
        <w:spacing w:after="0" w:line="312" w:lineRule="auto"/>
        <w:rPr>
          <w:sz w:val="20"/>
          <w:szCs w:val="20"/>
          <w:color w:val="auto"/>
        </w:rPr>
      </w:pPr>
      <w:r>
        <w:rPr>
          <w:rFonts w:ascii="Arial" w:cs="Arial" w:eastAsia="Arial" w:hAnsi="Arial"/>
          <w:sz w:val="15"/>
          <w:szCs w:val="15"/>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Meetings</w:t>
      </w:r>
    </w:p>
    <w:p>
      <w:pPr>
        <w:spacing w:after="0" w:line="204" w:lineRule="exact"/>
        <w:rPr>
          <w:sz w:val="20"/>
          <w:szCs w:val="20"/>
          <w:color w:val="auto"/>
        </w:rPr>
      </w:pPr>
    </w:p>
    <w:p>
      <w:pPr>
        <w:jc w:val="both"/>
        <w:ind w:right="40" w:firstLine="360"/>
        <w:spacing w:after="0" w:line="302" w:lineRule="auto"/>
        <w:rPr>
          <w:sz w:val="20"/>
          <w:szCs w:val="20"/>
          <w:color w:val="auto"/>
        </w:rPr>
      </w:pPr>
      <w:r>
        <w:rPr>
          <w:rFonts w:ascii="Arial" w:cs="Arial" w:eastAsia="Arial" w:hAnsi="Arial"/>
          <w:sz w:val="14"/>
          <w:szCs w:val="14"/>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our Board of Directors, or (ii) one or more shareholders holding, in the aggregate, either (a) 5% of our outstanding issued shares and 1% of our outstanding voting power, or (b) 5% of our outstanding voting power.</w:t>
      </w:r>
    </w:p>
    <w:p>
      <w:pPr>
        <w:spacing w:after="0" w:line="140" w:lineRule="exact"/>
        <w:rPr>
          <w:sz w:val="20"/>
          <w:szCs w:val="20"/>
          <w:color w:val="auto"/>
        </w:rPr>
      </w:pPr>
    </w:p>
    <w:p>
      <w:pPr>
        <w:ind w:right="100" w:firstLine="360"/>
        <w:spacing w:after="0" w:line="289" w:lineRule="auto"/>
        <w:rPr>
          <w:sz w:val="20"/>
          <w:szCs w:val="20"/>
          <w:color w:val="auto"/>
        </w:rPr>
      </w:pPr>
      <w:r>
        <w:rPr>
          <w:rFonts w:ascii="Arial" w:cs="Arial" w:eastAsia="Arial" w:hAnsi="Arial"/>
          <w:sz w:val="15"/>
          <w:szCs w:val="15"/>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40 days prior to the date of the meeting. Furthermore, the Israeli Companies Law requires that resolutions regarding the following matters must be passed at a general meeting of our shareholders:</w:t>
      </w:r>
    </w:p>
    <w:p>
      <w:pPr>
        <w:spacing w:after="0" w:line="146" w:lineRule="exact"/>
        <w:rPr>
          <w:sz w:val="20"/>
          <w:szCs w:val="20"/>
          <w:color w:val="auto"/>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amendments to our amended and restated articles of association;</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appointment or termination of our auditors;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appointment of external directors;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approval of acts and transactions involving related parties, as defined by the Israeli Companies Law;</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increases or reductions of our authorized share capital;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 merger.</w:t>
      </w:r>
    </w:p>
    <w:p>
      <w:pPr>
        <w:spacing w:after="0" w:line="393" w:lineRule="exact"/>
        <w:rPr>
          <w:sz w:val="20"/>
          <w:szCs w:val="20"/>
          <w:color w:val="auto"/>
        </w:rPr>
      </w:pPr>
    </w:p>
    <w:p>
      <w:pPr>
        <w:ind w:right="300" w:firstLine="360"/>
        <w:spacing w:after="0" w:line="259" w:lineRule="auto"/>
        <w:rPr>
          <w:sz w:val="20"/>
          <w:szCs w:val="20"/>
          <w:color w:val="auto"/>
        </w:rPr>
      </w:pPr>
      <w:r>
        <w:rPr>
          <w:rFonts w:ascii="Arial" w:cs="Arial" w:eastAsia="Arial" w:hAnsi="Arial"/>
          <w:sz w:val="16"/>
          <w:szCs w:val="16"/>
          <w:color w:val="auto"/>
        </w:rPr>
        <w:t>The Israeli Companies Law and our amended and restated articles of association require that a notice of any annual general meeting or special shareholders meeting be provided to shareholders at least 21 days prior to the meeting and if the agenda of the meeting includes matters upon which shareholders may vote by means of a voting deed, including the appointment or removal of directors, the approval of transactions with office holders or interested or related parties, or an approval of a merger, notice must be provided at least 35 days prior to the meeting.</w:t>
      </w:r>
    </w:p>
    <w:p>
      <w:pPr>
        <w:spacing w:after="0" w:line="167" w:lineRule="exact"/>
        <w:rPr>
          <w:sz w:val="20"/>
          <w:szCs w:val="20"/>
          <w:color w:val="auto"/>
        </w:rPr>
      </w:pPr>
    </w:p>
    <w:p>
      <w:pPr>
        <w:ind w:right="380" w:firstLine="360"/>
        <w:spacing w:after="0" w:line="277" w:lineRule="auto"/>
        <w:rPr>
          <w:sz w:val="20"/>
          <w:szCs w:val="20"/>
          <w:color w:val="auto"/>
        </w:rPr>
      </w:pPr>
      <w:r>
        <w:rPr>
          <w:rFonts w:ascii="Arial" w:cs="Arial" w:eastAsia="Arial" w:hAnsi="Arial"/>
          <w:sz w:val="16"/>
          <w:szCs w:val="16"/>
          <w:color w:val="auto"/>
        </w:rPr>
        <w:t>Under the Israeli Companies Law and our amended and restated articles of association, our shareholders are not permitted to take action via written consent in lieu of a meeting.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Quorum Requirements</w:t>
      </w:r>
    </w:p>
    <w:p>
      <w:pPr>
        <w:spacing w:after="0" w:line="200"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The quorum required for our general meetings of shareholders consists of at least two shareholders present in person, by proxy or written ballot who hold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4" w:name="page75"/>
    <w:bookmarkEnd w:id="74"/>
    <w:p>
      <w:pPr>
        <w:ind w:left="360"/>
        <w:spacing w:after="0"/>
        <w:rPr>
          <w:sz w:val="20"/>
          <w:szCs w:val="20"/>
          <w:color w:val="auto"/>
        </w:rPr>
      </w:pPr>
      <w:r>
        <w:rPr>
          <w:rFonts w:ascii="Arial" w:cs="Arial" w:eastAsia="Arial" w:hAnsi="Arial"/>
          <w:sz w:val="16"/>
          <w:szCs w:val="16"/>
          <w:b w:val="1"/>
          <w:bCs w:val="1"/>
          <w:i w:val="1"/>
          <w:iCs w:val="1"/>
          <w:color w:val="auto"/>
        </w:rPr>
        <w:t>Vote Requirements</w:t>
      </w:r>
    </w:p>
    <w:p>
      <w:pPr>
        <w:spacing w:after="0" w:line="200" w:lineRule="exact"/>
        <w:rPr>
          <w:sz w:val="20"/>
          <w:szCs w:val="20"/>
          <w:color w:val="auto"/>
        </w:rPr>
      </w:pPr>
    </w:p>
    <w:p>
      <w:pPr>
        <w:ind w:firstLine="360"/>
        <w:spacing w:after="0" w:line="295" w:lineRule="auto"/>
        <w:rPr>
          <w:sz w:val="20"/>
          <w:szCs w:val="20"/>
          <w:color w:val="auto"/>
        </w:rPr>
      </w:pPr>
      <w:r>
        <w:rPr>
          <w:rFonts w:ascii="Arial" w:cs="Arial" w:eastAsia="Arial" w:hAnsi="Arial"/>
          <w:sz w:val="14"/>
          <w:szCs w:val="14"/>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certain actions require a special majority, which may include (i) appointment of external directors, requiring the approval described above under “Management—Board Practices—External Directors”, (ii) approval of an extraordinary transaction with a controlling shareholder and the terms of employment or other engagement of the controlling shareholder of the Company or such controlling shareholder's relative (even if not extraordinary), requiring the approval described above under "Approval of Related Party Transactions under Israeli Law—Disclosure of Personal Interests of Controlling Shareholders.", and (iii) approval of a compensation policy, approval of executive officer compensation inconsistent with our office holder compensation policy, compensation of our chief executive officer, or the compensation of an executive officer who is also the controlling shareholder of our company (including an affiliate thereof), all of which require the approval described above under “Management—NASDAQ Listing Rules and Home Country Practices—Compensation of Officers.”</w:t>
      </w:r>
    </w:p>
    <w:p>
      <w:pPr>
        <w:spacing w:after="0" w:line="147" w:lineRule="exact"/>
        <w:rPr>
          <w:sz w:val="20"/>
          <w:szCs w:val="20"/>
          <w:color w:val="auto"/>
        </w:rPr>
      </w:pPr>
    </w:p>
    <w:p>
      <w:pPr>
        <w:jc w:val="both"/>
        <w:ind w:right="20" w:firstLine="360"/>
        <w:spacing w:after="0" w:line="289" w:lineRule="auto"/>
        <w:rPr>
          <w:sz w:val="20"/>
          <w:szCs w:val="20"/>
          <w:color w:val="auto"/>
        </w:rPr>
      </w:pPr>
      <w:r>
        <w:rPr>
          <w:rFonts w:ascii="Arial" w:cs="Arial" w:eastAsia="Arial" w:hAnsi="Arial"/>
          <w:sz w:val="15"/>
          <w:szCs w:val="15"/>
          <w:color w:val="auto"/>
        </w:rPr>
        <w:t>Under our amended and restated articles of association, the alteration of the rights, privileges, preferences or obligations of any class of our share capital requires a decision of the Board of Directors, and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46"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6"/>
          <w:szCs w:val="16"/>
          <w:color w:val="auto"/>
        </w:rPr>
        <w:t>Further exceptions to the simple majority vote requirement are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62" w:lineRule="exact"/>
        <w:rPr>
          <w:sz w:val="20"/>
          <w:szCs w:val="20"/>
          <w:color w:val="auto"/>
        </w:rPr>
      </w:pPr>
    </w:p>
    <w:p>
      <w:pPr>
        <w:ind w:right="40" w:firstLine="360"/>
        <w:spacing w:after="0" w:line="277" w:lineRule="auto"/>
        <w:rPr>
          <w:sz w:val="20"/>
          <w:szCs w:val="20"/>
          <w:color w:val="auto"/>
        </w:rPr>
      </w:pPr>
      <w:r>
        <w:rPr>
          <w:rFonts w:ascii="Arial" w:cs="Arial" w:eastAsia="Arial" w:hAnsi="Arial"/>
          <w:sz w:val="16"/>
          <w:szCs w:val="16"/>
          <w:color w:val="auto"/>
        </w:rPr>
        <w:t>Israeli law provides that a shareholder of a public company may vote in a meeting and in a class meeting by means of a voting deed in which the shareholder indicates how he or she votes on resolutions relating to the following matters:</w:t>
      </w:r>
    </w:p>
    <w:p>
      <w:pPr>
        <w:spacing w:after="0" w:line="152" w:lineRule="exact"/>
        <w:rPr>
          <w:sz w:val="20"/>
          <w:szCs w:val="20"/>
          <w:color w:val="auto"/>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appointment or removal of directors;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approval of transactions with office holders or interested or related parties;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approval of a merger;</w:t>
      </w:r>
    </w:p>
    <w:p>
      <w:pPr>
        <w:spacing w:after="0" w:line="200" w:lineRule="exact"/>
        <w:rPr>
          <w:rFonts w:ascii="Arial" w:cs="Arial" w:eastAsia="Arial" w:hAnsi="Arial"/>
          <w:sz w:val="16"/>
          <w:szCs w:val="16"/>
          <w:color w:val="A6A6A6"/>
        </w:rPr>
      </w:pPr>
    </w:p>
    <w:p>
      <w:pPr>
        <w:ind w:left="360" w:right="480" w:hanging="4"/>
        <w:spacing w:after="0" w:line="277" w:lineRule="auto"/>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authorization of the chairman of the board or a relative thereof to assume the role or responsibilities of our chief executive officer, and authorization of our chief executive officer or a relative thereof to assume the role or responsibilities of the chairman of the board;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approval of an arrangement or reorganization of the Company pursuant to Section 350 of the Israeli Companies Law; and</w:t>
      </w:r>
    </w:p>
    <w:p>
      <w:pPr>
        <w:spacing w:after="0" w:line="200" w:lineRule="exact"/>
        <w:rPr>
          <w:rFonts w:ascii="Arial" w:cs="Arial" w:eastAsia="Arial" w:hAnsi="Arial"/>
          <w:sz w:val="16"/>
          <w:szCs w:val="16"/>
          <w:color w:val="A6A6A6"/>
        </w:rPr>
      </w:pPr>
    </w:p>
    <w:p>
      <w:pPr>
        <w:ind w:left="360" w:right="60" w:hanging="4"/>
        <w:spacing w:after="0" w:line="277" w:lineRule="auto"/>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other matters in respect of which there is a provision in the articles of association providing that decisions of the general meeting may also be passed by voting deed or which may be prescribed by Israel's Minister of Justice.</w:t>
      </w:r>
    </w:p>
    <w:p>
      <w:pPr>
        <w:spacing w:after="0" w:line="344" w:lineRule="exact"/>
        <w:rPr>
          <w:sz w:val="20"/>
          <w:szCs w:val="20"/>
          <w:color w:val="auto"/>
        </w:rPr>
      </w:pPr>
    </w:p>
    <w:p>
      <w:pPr>
        <w:ind w:right="660" w:firstLine="360"/>
        <w:spacing w:after="0" w:line="312" w:lineRule="auto"/>
        <w:rPr>
          <w:sz w:val="20"/>
          <w:szCs w:val="20"/>
          <w:color w:val="auto"/>
        </w:rPr>
      </w:pPr>
      <w:r>
        <w:rPr>
          <w:rFonts w:ascii="Arial" w:cs="Arial" w:eastAsia="Arial" w:hAnsi="Arial"/>
          <w:sz w:val="15"/>
          <w:szCs w:val="15"/>
          <w:color w:val="auto"/>
        </w:rPr>
        <w:t>The provision allowing the vote by voting deed does not apply if, to the best knowledge of the Company at the time of calling the general shareholders meeting, a controlling shareholder will hold on the record date for such shareholders meeting, voting power sufficient to determine the outcome of the vote.</w:t>
      </w:r>
    </w:p>
    <w:p>
      <w:pPr>
        <w:spacing w:after="0" w:line="128" w:lineRule="exact"/>
        <w:rPr>
          <w:sz w:val="20"/>
          <w:szCs w:val="20"/>
          <w:color w:val="auto"/>
        </w:rPr>
      </w:pPr>
    </w:p>
    <w:p>
      <w:pPr>
        <w:ind w:firstLine="360"/>
        <w:spacing w:after="0" w:line="264" w:lineRule="auto"/>
        <w:rPr>
          <w:sz w:val="20"/>
          <w:szCs w:val="20"/>
          <w:color w:val="auto"/>
        </w:rPr>
      </w:pPr>
      <w:r>
        <w:rPr>
          <w:rFonts w:ascii="Arial" w:cs="Arial" w:eastAsia="Arial" w:hAnsi="Arial"/>
          <w:sz w:val="16"/>
          <w:szCs w:val="16"/>
          <w:color w:val="auto"/>
        </w:rPr>
        <w:t>The Israeli Companies Law provides that a shareholder, in exercising his or her rights and performing his or her obligations toward the Company and its other shareholders, including voting at general meetings, must act in good faith and in a customary manner, and avoid abusing his or her power. See "Approval of Related Party Transactions under Israeli Law—Shareholder Duties" above for further detail.</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Access to Corporate Records</w:t>
      </w:r>
    </w:p>
    <w:p>
      <w:pPr>
        <w:spacing w:after="0" w:line="200" w:lineRule="exact"/>
        <w:rPr>
          <w:sz w:val="20"/>
          <w:szCs w:val="20"/>
          <w:color w:val="auto"/>
        </w:rPr>
      </w:pPr>
    </w:p>
    <w:p>
      <w:pPr>
        <w:ind w:right="60" w:firstLine="360"/>
        <w:spacing w:after="0" w:line="278" w:lineRule="auto"/>
        <w:rPr>
          <w:sz w:val="20"/>
          <w:szCs w:val="20"/>
          <w:color w:val="auto"/>
        </w:rPr>
      </w:pPr>
      <w:r>
        <w:rPr>
          <w:rFonts w:ascii="Arial" w:cs="Arial" w:eastAsia="Arial" w:hAnsi="Arial"/>
          <w:sz w:val="15"/>
          <w:szCs w:val="15"/>
          <w:color w:val="auto"/>
        </w:rPr>
        <w:t>Under the Israeli Companies Law and our amended and restated articles of association, shareholders are provided access to the following corporate records: minutes of our general meetings; our shareholders register and principal shareholders register, articles of association and financial statements; and any document that we are required by law to file publicly with the Israeli Companies Registrar or the Israel Securities Authority. In addition, shareholders may submit a reasoned request to be provided with any document related to an action or transaction requiring shareholder approval under the related party transaction provisions of the Companies Law. We may deny this request if we believe it has not been submitted in good faith or if such denial is necessary to protect our interest or protect a trade secret or patent.</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75" w:name="page76"/>
    <w:bookmarkEnd w:id="75"/>
    <w:p>
      <w:pPr>
        <w:ind w:left="360"/>
        <w:spacing w:after="0"/>
        <w:rPr>
          <w:sz w:val="20"/>
          <w:szCs w:val="20"/>
          <w:color w:val="auto"/>
        </w:rPr>
      </w:pPr>
      <w:r>
        <w:rPr>
          <w:rFonts w:ascii="Arial" w:cs="Arial" w:eastAsia="Arial" w:hAnsi="Arial"/>
          <w:sz w:val="16"/>
          <w:szCs w:val="16"/>
          <w:b w:val="1"/>
          <w:bCs w:val="1"/>
          <w:color w:val="auto"/>
        </w:rPr>
        <w:t>Modification of Class Rights</w:t>
      </w:r>
    </w:p>
    <w:p>
      <w:pPr>
        <w:spacing w:after="0" w:line="204" w:lineRule="exact"/>
        <w:rPr>
          <w:sz w:val="20"/>
          <w:szCs w:val="20"/>
          <w:color w:val="auto"/>
        </w:rPr>
      </w:pPr>
    </w:p>
    <w:p>
      <w:pPr>
        <w:ind w:right="40" w:firstLine="360"/>
        <w:spacing w:after="0" w:line="264" w:lineRule="auto"/>
        <w:rPr>
          <w:sz w:val="20"/>
          <w:szCs w:val="20"/>
          <w:color w:val="auto"/>
        </w:rPr>
      </w:pPr>
      <w:r>
        <w:rPr>
          <w:rFonts w:ascii="Arial" w:cs="Arial" w:eastAsia="Arial" w:hAnsi="Arial"/>
          <w:sz w:val="16"/>
          <w:szCs w:val="16"/>
          <w:color w:val="auto"/>
        </w:rPr>
        <w:t>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Acquisitions under Israeli Law</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Full Tender Offer</w:t>
      </w:r>
    </w:p>
    <w:p>
      <w:pPr>
        <w:spacing w:after="0" w:line="200" w:lineRule="exact"/>
        <w:rPr>
          <w:sz w:val="20"/>
          <w:szCs w:val="20"/>
          <w:color w:val="auto"/>
        </w:rPr>
      </w:pPr>
    </w:p>
    <w:p>
      <w:pPr>
        <w:ind w:right="60" w:firstLine="360"/>
        <w:spacing w:after="0" w:line="271" w:lineRule="auto"/>
        <w:rPr>
          <w:sz w:val="20"/>
          <w:szCs w:val="20"/>
          <w:color w:val="auto"/>
        </w:rPr>
      </w:pPr>
      <w:r>
        <w:rPr>
          <w:rFonts w:ascii="Arial" w:cs="Arial" w:eastAsia="Arial" w:hAnsi="Arial"/>
          <w:sz w:val="15"/>
          <w:szCs w:val="15"/>
          <w:color w:val="auto"/>
        </w:rPr>
        <w:t>A person wishing to acquire shares of a public Israeli company and who could as a result hold over 90% of the target company's issued and outstanding share capital or voting rights is required by the Israeli Companies Law to make a tender offer to all of the company's shareholders for the purchase of all of the issued and outstanding shares of the company. A person wishing to acquire shares of a public Israeli company and who could as a result hold over 90% of the issued and outstanding share capital or voting rights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and voting rights of the company or of the applicable class, all of the shares that the acquirer offered to purchase will be transferred to the acquirer by operation of law (provided that a majority of the offerees that do not have a personal interest in such tender offer shall have approved it, which condition shall not apply if, following consummation of the tender offer, the acquirer would hold at least 98% of all of the company's outstanding shares and voting rights (or shares and voting rights of the relevant class)). However, shareholders may, at any time within six months following the completion of the tender offer, petition the court to alter the consideration for the acquisition. Even shareholders who indicated their acceptance of the tender offer may so petition the court, unless the acquirer stipulated that a shareholder that accepts the offer may not seek appraisal rights). If the shareholders who did not accept the tender offer hold 5% or more of the issued and outstanding share capital or voting rights of the company or of the applicable class, the acquirer may not acquire shares of the company that will increase its holdings to more than 90% of the company's issued and outstanding share capital or voting rights or 90% of the shares or voting rights of the applicable class, from shareholders who accepted the tender offer.</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Special Tender Offer</w:t>
      </w:r>
    </w:p>
    <w:p>
      <w:pPr>
        <w:spacing w:after="0" w:line="200" w:lineRule="exact"/>
        <w:rPr>
          <w:sz w:val="20"/>
          <w:szCs w:val="20"/>
          <w:color w:val="auto"/>
        </w:rPr>
      </w:pPr>
    </w:p>
    <w:p>
      <w:pPr>
        <w:ind w:firstLine="360"/>
        <w:spacing w:after="0" w:line="271" w:lineRule="auto"/>
        <w:rPr>
          <w:sz w:val="20"/>
          <w:szCs w:val="20"/>
          <w:color w:val="auto"/>
        </w:rPr>
      </w:pPr>
      <w:r>
        <w:rPr>
          <w:rFonts w:ascii="Arial" w:cs="Arial" w:eastAsia="Arial" w:hAnsi="Arial"/>
          <w:sz w:val="15"/>
          <w:szCs w:val="15"/>
          <w:color w:val="auto"/>
        </w:rPr>
        <w:t>The Israeli Companies Law provides that an acquisition of shares of a public Israeli company must be made by means of a special tender offer if as a result of the acquisition the purchaser could become a holder of 25% or more of the voting rights in the company, unless one of the exemptions in the Israeli Companies Law (as described below)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could become a holder of more than 45% of the voting rights in the company, if there is no other shareholder of the company who holds more than 45% of the voting rights in the company, unless one of the exemptions in the Israeli Companies Law is met. Such exemptions include (a) acquisition of shares issued in the course of a private placement approved by the general meeting of the company as a private placement intended to provide purchaser with holdings of 25% or more of the voting rights in the company, if there is no other shareholder of the company who holds more than 25% of the voting rights in the company, or as a private placement intended to provide purchaser with holdings of more than 45% of the voting rights in the company, if there is no other shareholder of the company who holds more than 45% of the voting rights in the company, (b) acquisition of shares from a holder of 25% or more of the voting rights in the company following which purchaser shall hold 25% or more of the voting rights in the company, or (c) acquisition of shares from a holder of 45% or more of the voting rights in the company following which purchaser shall hold 45% or more of the voting rights in the company.</w:t>
      </w:r>
    </w:p>
    <w:p>
      <w:pPr>
        <w:spacing w:after="0" w:line="164" w:lineRule="exact"/>
        <w:rPr>
          <w:sz w:val="20"/>
          <w:szCs w:val="20"/>
          <w:color w:val="auto"/>
        </w:rPr>
      </w:pPr>
    </w:p>
    <w:p>
      <w:pPr>
        <w:ind w:right="140" w:firstLine="360"/>
        <w:spacing w:after="0" w:line="259"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(disregarding holders who have a personal interest).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76" w:name="page77"/>
    <w:bookmarkEnd w:id="76"/>
    <w:p>
      <w:pPr>
        <w:ind w:right="20" w:firstLine="360"/>
        <w:spacing w:after="0" w:line="289" w:lineRule="auto"/>
        <w:rPr>
          <w:sz w:val="20"/>
          <w:szCs w:val="20"/>
          <w:color w:val="auto"/>
        </w:rPr>
      </w:pPr>
      <w:r>
        <w:rPr>
          <w:rFonts w:ascii="Arial" w:cs="Arial" w:eastAsia="Arial" w:hAnsi="Arial"/>
          <w:sz w:val="15"/>
          <w:szCs w:val="15"/>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Merger</w:t>
      </w:r>
    </w:p>
    <w:p>
      <w:pPr>
        <w:spacing w:after="0" w:line="200" w:lineRule="exact"/>
        <w:rPr>
          <w:sz w:val="20"/>
          <w:szCs w:val="20"/>
          <w:color w:val="auto"/>
        </w:rPr>
      </w:pPr>
    </w:p>
    <w:p>
      <w:pPr>
        <w:ind w:right="20" w:firstLine="360"/>
        <w:spacing w:after="0" w:line="264" w:lineRule="auto"/>
        <w:rPr>
          <w:sz w:val="20"/>
          <w:szCs w:val="20"/>
          <w:color w:val="auto"/>
        </w:rPr>
      </w:pPr>
      <w:r>
        <w:rPr>
          <w:rFonts w:ascii="Arial" w:cs="Arial" w:eastAsia="Arial" w:hAnsi="Arial"/>
          <w:sz w:val="16"/>
          <w:szCs w:val="16"/>
          <w:color w:val="auto"/>
        </w:rPr>
        <w:t>The Israeli Companies Law permits merger transactions if approved by each party's board of directors and, unless certain requirements described under the Israeli Companies Law are met, by a majority vote of each party's shares, and, in the case of the target company, a majority vote of each class of its shares, voted on the proposed merger at a shareholders meeting called with at least 35 days' prior notice.</w:t>
      </w:r>
    </w:p>
    <w:p>
      <w:pPr>
        <w:spacing w:after="0" w:line="162" w:lineRule="exact"/>
        <w:rPr>
          <w:sz w:val="20"/>
          <w:szCs w:val="20"/>
          <w:color w:val="auto"/>
        </w:rPr>
      </w:pPr>
    </w:p>
    <w:p>
      <w:pPr>
        <w:ind w:firstLine="360"/>
        <w:spacing w:after="0" w:line="256"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in this prospectus under "Management—NASDAQ Listing Rules and Home Country Practices—Shareholder Approval.")</w:t>
      </w:r>
    </w:p>
    <w:p>
      <w:pPr>
        <w:spacing w:after="0" w:line="168" w:lineRule="exact"/>
        <w:rPr>
          <w:sz w:val="20"/>
          <w:szCs w:val="20"/>
          <w:color w:val="auto"/>
        </w:rPr>
      </w:pPr>
    </w:p>
    <w:p>
      <w:pPr>
        <w:ind w:right="140" w:firstLine="360"/>
        <w:spacing w:after="0" w:line="259" w:lineRule="auto"/>
        <w:rPr>
          <w:sz w:val="20"/>
          <w:szCs w:val="20"/>
          <w:color w:val="auto"/>
        </w:rPr>
      </w:pPr>
      <w:r>
        <w:rPr>
          <w:rFonts w:ascii="Arial" w:cs="Arial" w:eastAsia="Arial" w:hAnsi="Arial"/>
          <w:sz w:val="16"/>
          <w:szCs w:val="16"/>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 that have petitioned the court to approve the merger.</w:t>
      </w:r>
    </w:p>
    <w:p>
      <w:pPr>
        <w:spacing w:after="0" w:line="167"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6"/>
          <w:szCs w:val="16"/>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162" w:lineRule="exact"/>
        <w:rPr>
          <w:sz w:val="20"/>
          <w:szCs w:val="20"/>
          <w:color w:val="auto"/>
        </w:rPr>
      </w:pPr>
    </w:p>
    <w:p>
      <w:pPr>
        <w:ind w:right="300" w:firstLine="360"/>
        <w:spacing w:after="0" w:line="351" w:lineRule="auto"/>
        <w:rPr>
          <w:sz w:val="20"/>
          <w:szCs w:val="20"/>
          <w:color w:val="auto"/>
        </w:rPr>
      </w:pPr>
      <w:r>
        <w:rPr>
          <w:rFonts w:ascii="Arial" w:cs="Arial" w:eastAsia="Arial" w:hAnsi="Arial"/>
          <w:sz w:val="14"/>
          <w:szCs w:val="14"/>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Anti-takeover Measures under Israeli Law</w:t>
      </w:r>
    </w:p>
    <w:p>
      <w:pPr>
        <w:spacing w:after="0" w:line="200" w:lineRule="exact"/>
        <w:rPr>
          <w:sz w:val="20"/>
          <w:szCs w:val="20"/>
          <w:color w:val="auto"/>
        </w:rPr>
      </w:pPr>
    </w:p>
    <w:p>
      <w:pPr>
        <w:ind w:right="40" w:firstLine="360"/>
        <w:spacing w:after="0" w:line="254"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Borrowing Powers</w:t>
      </w:r>
    </w:p>
    <w:p>
      <w:pPr>
        <w:spacing w:after="0" w:line="204" w:lineRule="exact"/>
        <w:rPr>
          <w:sz w:val="20"/>
          <w:szCs w:val="20"/>
          <w:color w:val="auto"/>
        </w:rPr>
      </w:pPr>
    </w:p>
    <w:p>
      <w:pPr>
        <w:ind w:right="60" w:firstLine="360"/>
        <w:spacing w:after="0" w:line="264" w:lineRule="auto"/>
        <w:rPr>
          <w:sz w:val="20"/>
          <w:szCs w:val="20"/>
          <w:color w:val="auto"/>
        </w:rPr>
      </w:pPr>
      <w:r>
        <w:rPr>
          <w:rFonts w:ascii="Arial" w:cs="Arial" w:eastAsia="Arial" w:hAnsi="Arial"/>
          <w:sz w:val="16"/>
          <w:szCs w:val="16"/>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Changes in Capital</w:t>
      </w:r>
    </w:p>
    <w:p>
      <w:pPr>
        <w:spacing w:after="0" w:line="204"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and an issuance of shares for less than their nominal value, require the approval of both our Board of Directors and an Israeli court.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transfer agent in the United States will be Continental Stock Transfer &amp; Trust Company.</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260"/>
          </w:cols>
          <w:pgMar w:left="240" w:top="820" w:right="399" w:bottom="1440" w:gutter="0" w:footer="0" w:header="0"/>
        </w:sectPr>
      </w:pPr>
    </w:p>
    <w:bookmarkStart w:id="78" w:name="page79"/>
    <w:bookmarkEnd w:id="78"/>
    <w:p>
      <w:pPr>
        <w:jc w:val="center"/>
        <w:spacing w:after="0"/>
        <w:rPr>
          <w:sz w:val="20"/>
          <w:szCs w:val="20"/>
          <w:color w:val="auto"/>
        </w:rPr>
      </w:pPr>
      <w:r>
        <w:rPr>
          <w:rFonts w:ascii="Arial" w:cs="Arial" w:eastAsia="Arial" w:hAnsi="Arial"/>
          <w:sz w:val="16"/>
          <w:szCs w:val="16"/>
          <w:b w:val="1"/>
          <w:bCs w:val="1"/>
          <w:color w:val="auto"/>
        </w:rPr>
        <w:t>SHARES ELIGIBLE FOR FUTURE SALE</w:t>
      </w:r>
    </w:p>
    <w:p>
      <w:pPr>
        <w:spacing w:after="0" w:line="204" w:lineRule="exact"/>
        <w:rPr>
          <w:sz w:val="20"/>
          <w:szCs w:val="20"/>
          <w:color w:val="auto"/>
        </w:rPr>
      </w:pPr>
    </w:p>
    <w:p>
      <w:pPr>
        <w:ind w:right="100" w:firstLine="360"/>
        <w:spacing w:after="0" w:line="299" w:lineRule="auto"/>
        <w:rPr>
          <w:sz w:val="20"/>
          <w:szCs w:val="20"/>
          <w:color w:val="auto"/>
        </w:rPr>
      </w:pPr>
      <w:r>
        <w:rPr>
          <w:rFonts w:ascii="Arial" w:cs="Arial" w:eastAsia="Arial" w:hAnsi="Arial"/>
          <w:sz w:val="14"/>
          <w:szCs w:val="14"/>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their over-allotment option with respect to this offering and assuming no exercise of options outstanding following the offering, we will have an aggregate of 10,255,514 ordinary shares outstanding upon completion of this offering. Of these shares, the ordinary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42" w:lineRule="exact"/>
        <w:rPr>
          <w:sz w:val="20"/>
          <w:szCs w:val="20"/>
          <w:color w:val="auto"/>
        </w:rPr>
      </w:pPr>
    </w:p>
    <w:p>
      <w:pPr>
        <w:ind w:right="120" w:firstLine="360"/>
        <w:spacing w:after="0" w:line="289" w:lineRule="auto"/>
        <w:rPr>
          <w:sz w:val="20"/>
          <w:szCs w:val="20"/>
          <w:color w:val="auto"/>
        </w:rPr>
      </w:pPr>
      <w:r>
        <w:rPr>
          <w:rFonts w:ascii="Arial" w:cs="Arial" w:eastAsia="Arial" w:hAnsi="Arial"/>
          <w:sz w:val="15"/>
          <w:szCs w:val="15"/>
          <w:color w:val="auto"/>
        </w:rPr>
        <w:t>The remaining ordinary shares will be held by our existing shareholders. Because substantially all of these shares were sold outside the United States to persons residing outside the United States at the time, they also will be freely tradable without restriction or further registration, except that shares held by affiliates must be sold under Rule 144, and except for the lock-up restrictions described below. Further, substantially all of our outstanding shares are subject to the lock-up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agreements</w:t>
      </w:r>
    </w:p>
    <w:p>
      <w:pPr>
        <w:spacing w:after="0" w:line="204" w:lineRule="exact"/>
        <w:rPr>
          <w:sz w:val="20"/>
          <w:szCs w:val="20"/>
          <w:color w:val="auto"/>
        </w:rPr>
      </w:pPr>
    </w:p>
    <w:p>
      <w:pPr>
        <w:ind w:right="280" w:firstLine="360"/>
        <w:spacing w:after="0" w:line="259" w:lineRule="auto"/>
        <w:rPr>
          <w:sz w:val="20"/>
          <w:szCs w:val="20"/>
          <w:color w:val="auto"/>
        </w:rPr>
      </w:pPr>
      <w:r>
        <w:rPr>
          <w:rFonts w:ascii="Arial" w:cs="Arial" w:eastAsia="Arial" w:hAnsi="Arial"/>
          <w:sz w:val="16"/>
          <w:szCs w:val="16"/>
          <w:color w:val="auto"/>
        </w:rPr>
        <w:t>We, all of our directors and executive officers and holders of all of our outstanding ordinary shares have signed lock-up agreements pursuant to which, subject to certain exceptions, they have agreed not to sell or otherwise dispose of their ordinary shares or any securities convertible into or exchangeable for ordinary shares for a period of 180 days after the date of this prospectus without the prior written consent of Aegis Capital Corp. In addition, certain holders of options to purchase our shares have entered into similar lock-up agreements.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180-day lock-up period described in the preceding paragraph will be extended if:</w:t>
      </w:r>
    </w:p>
    <w:p>
      <w:pPr>
        <w:spacing w:after="0" w:line="200" w:lineRule="exact"/>
        <w:rPr>
          <w:sz w:val="20"/>
          <w:szCs w:val="20"/>
          <w:color w:val="auto"/>
        </w:rPr>
      </w:pPr>
    </w:p>
    <w:p>
      <w:pPr>
        <w:ind w:left="900" w:hanging="339"/>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the last 17 days of the 180-day lock-up period, we release earnings results or announce material news or a material event; or</w:t>
      </w:r>
    </w:p>
    <w:p>
      <w:pPr>
        <w:spacing w:after="0" w:line="200" w:lineRule="exact"/>
        <w:rPr>
          <w:rFonts w:ascii="Arial" w:cs="Arial" w:eastAsia="Arial" w:hAnsi="Arial"/>
          <w:sz w:val="16"/>
          <w:szCs w:val="16"/>
          <w:color w:val="auto"/>
        </w:rPr>
      </w:pPr>
    </w:p>
    <w:p>
      <w:pPr>
        <w:ind w:left="900" w:right="120" w:hanging="339"/>
        <w:spacing w:after="0" w:line="277"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prior to the expiration of the 180-day lock-up period, we announce that we will release earnings results during the 15-day period following the last day of the 180-day period,</w:t>
      </w:r>
    </w:p>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in which case the restrictions described in the preceding paragraph will continue to apply until the expiration of the 18-day period beginning on the date of release of the earnings results or the announcement of the material news or material event, unless such extension is waived, in writing, by Aegis Capital Corp.</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144</w:t>
      </w:r>
    </w:p>
    <w:p>
      <w:pPr>
        <w:spacing w:after="0" w:line="204" w:lineRule="exact"/>
        <w:rPr>
          <w:sz w:val="20"/>
          <w:szCs w:val="20"/>
          <w:color w:val="auto"/>
        </w:rPr>
      </w:pPr>
    </w:p>
    <w:p>
      <w:pPr>
        <w:ind w:firstLine="392"/>
        <w:spacing w:after="0" w:line="282" w:lineRule="auto"/>
        <w:rPr>
          <w:sz w:val="20"/>
          <w:szCs w:val="20"/>
          <w:color w:val="auto"/>
        </w:rPr>
      </w:pPr>
      <w:r>
        <w:rPr>
          <w:rFonts w:ascii="Arial" w:cs="Arial" w:eastAsia="Arial" w:hAnsi="Arial"/>
          <w:sz w:val="15"/>
          <w:szCs w:val="15"/>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50" w:lineRule="exact"/>
        <w:rPr>
          <w:sz w:val="20"/>
          <w:szCs w:val="20"/>
          <w:color w:val="auto"/>
        </w:rPr>
      </w:pPr>
    </w:p>
    <w:p>
      <w:pPr>
        <w:ind w:right="400" w:firstLine="392"/>
        <w:spacing w:after="0" w:line="264" w:lineRule="auto"/>
        <w:rPr>
          <w:sz w:val="20"/>
          <w:szCs w:val="20"/>
          <w:color w:val="auto"/>
        </w:rPr>
      </w:pPr>
      <w:r>
        <w:rPr>
          <w:rFonts w:ascii="Arial" w:cs="Arial" w:eastAsia="Arial" w:hAnsi="Arial"/>
          <w:sz w:val="16"/>
          <w:szCs w:val="16"/>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62" w:lineRule="exact"/>
        <w:rPr>
          <w:sz w:val="20"/>
          <w:szCs w:val="20"/>
          <w:color w:val="auto"/>
        </w:rPr>
      </w:pPr>
    </w:p>
    <w:p>
      <w:pPr>
        <w:ind w:left="720" w:hanging="364"/>
        <w:spacing w:after="0"/>
        <w:tabs>
          <w:tab w:leader="none" w:pos="720" w:val="left"/>
        </w:tabs>
        <w:numPr>
          <w:ilvl w:val="0"/>
          <w:numId w:val="74"/>
        </w:numPr>
        <w:rPr>
          <w:rFonts w:ascii="Arial" w:cs="Arial" w:eastAsia="Arial" w:hAnsi="Arial"/>
          <w:sz w:val="16"/>
          <w:szCs w:val="16"/>
          <w:color w:val="A6A6A6"/>
        </w:rPr>
      </w:pPr>
      <w:r>
        <w:rPr>
          <w:rFonts w:ascii="Arial" w:cs="Arial" w:eastAsia="Arial" w:hAnsi="Arial"/>
          <w:sz w:val="16"/>
          <w:szCs w:val="16"/>
          <w:color w:val="auto"/>
        </w:rPr>
        <w:t>one percent of the number of ordinary shares then outstanding, which will equal 102,555 shares; or</w:t>
      </w:r>
    </w:p>
    <w:p>
      <w:pPr>
        <w:spacing w:after="0" w:line="200" w:lineRule="exact"/>
        <w:rPr>
          <w:rFonts w:ascii="Arial" w:cs="Arial" w:eastAsia="Arial" w:hAnsi="Arial"/>
          <w:sz w:val="16"/>
          <w:szCs w:val="16"/>
          <w:color w:val="A6A6A6"/>
        </w:rPr>
      </w:pPr>
    </w:p>
    <w:p>
      <w:pPr>
        <w:ind w:left="720" w:right="620" w:hanging="364"/>
        <w:spacing w:after="0" w:line="277" w:lineRule="auto"/>
        <w:tabs>
          <w:tab w:leader="none" w:pos="720" w:val="left"/>
        </w:tabs>
        <w:numPr>
          <w:ilvl w:val="0"/>
          <w:numId w:val="74"/>
        </w:numPr>
        <w:rPr>
          <w:rFonts w:ascii="Arial" w:cs="Arial" w:eastAsia="Arial" w:hAnsi="Arial"/>
          <w:sz w:val="16"/>
          <w:szCs w:val="16"/>
          <w:color w:val="A6A6A6"/>
        </w:rPr>
      </w:pPr>
      <w:r>
        <w:rPr>
          <w:rFonts w:ascii="Arial" w:cs="Arial" w:eastAsia="Arial" w:hAnsi="Arial"/>
          <w:sz w:val="16"/>
          <w:szCs w:val="16"/>
          <w:color w:val="auto"/>
        </w:rPr>
        <w:t>the average weekly trading volume of our ordinary shares on the NASDAQ Capital Market during the four calendar weeks preceding the filing of a notice on Form 144 with respect to the sale.</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an affiliate acquires “restricted securities,” those securities will also be subject to holding period requirements.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79" w:name="page80"/>
    <w:bookmarkEnd w:id="79"/>
    <w:p>
      <w:pPr>
        <w:ind w:right="220" w:firstLine="392"/>
        <w:spacing w:after="0" w:line="277" w:lineRule="auto"/>
        <w:rPr>
          <w:sz w:val="20"/>
          <w:szCs w:val="20"/>
          <w:color w:val="auto"/>
        </w:rPr>
      </w:pPr>
      <w:r>
        <w:rPr>
          <w:rFonts w:ascii="Arial" w:cs="Arial" w:eastAsia="Arial" w:hAnsi="Arial"/>
          <w:sz w:val="16"/>
          <w:szCs w:val="16"/>
          <w:color w:val="auto"/>
        </w:rPr>
        <w:t>Upon expiration of the 180-day lock-up period described above, substantially all of our outstanding ordinary shares will either be unrestricted or will be eligible for sale under Rule 144. We cannot estimate the number of our ordinary shares that our existing stockholders will elect to sell.</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S-8 Registration Statements</w:t>
      </w:r>
    </w:p>
    <w:p>
      <w:pPr>
        <w:spacing w:after="0" w:line="204" w:lineRule="exact"/>
        <w:rPr>
          <w:sz w:val="20"/>
          <w:szCs w:val="20"/>
          <w:color w:val="auto"/>
        </w:rPr>
      </w:pPr>
    </w:p>
    <w:p>
      <w:pPr>
        <w:ind w:firstLine="288"/>
        <w:spacing w:after="0" w:line="257" w:lineRule="auto"/>
        <w:rPr>
          <w:sz w:val="20"/>
          <w:szCs w:val="20"/>
          <w:color w:val="auto"/>
        </w:rPr>
      </w:pPr>
      <w:r>
        <w:rPr>
          <w:rFonts w:ascii="Arial" w:cs="Arial" w:eastAsia="Arial" w:hAnsi="Arial"/>
          <w:sz w:val="16"/>
          <w:szCs w:val="16"/>
          <w:color w:val="auto"/>
        </w:rPr>
        <w:t>Following the completion of this offering, we intend to file one or more registration statements on Form S-8 under the Securities Act to register up the ordinary shares issued or reserved for issuance under our 2010 Plan. The registration statement on Form S-8 will become effective automatically upon filing. Ordinary shares issued upon exercise of a share option and registered under the Form S-8 registration statement will, subject to vesting and lock-up provisions and Rule 144 volume limitations applicable to our affiliates, be available for sale in the open market immediately unless they are subject to the 180-day lock-up or, if subject to the lock-up, immediately after the 180-day lock-up period expires.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b w:val="1"/>
          <w:bCs w:val="1"/>
          <w:color w:val="auto"/>
        </w:rPr>
        <w:t>TAXATION</w:t>
      </w:r>
    </w:p>
    <w:p>
      <w:pPr>
        <w:spacing w:after="0" w:line="204" w:lineRule="exact"/>
        <w:rPr>
          <w:sz w:val="20"/>
          <w:szCs w:val="20"/>
          <w:color w:val="auto"/>
        </w:rPr>
      </w:pPr>
    </w:p>
    <w:p>
      <w:pPr>
        <w:jc w:val="both"/>
        <w:ind w:right="300"/>
        <w:spacing w:after="0" w:line="264" w:lineRule="auto"/>
        <w:rPr>
          <w:sz w:val="20"/>
          <w:szCs w:val="20"/>
          <w:color w:val="auto"/>
        </w:rPr>
      </w:pPr>
      <w:r>
        <w:rPr>
          <w:rFonts w:ascii="Arial" w:cs="Arial" w:eastAsia="Arial" w:hAnsi="Arial"/>
          <w:sz w:val="16"/>
          <w:szCs w:val="16"/>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ISRAELI TAX CONSIDERATIONS</w:t>
      </w:r>
    </w:p>
    <w:p>
      <w:pPr>
        <w:spacing w:after="0" w:line="204" w:lineRule="exact"/>
        <w:rPr>
          <w:sz w:val="20"/>
          <w:szCs w:val="20"/>
          <w:color w:val="auto"/>
        </w:rPr>
      </w:pPr>
    </w:p>
    <w:p>
      <w:pPr>
        <w:ind w:right="100" w:firstLine="360"/>
        <w:spacing w:after="0" w:line="255"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General corporate tax structure in Israel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resident companies, such as the Company, are generally subject to corporate tax at the rate of 25% of their taxable income in 2013.</w:t>
      </w:r>
    </w:p>
    <w:p>
      <w:pPr>
        <w:spacing w:after="0" w:line="200" w:lineRule="exact"/>
        <w:rPr>
          <w:sz w:val="20"/>
          <w:szCs w:val="20"/>
          <w:color w:val="auto"/>
        </w:rPr>
      </w:pPr>
    </w:p>
    <w:p>
      <w:pPr>
        <w:ind w:right="60" w:firstLine="360"/>
        <w:spacing w:after="0" w:line="351" w:lineRule="auto"/>
        <w:rPr>
          <w:sz w:val="20"/>
          <w:szCs w:val="20"/>
          <w:color w:val="auto"/>
        </w:rPr>
      </w:pPr>
      <w:r>
        <w:rPr>
          <w:rFonts w:ascii="Arial" w:cs="Arial" w:eastAsia="Arial" w:hAnsi="Arial"/>
          <w:sz w:val="14"/>
          <w:szCs w:val="14"/>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Taxation of our Israeli individual shareholders on receipt of dividends</w:t>
      </w:r>
    </w:p>
    <w:p>
      <w:pPr>
        <w:spacing w:after="0" w:line="200"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6"/>
          <w:szCs w:val="16"/>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62" w:lineRule="exact"/>
        <w:rPr>
          <w:sz w:val="20"/>
          <w:szCs w:val="20"/>
          <w:color w:val="auto"/>
        </w:rPr>
      </w:pPr>
    </w:p>
    <w:p>
      <w:pPr>
        <w:ind w:right="60" w:firstLine="360"/>
        <w:spacing w:after="0" w:line="312" w:lineRule="auto"/>
        <w:rPr>
          <w:sz w:val="20"/>
          <w:szCs w:val="20"/>
          <w:color w:val="auto"/>
        </w:rPr>
      </w:pPr>
      <w:r>
        <w:rPr>
          <w:rFonts w:ascii="Arial" w:cs="Arial" w:eastAsia="Arial" w:hAnsi="Arial"/>
          <w:sz w:val="15"/>
          <w:szCs w:val="15"/>
          <w:color w:val="auto"/>
        </w:rPr>
        <w:t>Recently, the Israeli Parliament passed the Reduction the Deficit and Coping with Implications resulting from the Global Economic Crisis (Legislative Amendments), 2012 according to which starting in 2013, an additional income tax at a rate of 2% will be imposed on high earners whose annual income or gains exceed NIS 811,560.</w:t>
      </w:r>
    </w:p>
    <w:p>
      <w:pPr>
        <w:spacing w:after="0" w:line="128" w:lineRule="exact"/>
        <w:rPr>
          <w:sz w:val="20"/>
          <w:szCs w:val="20"/>
          <w:color w:val="auto"/>
        </w:rPr>
      </w:pPr>
    </w:p>
    <w:p>
      <w:pPr>
        <w:ind w:right="100" w:firstLine="360"/>
        <w:spacing w:after="0" w:line="259" w:lineRule="auto"/>
        <w:rPr>
          <w:sz w:val="20"/>
          <w:szCs w:val="20"/>
          <w:color w:val="auto"/>
        </w:rPr>
      </w:pPr>
      <w:r>
        <w:rPr>
          <w:rFonts w:ascii="Arial" w:cs="Arial" w:eastAsia="Arial" w:hAnsi="Arial"/>
          <w:sz w:val="16"/>
          <w:szCs w:val="16"/>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67" w:lineRule="exact"/>
        <w:rPr>
          <w:sz w:val="20"/>
          <w:szCs w:val="20"/>
          <w:color w:val="auto"/>
        </w:rPr>
      </w:pPr>
    </w:p>
    <w:p>
      <w:pPr>
        <w:ind w:firstLine="360"/>
        <w:spacing w:after="0" w:line="254" w:lineRule="auto"/>
        <w:rPr>
          <w:sz w:val="20"/>
          <w:szCs w:val="20"/>
          <w:color w:val="auto"/>
        </w:rPr>
      </w:pPr>
      <w:r>
        <w:rPr>
          <w:rFonts w:ascii="Arial" w:cs="Arial" w:eastAsia="Arial" w:hAnsi="Arial"/>
          <w:sz w:val="16"/>
          <w:szCs w:val="16"/>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81" w:name="page82"/>
    <w:bookmarkEnd w:id="81"/>
    <w:p>
      <w:pPr>
        <w:ind w:left="360"/>
        <w:spacing w:after="0"/>
        <w:rPr>
          <w:sz w:val="20"/>
          <w:szCs w:val="20"/>
          <w:color w:val="auto"/>
        </w:rPr>
      </w:pPr>
      <w:r>
        <w:rPr>
          <w:rFonts w:ascii="Arial" w:cs="Arial" w:eastAsia="Arial" w:hAnsi="Arial"/>
          <w:sz w:val="16"/>
          <w:szCs w:val="16"/>
          <w:b w:val="1"/>
          <w:bCs w:val="1"/>
          <w:i w:val="1"/>
          <w:iCs w:val="1"/>
          <w:color w:val="auto"/>
        </w:rPr>
        <w:t>Taxation of Israeli Resident Corporations on Receipt of Dividends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resident corporations are generally exempt from Israeli corporate income tax with respect to dividends paid on our ordinary shares.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Capital Gains Taxes Applicable to Israeli Resident Shareholders</w:t>
      </w:r>
    </w:p>
    <w:p>
      <w:pPr>
        <w:spacing w:after="0" w:line="200"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Recently, the Israeli Parliament passed the Reduction of Deficit and Coping with Implications resulting from the Global Economic Crisis (Legislative Amendments), 2012 according to which starting in 2013, an additional tax at a rate of 2% will be imposed on high earners whose annual income or gains exceed NIS 811,560.</w:t>
      </w:r>
    </w:p>
    <w:p>
      <w:pPr>
        <w:spacing w:after="0" w:line="168" w:lineRule="exact"/>
        <w:rPr>
          <w:sz w:val="20"/>
          <w:szCs w:val="20"/>
          <w:color w:val="auto"/>
        </w:rPr>
      </w:pPr>
    </w:p>
    <w:p>
      <w:pPr>
        <w:ind w:right="20" w:firstLine="360"/>
        <w:spacing w:after="0" w:line="277" w:lineRule="auto"/>
        <w:rPr>
          <w:sz w:val="20"/>
          <w:szCs w:val="20"/>
          <w:color w:val="auto"/>
        </w:rPr>
      </w:pPr>
      <w:r>
        <w:rPr>
          <w:rFonts w:ascii="Arial" w:cs="Arial" w:eastAsia="Arial" w:hAnsi="Arial"/>
          <w:sz w:val="16"/>
          <w:szCs w:val="16"/>
          <w:color w:val="auto"/>
        </w:rPr>
        <w:t>Moreover, capital gains derived by a shareholder who is a dealer or trader in securities, or to whom such income is otherwise taxable as ordinary business income, are taxed in Israel at ordinary income rates (currently, 25% for corporations and up to 50% for individuals in 2013).</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Taxation of Non-Israeli Shareholders on Receipt of Dividends</w:t>
      </w:r>
    </w:p>
    <w:p>
      <w:pPr>
        <w:spacing w:after="0" w:line="200"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6"/>
          <w:szCs w:val="16"/>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62" w:lineRule="exact"/>
        <w:rPr>
          <w:sz w:val="20"/>
          <w:szCs w:val="20"/>
          <w:color w:val="auto"/>
        </w:rPr>
      </w:pPr>
    </w:p>
    <w:p>
      <w:pPr>
        <w:ind w:right="200" w:firstLine="360"/>
        <w:spacing w:after="0" w:line="312" w:lineRule="auto"/>
        <w:rPr>
          <w:sz w:val="20"/>
          <w:szCs w:val="20"/>
          <w:color w:val="auto"/>
        </w:rPr>
      </w:pPr>
      <w:r>
        <w:rPr>
          <w:rFonts w:ascii="Arial" w:cs="Arial" w:eastAsia="Arial" w:hAnsi="Arial"/>
          <w:sz w:val="15"/>
          <w:szCs w:val="15"/>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28" w:lineRule="exact"/>
        <w:rPr>
          <w:sz w:val="20"/>
          <w:szCs w:val="20"/>
          <w:color w:val="auto"/>
        </w:rPr>
      </w:pPr>
    </w:p>
    <w:p>
      <w:pPr>
        <w:ind w:right="40" w:firstLine="360"/>
        <w:spacing w:after="0" w:line="302" w:lineRule="auto"/>
        <w:rPr>
          <w:sz w:val="20"/>
          <w:szCs w:val="20"/>
          <w:color w:val="auto"/>
        </w:rPr>
      </w:pPr>
      <w:r>
        <w:rPr>
          <w:rFonts w:ascii="Arial" w:cs="Arial" w:eastAsia="Arial" w:hAnsi="Arial"/>
          <w:sz w:val="14"/>
          <w:szCs w:val="14"/>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Capital gains income taxes applicable to non-Israeli shareholders.</w:t>
      </w:r>
    </w:p>
    <w:p>
      <w:pPr>
        <w:spacing w:after="0" w:line="200" w:lineRule="exact"/>
        <w:rPr>
          <w:sz w:val="20"/>
          <w:szCs w:val="20"/>
          <w:color w:val="auto"/>
        </w:rPr>
      </w:pPr>
    </w:p>
    <w:p>
      <w:pPr>
        <w:ind w:firstLine="360"/>
        <w:spacing w:after="0" w:line="308" w:lineRule="auto"/>
        <w:rPr>
          <w:sz w:val="20"/>
          <w:szCs w:val="20"/>
          <w:color w:val="auto"/>
        </w:rPr>
      </w:pPr>
      <w:r>
        <w:rPr>
          <w:rFonts w:ascii="Arial" w:cs="Arial" w:eastAsia="Arial" w:hAnsi="Arial"/>
          <w:sz w:val="14"/>
          <w:szCs w:val="14"/>
          <w:color w:val="auto"/>
        </w:rPr>
        <w:t>Non-Israeli resident shareholders are generally exempt from Israeli capital gains tax on any gains derived from the sale, exchange or disposition of our ordinary shares, provided that such shareholders did not acquire their shares prior to January 1, 2009 and such gains were not derived from a permanent establishment or business activity of such shareholders in Israel. However, non-Israeli corporations will not be entitled to the foregoing exemptions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35" w:lineRule="exact"/>
        <w:rPr>
          <w:sz w:val="20"/>
          <w:szCs w:val="20"/>
          <w:color w:val="auto"/>
        </w:rPr>
      </w:pPr>
    </w:p>
    <w:p>
      <w:pPr>
        <w:ind w:right="60" w:firstLine="360"/>
        <w:spacing w:after="0" w:line="297" w:lineRule="auto"/>
        <w:rPr>
          <w:sz w:val="20"/>
          <w:szCs w:val="20"/>
          <w:color w:val="auto"/>
        </w:rPr>
      </w:pPr>
      <w:r>
        <w:rPr>
          <w:rFonts w:ascii="Arial" w:cs="Arial" w:eastAsia="Arial" w:hAnsi="Arial"/>
          <w:sz w:val="14"/>
          <w:szCs w:val="14"/>
          <w:color w:val="auto"/>
        </w:rPr>
        <w:t>In addition, a sale of securities may be exempt from Israeli capital gains tax under the provisions of an applicable tax treaty. For example, under the US-Israel Income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(called a "Treaty U.S. Resident") is generally exempt from Israeli capital gains tax unless (i) such Treaty U.S. Resident is an individual and was present in Israel for more than 183 days during the relevant taxable year; (ii) such Treaty U.S. Resident holds, directly or indirectly, shares representing 10% or more of our voting power during any part of the 12 month period preceding such sale, exchange or disposition, subject to certain conditions; or (iii) the capital gains arising from such sale, exchange or disposition are attributable to a permanent establishment of the Treaty U.S. Resident located in Israel. In any such case, the sale, exchange or disposition of ordinary shares would be subject to Israeli tax, to the extent applicable.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2" w:name="page83"/>
    <w:bookmarkEnd w:id="82"/>
    <w:p>
      <w:pPr>
        <w:jc w:val="both"/>
        <w:ind w:right="80" w:firstLine="360"/>
        <w:spacing w:after="0" w:line="264" w:lineRule="auto"/>
        <w:rPr>
          <w:sz w:val="20"/>
          <w:szCs w:val="20"/>
          <w:color w:val="auto"/>
        </w:rPr>
      </w:pPr>
      <w:r>
        <w:rPr>
          <w:rFonts w:ascii="Arial" w:cs="Arial" w:eastAsia="Arial" w:hAnsi="Arial"/>
          <w:sz w:val="16"/>
          <w:szCs w:val="16"/>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Estate and gift tax</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law presently does not impose estate or gift taxes.</w:t>
      </w:r>
    </w:p>
    <w:p>
      <w:pPr>
        <w:spacing w:after="0" w:line="196" w:lineRule="exact"/>
        <w:rPr>
          <w:sz w:val="20"/>
          <w:szCs w:val="20"/>
          <w:color w:val="auto"/>
        </w:rPr>
      </w:pPr>
    </w:p>
    <w:p>
      <w:pPr>
        <w:ind w:right="200" w:firstLine="360"/>
        <w:spacing w:after="0" w:line="266" w:lineRule="auto"/>
        <w:rPr>
          <w:sz w:val="20"/>
          <w:szCs w:val="20"/>
          <w:color w:val="auto"/>
        </w:rPr>
      </w:pPr>
      <w:r>
        <w:rPr>
          <w:rFonts w:ascii="Arial" w:cs="Arial" w:eastAsia="Arial" w:hAnsi="Arial"/>
          <w:sz w:val="16"/>
          <w:szCs w:val="16"/>
          <w:b w:val="1"/>
          <w:bCs w:val="1"/>
          <w:color w:val="auto"/>
        </w:rPr>
        <w:t>EACH PROSPECTIVE INVESTOR SHOULD CONSULT ITS OWN TAX ADVISOR REGARDING THE PARTICULAR ISRAELI TAX CONSEQUENCES OF PURCHASING, HOLDING, AND DISPOSING OF OUR ORDINARY SHARES, INCLUDING THE CONSEQUENCES OF ANY PROPOSED CHANGE IN APPLICABLE LAWS.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U.S. FEDERAL INCOME TAX CONSEQUENCES</w:t>
      </w:r>
    </w:p>
    <w:p>
      <w:pPr>
        <w:spacing w:after="0" w:line="204" w:lineRule="exact"/>
        <w:rPr>
          <w:sz w:val="20"/>
          <w:szCs w:val="20"/>
          <w:color w:val="auto"/>
        </w:rPr>
      </w:pPr>
    </w:p>
    <w:p>
      <w:pPr>
        <w:ind w:right="20" w:firstLine="360"/>
        <w:spacing w:after="0" w:line="293" w:lineRule="auto"/>
        <w:rPr>
          <w:sz w:val="20"/>
          <w:szCs w:val="20"/>
          <w:color w:val="auto"/>
        </w:rPr>
      </w:pPr>
      <w:r>
        <w:rPr>
          <w:rFonts w:ascii="Arial" w:cs="Arial" w:eastAsia="Arial" w:hAnsi="Arial"/>
          <w:sz w:val="14"/>
          <w:szCs w:val="14"/>
          <w:color w:val="auto"/>
        </w:rPr>
        <w:t>Except as specifically set forth below, the following discussion is limited to the material U.S. federal income tax consequences relating to the purchase, ownership and disposition of our ordinary shares by U.S. Holders (as defined below) that purchase ordinary shares pursuant to the offering and hold such ordinary shares as capital assets.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that have a "functional currency" other than the U.S. dollar, persons that own (or are deemed to own) 10% or more (by voting power or value) of our shares, corporations that accumulate earnings to avoid U.S. federal income tax, partnerships and other pass-through entities, and investors in such pass-through entities). Except as expressly set forth herein, this discussion does not address any U.S. state or local or non-U.S. tax consequences or any U.S. federal estate, gift or alternative minimum tax consequences.</w:t>
      </w:r>
    </w:p>
    <w:p>
      <w:pPr>
        <w:spacing w:after="0" w:line="144" w:lineRule="exact"/>
        <w:rPr>
          <w:sz w:val="20"/>
          <w:szCs w:val="20"/>
          <w:color w:val="auto"/>
        </w:rPr>
      </w:pPr>
    </w:p>
    <w:p>
      <w:pPr>
        <w:ind w:right="20" w:firstLine="360"/>
        <w:spacing w:after="0" w:line="302" w:lineRule="auto"/>
        <w:rPr>
          <w:sz w:val="20"/>
          <w:szCs w:val="20"/>
          <w:color w:val="auto"/>
        </w:rPr>
      </w:pPr>
      <w:r>
        <w:rPr>
          <w:rFonts w:ascii="Arial" w:cs="Arial" w:eastAsia="Arial" w:hAnsi="Arial"/>
          <w:sz w:val="14"/>
          <w:szCs w:val="14"/>
          <w:color w:val="auto"/>
        </w:rPr>
        <w:t>As used in this discussion, the term "U.S. Holder" means a beneficial owner of ordinary shares that is, for U.S. federal income tax purposes, (i) an individual who is a citizen or resident of the United States, (ii) a corporation (or entity treated as a corporation for U.S. federal income tax purposes)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40" w:lineRule="exact"/>
        <w:rPr>
          <w:sz w:val="20"/>
          <w:szCs w:val="20"/>
          <w:color w:val="auto"/>
        </w:rPr>
      </w:pPr>
    </w:p>
    <w:p>
      <w:pPr>
        <w:ind w:firstLine="360"/>
        <w:spacing w:after="0" w:line="289" w:lineRule="auto"/>
        <w:rPr>
          <w:sz w:val="20"/>
          <w:szCs w:val="20"/>
          <w:color w:val="auto"/>
        </w:rPr>
      </w:pPr>
      <w:r>
        <w:rPr>
          <w:rFonts w:ascii="Arial" w:cs="Arial" w:eastAsia="Arial" w:hAnsi="Arial"/>
          <w:sz w:val="15"/>
          <w:szCs w:val="15"/>
          <w:color w:val="auto"/>
        </w:rPr>
        <w:t>If an entity treated as a partnership for U.S. federal income tax purposes holds the ordinary shares, the U.S. federal income tax consequences relating to an investment in the ordinary shares will depend in part upon the status and activities of such entity and the particular partner. Any such entity should consult its own tax advisor regarding the U.S. federal income tax consequences applicable to it and its partners of the purchase, ownership and disposition of the ordinary shares.</w:t>
      </w:r>
    </w:p>
    <w:p>
      <w:pPr>
        <w:spacing w:after="0" w:line="142" w:lineRule="exact"/>
        <w:rPr>
          <w:sz w:val="20"/>
          <w:szCs w:val="20"/>
          <w:color w:val="auto"/>
        </w:rPr>
      </w:pPr>
    </w:p>
    <w:p>
      <w:pPr>
        <w:ind w:right="20" w:firstLine="288"/>
        <w:spacing w:after="0" w:line="357" w:lineRule="auto"/>
        <w:rPr>
          <w:sz w:val="20"/>
          <w:szCs w:val="20"/>
          <w:color w:val="auto"/>
        </w:rPr>
      </w:pPr>
      <w:r>
        <w:rPr>
          <w:rFonts w:ascii="Arial" w:cs="Arial" w:eastAsia="Arial" w:hAnsi="Arial"/>
          <w:sz w:val="14"/>
          <w:szCs w:val="14"/>
          <w:b w:val="1"/>
          <w:bCs w:val="1"/>
          <w:color w:val="auto"/>
        </w:rPr>
        <w:t>Persons considering an investment in the ordinary shares should consult their own tax advisors as to the particular tax consequences applicable to them relating to the purchase, ownership and disposition of the ordinary shares, including the applicability of U.S. federal, state and local tax laws and non-U.S. tax laws.</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Distributions</w:t>
      </w:r>
    </w:p>
    <w:p>
      <w:pPr>
        <w:spacing w:after="0" w:line="200" w:lineRule="exact"/>
        <w:rPr>
          <w:sz w:val="20"/>
          <w:szCs w:val="20"/>
          <w:color w:val="auto"/>
        </w:rPr>
      </w:pPr>
    </w:p>
    <w:p>
      <w:pPr>
        <w:ind w:right="60" w:firstLine="360"/>
        <w:spacing w:after="0" w:line="274" w:lineRule="auto"/>
        <w:rPr>
          <w:sz w:val="20"/>
          <w:szCs w:val="20"/>
          <w:color w:val="auto"/>
        </w:rPr>
      </w:pPr>
      <w:r>
        <w:rPr>
          <w:rFonts w:ascii="Arial" w:cs="Arial" w:eastAsia="Arial" w:hAnsi="Arial"/>
          <w:sz w:val="15"/>
          <w:szCs w:val="15"/>
          <w:color w:val="auto"/>
        </w:rPr>
        <w:t>Subject to the discussion below under "Passive foreign investment company consequences," a U.S. Holder that receives a distribution with respect to an ordinary share generally will be required to include the amount of such distribution in gross income as a dividend (without reduction for any Israeli tax withheld from such distribution)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shares, the remainder will be taxed as capital gain. Because we do not account for our income in accordance with U.S. federal income tax purposes, U.S. Holders should expect all distributions to be reported to them as dividends.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3" w:name="page84"/>
    <w:bookmarkEnd w:id="83"/>
    <w:p>
      <w:pPr>
        <w:ind w:firstLine="360"/>
        <w:spacing w:after="0" w:line="276" w:lineRule="auto"/>
        <w:rPr>
          <w:sz w:val="20"/>
          <w:szCs w:val="20"/>
          <w:color w:val="auto"/>
        </w:rPr>
      </w:pPr>
      <w:r>
        <w:rPr>
          <w:rFonts w:ascii="Arial" w:cs="Arial" w:eastAsia="Arial" w:hAnsi="Arial"/>
          <w:sz w:val="15"/>
          <w:szCs w:val="15"/>
          <w:color w:val="auto"/>
        </w:rPr>
        <w:t>The U.S. dollar value of any distribution on the ordinary shares made in NIS generally should be calculated by reference to the exchange rate between the U.S. dollar and the NIS in effect on the date of receipt of such distribution by the U.S. Holder regardless of whether the NIS so received is in fact converted into U.S. dollars at that time. If the NIS so received is converted into U.S. dollars on the date of receipt, such U.S. Holder generally should not recognize currency gain or loss on such conversion. If the NIS so received is not converted into U.S. dollars on the date of receipt, such U.S. Holder generally will have a basis in such NIS equal to the U.S. dollar value of such NIS on the date of receipt. Any gain or loss on a subsequent conversion or other disposition of such NIS by such U.S. Holder generally will be treated as ordinary income or loss and generally will be income or loss from sources within the United States for U.S. foreign tax credit purposes.</w:t>
      </w:r>
    </w:p>
    <w:p>
      <w:pPr>
        <w:spacing w:after="0" w:line="155" w:lineRule="exact"/>
        <w:rPr>
          <w:sz w:val="20"/>
          <w:szCs w:val="20"/>
          <w:color w:val="auto"/>
        </w:rPr>
      </w:pPr>
    </w:p>
    <w:p>
      <w:pPr>
        <w:ind w:right="20" w:firstLine="360"/>
        <w:spacing w:after="0" w:line="274" w:lineRule="auto"/>
        <w:rPr>
          <w:sz w:val="20"/>
          <w:szCs w:val="20"/>
          <w:color w:val="auto"/>
        </w:rPr>
      </w:pPr>
      <w:r>
        <w:rPr>
          <w:rFonts w:ascii="Arial" w:cs="Arial" w:eastAsia="Arial" w:hAnsi="Arial"/>
          <w:sz w:val="15"/>
          <w:szCs w:val="15"/>
          <w:color w:val="auto"/>
        </w:rPr>
        <w:t>Distributions on the ordinary shares that are treated as dividends generally will constitute income from sources outside the United States for foreign tax credit purposes. Such dividends will not be eligible for the "dividends received" deduction generally allowed to corporate shareholders with respect to dividends received from U.S. corporations. Distributions treated as dividends that are received by non-corporate U.S. Holders before January 1, 2013 are expected to qualify for the 15% reduced maximum tax rate available for dividends received from "qualified foreign corporation" provided certain holding periods and other requirements are met. Absent a change in current law, dividends received by a U.S. Holder from us on or after January 1, 2013, will be taxed at regular ordinary income tax rates. We will not be treated as a qualifying foreign corporation, and therefore the reduced maximum tax rate in effect for 2012 described above will not apply, if we are a PFIC for the taxable year in which the dividend is paid or the preceding taxable year (see "Passive foreign investment company consequences," below).</w:t>
      </w:r>
    </w:p>
    <w:p>
      <w:pPr>
        <w:spacing w:after="0" w:line="159" w:lineRule="exact"/>
        <w:rPr>
          <w:sz w:val="20"/>
          <w:szCs w:val="20"/>
          <w:color w:val="auto"/>
        </w:rPr>
      </w:pPr>
    </w:p>
    <w:p>
      <w:pPr>
        <w:ind w:right="20" w:firstLine="360"/>
        <w:spacing w:after="0" w:line="257" w:lineRule="auto"/>
        <w:rPr>
          <w:sz w:val="20"/>
          <w:szCs w:val="20"/>
          <w:color w:val="auto"/>
        </w:rPr>
      </w:pPr>
      <w:r>
        <w:rPr>
          <w:rFonts w:ascii="Arial" w:cs="Arial" w:eastAsia="Arial" w:hAnsi="Arial"/>
          <w:sz w:val="16"/>
          <w:szCs w:val="16"/>
          <w:color w:val="auto"/>
        </w:rPr>
        <w:t>Distributions may be subject to Israeli withholding tax—see—"Taxation—Israeli tax considerations—Taxation of our shareholders—Taxation of non-Israeli shareholders on receipt of dividends." Subject to certain conditions and limitations, Israeli taxes withheld from distributions by us may be credited against a U.S. Holder's U.S. federal income tax liability or, alternatively, deducted to determine the U.S. Holder's taxable income. This election to deduct foreign income taxes is made on a year-by-year basis and applies to all foreign taxes paid by a U.S. Holder that year. Dividends paid on the ordinary shares generally will constitute income from sources outside the United States and be categorized as "passive category income" for U.S. foreign tax credit purposes.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Sale, exchange or other disposition of the ordinary shares</w:t>
      </w:r>
    </w:p>
    <w:p>
      <w:pPr>
        <w:spacing w:after="0" w:line="200" w:lineRule="exact"/>
        <w:rPr>
          <w:sz w:val="20"/>
          <w:szCs w:val="20"/>
          <w:color w:val="auto"/>
        </w:rPr>
      </w:pPr>
    </w:p>
    <w:p>
      <w:pPr>
        <w:ind w:right="40" w:firstLine="360"/>
        <w:spacing w:after="0" w:line="254" w:lineRule="auto"/>
        <w:rPr>
          <w:sz w:val="20"/>
          <w:szCs w:val="20"/>
          <w:color w:val="auto"/>
        </w:rPr>
      </w:pPr>
      <w:r>
        <w:rPr>
          <w:rFonts w:ascii="Arial" w:cs="Arial" w:eastAsia="Arial" w:hAnsi="Arial"/>
          <w:sz w:val="16"/>
          <w:szCs w:val="16"/>
          <w:color w:val="auto"/>
        </w:rPr>
        <w:t>Subject to the discussion below under "Passive foreign investment company consequences," a U.S. Holder generally will recognize capital gain or loss for U.S. federal income tax purposes upon the sale, exchange or other disposition of a ordinary share in an amount equal to the difference, if any, between the amount realized (i.e., the amount of cash plus the fair market value of any property received) on the sale, exchange or other disposition and such U.S. Holder's adjusted tax basis in the ordinary share, both amounts determined in U.S. dollars. Such capital gain or loss generally will be long-term capital gain taxable at a reduced rate for non-corporate U.S. Holders (currently a maximum of 15% and increasing to a maximum of 20% after January 1, 2013) or loss if, on the date of sale, exchange or other disposition, the ordinary share was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ordinary shares will generally be gain or loss from sources within the United States for U.S. foreign tax credit purposes.</w:t>
      </w:r>
    </w:p>
    <w:p>
      <w:pPr>
        <w:spacing w:after="0" w:line="172" w:lineRule="exact"/>
        <w:rPr>
          <w:sz w:val="20"/>
          <w:szCs w:val="20"/>
          <w:color w:val="auto"/>
        </w:rPr>
      </w:pPr>
    </w:p>
    <w:p>
      <w:pPr>
        <w:ind w:right="140" w:firstLine="360"/>
        <w:spacing w:after="0" w:line="257" w:lineRule="auto"/>
        <w:rPr>
          <w:sz w:val="20"/>
          <w:szCs w:val="20"/>
          <w:color w:val="auto"/>
        </w:rPr>
      </w:pPr>
      <w:r>
        <w:rPr>
          <w:rFonts w:ascii="Arial" w:cs="Arial" w:eastAsia="Arial" w:hAnsi="Arial"/>
          <w:sz w:val="16"/>
          <w:szCs w:val="16"/>
          <w:color w:val="auto"/>
        </w:rPr>
        <w:t>A U.S. Holder that receives NIS from the sale, exchange or other disposition of ordinary shares will generally realize an amount equal to the U.S. dollar value of the NIS received at the spot rate on the date of sale (or, in the case of cash basis and electing accrual basis U.S. Holders, the settlement date). A U.S. Holder will recognize foreign currency gain or loss to the extent the U.S. dollar value of the amount received at the spot exchange rate on the settlement date differs from the amount realized. A U.S. Holder will have a tax basis in the NIS received equal to its U.S. dollar value on the settlement date. Any gain or loss on a subsequent conversion or other disposition of the NIS will be U.S. source ordinary income or loss.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4" w:name="page85"/>
    <w:bookmarkEnd w:id="84"/>
    <w:p>
      <w:pPr>
        <w:ind w:left="364"/>
        <w:spacing w:after="0"/>
        <w:rPr>
          <w:sz w:val="20"/>
          <w:szCs w:val="20"/>
          <w:color w:val="auto"/>
        </w:rPr>
      </w:pPr>
      <w:r>
        <w:rPr>
          <w:rFonts w:ascii="Arial" w:cs="Arial" w:eastAsia="Arial" w:hAnsi="Arial"/>
          <w:sz w:val="16"/>
          <w:szCs w:val="16"/>
          <w:b w:val="1"/>
          <w:bCs w:val="1"/>
          <w:i w:val="1"/>
          <w:iCs w:val="1"/>
          <w:color w:val="auto"/>
        </w:rPr>
        <w:t>Passive foreign investment company consequences</w:t>
      </w:r>
    </w:p>
    <w:p>
      <w:pPr>
        <w:spacing w:after="0" w:line="200" w:lineRule="exact"/>
        <w:rPr>
          <w:sz w:val="20"/>
          <w:szCs w:val="20"/>
          <w:color w:val="auto"/>
        </w:rPr>
      </w:pPr>
    </w:p>
    <w:p>
      <w:pPr>
        <w:ind w:left="4" w:right="20" w:firstLine="360"/>
        <w:spacing w:after="0" w:line="254" w:lineRule="auto"/>
        <w:rPr>
          <w:sz w:val="20"/>
          <w:szCs w:val="20"/>
          <w:color w:val="auto"/>
        </w:rPr>
      </w:pPr>
      <w:r>
        <w:rPr>
          <w:rFonts w:ascii="Arial" w:cs="Arial" w:eastAsia="Arial" w:hAnsi="Arial"/>
          <w:sz w:val="16"/>
          <w:szCs w:val="16"/>
          <w:color w:val="auto"/>
        </w:rPr>
        <w:t>In general, a corporation organized outside the United States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This determination is based on the adjusted tax basis of the corporation's assets however, if the corporation is a "controlled foreign corporation", that is not a publicly traded corporation for the taxable year. In determining whether a foreign corporation is a PFIC, a proportionate share of the income and assets of each corporation in which it owns, directly or indirectly, at least a 25% interest (by value) is taken into account.</w:t>
      </w:r>
    </w:p>
    <w:p>
      <w:pPr>
        <w:spacing w:after="0" w:line="170" w:lineRule="exact"/>
        <w:rPr>
          <w:sz w:val="20"/>
          <w:szCs w:val="20"/>
          <w:color w:val="auto"/>
        </w:rPr>
      </w:pPr>
    </w:p>
    <w:p>
      <w:pPr>
        <w:ind w:left="4" w:firstLine="360"/>
        <w:spacing w:after="0" w:line="276" w:lineRule="auto"/>
        <w:rPr>
          <w:sz w:val="20"/>
          <w:szCs w:val="20"/>
          <w:color w:val="auto"/>
        </w:rPr>
      </w:pPr>
      <w:r>
        <w:rPr>
          <w:rFonts w:ascii="Arial" w:cs="Arial" w:eastAsia="Arial" w:hAnsi="Arial"/>
          <w:sz w:val="15"/>
          <w:szCs w:val="15"/>
          <w:color w:val="auto"/>
        </w:rPr>
        <w:t>Based on the nature of our business, the projected composition of our income and the projected composition and estimated fair market values of our assets, we do not expect to be a PFIC in 2013, 2014 or a subsequent year. Nevertheless, because this determination is made annually after the close of each taxable year, because we hold and expect to continue to hold following this offering a substantial amount of cash and cash equivalents, and because the calculation of the value of our assets may be based in part on the value of our ordinary shares, which may fluctuate after this offering and may fluctuate considerably given that market prices of technology companies historically often have been volatile, it is difficult to predict whether we will be a PFIC in any taxable year. Even if we determine that we are not a PFIC after the close of our taxable year, there can be no assurance that the Internal Revenue Service, or the IRS, will agree with our conclusion.</w:t>
      </w:r>
    </w:p>
    <w:p>
      <w:pPr>
        <w:spacing w:after="0" w:line="155" w:lineRule="exact"/>
        <w:rPr>
          <w:sz w:val="20"/>
          <w:szCs w:val="20"/>
          <w:color w:val="auto"/>
        </w:rPr>
      </w:pPr>
    </w:p>
    <w:p>
      <w:pPr>
        <w:ind w:left="364"/>
        <w:spacing w:after="0"/>
        <w:rPr>
          <w:sz w:val="20"/>
          <w:szCs w:val="20"/>
          <w:color w:val="auto"/>
        </w:rPr>
      </w:pPr>
      <w:r>
        <w:rPr>
          <w:rFonts w:ascii="Arial" w:cs="Arial" w:eastAsia="Arial" w:hAnsi="Arial"/>
          <w:sz w:val="15"/>
          <w:szCs w:val="15"/>
          <w:color w:val="auto"/>
        </w:rPr>
        <w:t>If we are a PFIC in any taxable year during which a U.S. Holder owns ordinary shares, such U.S. Holder could be liable for additional taxes and interest charges upon</w:t>
      </w:r>
    </w:p>
    <w:p>
      <w:pPr>
        <w:spacing w:after="0" w:line="32" w:lineRule="exact"/>
        <w:rPr>
          <w:sz w:val="20"/>
          <w:szCs w:val="20"/>
          <w:color w:val="auto"/>
        </w:rPr>
      </w:pPr>
    </w:p>
    <w:p>
      <w:pPr>
        <w:jc w:val="both"/>
        <w:ind w:left="4" w:right="80" w:hanging="4"/>
        <w:spacing w:after="0" w:line="286" w:lineRule="auto"/>
        <w:tabs>
          <w:tab w:leader="none" w:pos="195" w:val="left"/>
        </w:tabs>
        <w:numPr>
          <w:ilvl w:val="0"/>
          <w:numId w:val="75"/>
        </w:numPr>
        <w:rPr>
          <w:rFonts w:ascii="Arial" w:cs="Arial" w:eastAsia="Arial" w:hAnsi="Arial"/>
          <w:sz w:val="14"/>
          <w:szCs w:val="14"/>
          <w:color w:val="auto"/>
        </w:rPr>
      </w:pPr>
      <w:r>
        <w:rPr>
          <w:rFonts w:ascii="Arial" w:cs="Arial" w:eastAsia="Arial" w:hAnsi="Arial"/>
          <w:sz w:val="14"/>
          <w:szCs w:val="14"/>
          <w:color w:val="auto"/>
        </w:rPr>
        <w:t>certain distributions by us (generally any distribution paid during a taxable year that is greater than 125 percent of the average annual distributions paid in the three preceding taxable years, or, if shorter, the U.S. Holder's holding period for our ordinary shares), and (ii) any gain recognized on a sale, exchange or other disposition, including a pledge, of the ordinary shares, whether or not we continue to be a PFIC. In these circumstances, the tax will be determined by allocating such distributions or gain ratably over the U.S.</w:t>
      </w:r>
    </w:p>
    <w:p>
      <w:pPr>
        <w:spacing w:after="0" w:line="1" w:lineRule="exact"/>
        <w:rPr>
          <w:rFonts w:ascii="Arial" w:cs="Arial" w:eastAsia="Arial" w:hAnsi="Arial"/>
          <w:sz w:val="14"/>
          <w:szCs w:val="14"/>
          <w:color w:val="auto"/>
        </w:rPr>
      </w:pPr>
    </w:p>
    <w:p>
      <w:pPr>
        <w:ind w:left="4" w:right="60"/>
        <w:spacing w:after="0" w:line="252" w:lineRule="auto"/>
        <w:rPr>
          <w:rFonts w:ascii="Arial" w:cs="Arial" w:eastAsia="Arial" w:hAnsi="Arial"/>
          <w:sz w:val="14"/>
          <w:szCs w:val="14"/>
          <w:color w:val="auto"/>
        </w:rPr>
      </w:pPr>
      <w:r>
        <w:rPr>
          <w:rFonts w:ascii="Arial" w:cs="Arial" w:eastAsia="Arial" w:hAnsi="Arial"/>
          <w:sz w:val="16"/>
          <w:szCs w:val="16"/>
          <w:color w:val="auto"/>
        </w:rPr>
        <w:t>Holder's holding period for the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appropriate applicable to ordinary income for each such taxable year, and an interest charge, generally that applicable to underpayments of tax, will be added to the tax. If we are a PFIC for any year during which a U.S. Holder holds our ordinary shares, we will generally continue to be treated as a PFIC with respect to the holder for all succeeding years during which the U.S. Holder holds ordinary shares even if we cease to meet the requirements for PFIC status.</w:t>
      </w:r>
    </w:p>
    <w:p>
      <w:pPr>
        <w:spacing w:after="0" w:line="174" w:lineRule="exact"/>
        <w:rPr>
          <w:sz w:val="20"/>
          <w:szCs w:val="20"/>
          <w:color w:val="auto"/>
        </w:rPr>
      </w:pPr>
    </w:p>
    <w:p>
      <w:pPr>
        <w:ind w:left="4" w:firstLine="360"/>
        <w:spacing w:after="0" w:line="273" w:lineRule="auto"/>
        <w:rPr>
          <w:sz w:val="20"/>
          <w:szCs w:val="20"/>
          <w:color w:val="auto"/>
        </w:rPr>
      </w:pPr>
      <w:r>
        <w:rPr>
          <w:rFonts w:ascii="Arial" w:cs="Arial" w:eastAsia="Arial" w:hAnsi="Arial"/>
          <w:sz w:val="15"/>
          <w:szCs w:val="15"/>
          <w:color w:val="auto"/>
        </w:rPr>
        <w:t>The tax consequences that would apply if we were a PFIC would be different from those described above if a timely and valid "mark-to-market" election is made by a U.S. Holder for our ordinary shares. An electing U.S. Holder generally would take into account as ordinary income each year, the excess of the fair market value of our ordinary shares held at the end of the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amount previously included in income as a result of the mark-to-market election. The U.S. Holder's tax basis in our ordinary shares would be adjusted to reflect any income or loss resulting from the mark-to-market election. Any gain from a sale, exchange or other disposition of the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the U.S. Holder would not be required to take into account any latent gain or loss in the manner described above and any realized gain or loss would be classified as a capital gain or loss.</w:t>
      </w:r>
    </w:p>
    <w:p>
      <w:pPr>
        <w:spacing w:after="0" w:line="156" w:lineRule="exact"/>
        <w:rPr>
          <w:sz w:val="20"/>
          <w:szCs w:val="20"/>
          <w:color w:val="auto"/>
        </w:rPr>
      </w:pPr>
    </w:p>
    <w:p>
      <w:pPr>
        <w:ind w:left="4" w:right="20" w:firstLine="360"/>
        <w:spacing w:after="0" w:line="256" w:lineRule="auto"/>
        <w:rPr>
          <w:sz w:val="20"/>
          <w:szCs w:val="20"/>
          <w:color w:val="auto"/>
        </w:rPr>
      </w:pPr>
      <w:r>
        <w:rPr>
          <w:rFonts w:ascii="Arial" w:cs="Arial" w:eastAsia="Arial" w:hAnsi="Arial"/>
          <w:sz w:val="16"/>
          <w:szCs w:val="16"/>
          <w:color w:val="auto"/>
        </w:rPr>
        <w:t>A mark-to-market election is available to a U.S. Holder only if the ordinary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Our ordinary shares will be marketable stock as long as they remain listed on the NASDAQ Global Market and are regularly traded. A mark-to-market election will not apply to our ordinary shares for any taxable year during which we are not a PFIC, but will remain in effect with respect to any subsequent taxable year in which we become a PFIC. Such election will not apply to any subsidiary that we own.</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85" w:name="page86"/>
    <w:bookmarkEnd w:id="85"/>
    <w:p>
      <w:pPr>
        <w:jc w:val="both"/>
        <w:ind w:right="40" w:firstLine="360"/>
        <w:spacing w:after="0" w:line="264" w:lineRule="auto"/>
        <w:rPr>
          <w:sz w:val="20"/>
          <w:szCs w:val="20"/>
          <w:color w:val="auto"/>
        </w:rPr>
      </w:pPr>
      <w:r>
        <w:rPr>
          <w:rFonts w:ascii="Arial" w:cs="Arial" w:eastAsia="Arial" w:hAnsi="Arial"/>
          <w:sz w:val="16"/>
          <w:szCs w:val="16"/>
          <w:color w:val="auto"/>
        </w:rPr>
        <w:t>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6"/>
          <w:szCs w:val="16"/>
          <w:color w:val="auto"/>
        </w:rPr>
        <w:t>If we are a PFIC in any taxable year during which a U.S. Holder owns the ordinary shares, such U.S. Holder may also suffer adverse tax consequences under the PFIC rules described above with respect to any lower-tier PFIC in which we have a direct or indirect equity interest.</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U.S. Holder who is a shareholder of a PFIC must file an annual report containing certain information.</w:t>
      </w:r>
    </w:p>
    <w:p>
      <w:pPr>
        <w:spacing w:after="0" w:line="196" w:lineRule="exact"/>
        <w:rPr>
          <w:sz w:val="20"/>
          <w:szCs w:val="20"/>
          <w:color w:val="auto"/>
        </w:rPr>
      </w:pPr>
    </w:p>
    <w:p>
      <w:pPr>
        <w:ind w:right="360" w:firstLine="360"/>
        <w:spacing w:after="0" w:line="292" w:lineRule="auto"/>
        <w:rPr>
          <w:sz w:val="20"/>
          <w:szCs w:val="20"/>
          <w:color w:val="auto"/>
        </w:rPr>
      </w:pPr>
      <w:r>
        <w:rPr>
          <w:rFonts w:ascii="Arial" w:cs="Arial" w:eastAsia="Arial" w:hAnsi="Arial"/>
          <w:sz w:val="15"/>
          <w:szCs w:val="15"/>
          <w:b w:val="1"/>
          <w:bCs w:val="1"/>
          <w:color w:val="auto"/>
        </w:rPr>
        <w:t>The U.S. federal income tax rules relating to PFICs are complex. Prospective U.S. investors are urged to consult their own tax advisers with respect to the purchase, ownership and disposition of ordinary shares, the consequences to them of an investment in a PFIC, any elections available with respect to our ordinary shares and the IRS information reporting obligations with respect to the purchase, ownership and disposition of ordinary shares.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Certain reporting requirements with respect to payments of Offer Price</w:t>
      </w:r>
    </w:p>
    <w:p>
      <w:pPr>
        <w:spacing w:after="0" w:line="204" w:lineRule="exact"/>
        <w:rPr>
          <w:sz w:val="20"/>
          <w:szCs w:val="20"/>
          <w:color w:val="auto"/>
        </w:rPr>
      </w:pPr>
    </w:p>
    <w:p>
      <w:pPr>
        <w:ind w:firstLine="360"/>
        <w:spacing w:after="0" w:line="264" w:lineRule="auto"/>
        <w:rPr>
          <w:sz w:val="20"/>
          <w:szCs w:val="20"/>
          <w:color w:val="auto"/>
        </w:rPr>
      </w:pPr>
      <w:r>
        <w:rPr>
          <w:rFonts w:ascii="Arial" w:cs="Arial" w:eastAsia="Arial" w:hAnsi="Arial"/>
          <w:sz w:val="16"/>
          <w:szCs w:val="16"/>
          <w:color w:val="auto"/>
        </w:rPr>
        <w:t>U.S. Holders paying more than U.S. $100,000 for ordinary shares generally will be required to file IRS Form 926 reporting the payment of the Offer Price for an ordinary share to us. Substantial penalties may be imposed upon a U.S. Holder that fails to comply. Each U.S. Holder should consult its own tax advisor as to the possible obligation to file IRS Form 926.</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204" w:lineRule="exact"/>
        <w:rPr>
          <w:sz w:val="20"/>
          <w:szCs w:val="20"/>
          <w:color w:val="auto"/>
        </w:rPr>
      </w:pPr>
    </w:p>
    <w:p>
      <w:pPr>
        <w:ind w:right="280" w:firstLine="360"/>
        <w:spacing w:after="0" w:line="264" w:lineRule="auto"/>
        <w:rPr>
          <w:sz w:val="20"/>
          <w:szCs w:val="20"/>
          <w:color w:val="auto"/>
        </w:rPr>
      </w:pPr>
      <w:r>
        <w:rPr>
          <w:rFonts w:ascii="Arial" w:cs="Arial" w:eastAsia="Arial" w:hAnsi="Arial"/>
          <w:sz w:val="16"/>
          <w:szCs w:val="16"/>
          <w:color w:val="auto"/>
        </w:rPr>
        <w:t>Dividends on and proceeds from the sale or other disposition of the ordinary shares may be reported to the IRS unless the U.S. Holder establishes a basis for exemption. Backup withholding may apply to amounts subject to reporting if (i) the holder fails to provide an accurate taxpayer identification number or otherwise establish a basis for exemption, or (ii) is described in certain other categories of persons. Backup withholding is not an additional tax.</w:t>
      </w:r>
    </w:p>
    <w:p>
      <w:pPr>
        <w:spacing w:after="0" w:line="16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52" w:lineRule="exact"/>
        <w:rPr>
          <w:sz w:val="20"/>
          <w:szCs w:val="20"/>
          <w:color w:val="auto"/>
        </w:rPr>
      </w:pPr>
    </w:p>
    <w:p>
      <w:pPr>
        <w:jc w:val="both"/>
        <w:ind w:right="260" w:firstLine="360"/>
        <w:spacing w:after="0" w:line="264" w:lineRule="auto"/>
        <w:rPr>
          <w:sz w:val="20"/>
          <w:szCs w:val="20"/>
          <w:color w:val="auto"/>
        </w:rPr>
      </w:pPr>
      <w:r>
        <w:rPr>
          <w:rFonts w:ascii="Arial" w:cs="Arial" w:eastAsia="Arial" w:hAnsi="Arial"/>
          <w:sz w:val="16"/>
          <w:szCs w:val="16"/>
          <w:color w:val="auto"/>
        </w:rPr>
        <w:t>For taxable years beginning after March 18, 2010, new legislation requires certain U.S. Holders who are individuals to report information relating to stock of a non-U.S. person, subject to certain exceptions (including an exception for stock held in custodial accounts maintained by a U.S. financial institution). U.S. Holders are urged to consult their tax advisers regarding the effect, if any, of this legislation on their ownership and disposition of ordinary shares.</w:t>
      </w:r>
    </w:p>
    <w:p>
      <w:pPr>
        <w:spacing w:after="0" w:line="15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auto"/>
        </w:rPr>
        <w:t>UNDERWRITING</w:t>
      </w:r>
    </w:p>
    <w:p>
      <w:pPr>
        <w:spacing w:after="0" w:line="204" w:lineRule="exact"/>
        <w:rPr>
          <w:sz w:val="20"/>
          <w:szCs w:val="20"/>
          <w:color w:val="auto"/>
        </w:rPr>
      </w:pPr>
    </w:p>
    <w:p>
      <w:pPr>
        <w:ind w:right="20" w:firstLine="360"/>
        <w:spacing w:after="0" w:line="259" w:lineRule="auto"/>
        <w:rPr>
          <w:sz w:val="20"/>
          <w:szCs w:val="20"/>
          <w:color w:val="auto"/>
        </w:rPr>
      </w:pPr>
      <w:r>
        <w:rPr>
          <w:rFonts w:ascii="Arial" w:cs="Arial" w:eastAsia="Arial" w:hAnsi="Arial"/>
          <w:sz w:val="16"/>
          <w:szCs w:val="16"/>
          <w:color w:val="auto"/>
        </w:rPr>
        <w:t>Aegis Capital Corp. is acting as the representative of the underwriters of this offering (the “Representative”). We have entered into an underwriting agreement dated the date of this prospectus with the Representative. Subject to the terms and conditions of the underwriting agreement, we have agreed to sell to each underwriter named below and each underwriter named below has severally agreed to purchase, at the public offering price less the underwriting discounts and commissions set forth on the cover page of this prospectus, the number of our ordinary shares next to its name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960" w:type="dxa"/>
            <w:vAlign w:val="bottom"/>
            <w:gridSpan w:val="3"/>
          </w:tcPr>
          <w:p>
            <w:pPr>
              <w:ind w:left="4440"/>
              <w:spacing w:after="0"/>
              <w:rPr>
                <w:sz w:val="20"/>
                <w:szCs w:val="20"/>
                <w:color w:val="auto"/>
              </w:rPr>
            </w:pPr>
            <w:r>
              <w:rPr>
                <w:rFonts w:ascii="Arial" w:cs="Arial" w:eastAsia="Arial" w:hAnsi="Arial"/>
                <w:sz w:val="16"/>
                <w:szCs w:val="16"/>
                <w:b w:val="1"/>
                <w:bCs w:val="1"/>
                <w:color w:val="auto"/>
              </w:rPr>
              <w:t>Underwriter</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8"/>
              </w:rPr>
              <w:t>Number of Shares</w:t>
            </w:r>
          </w:p>
        </w:tc>
      </w:tr>
      <w:tr>
        <w:trPr>
          <w:trHeight w:val="184"/>
        </w:trPr>
        <w:tc>
          <w:tcPr>
            <w:tcW w:w="9720" w:type="dxa"/>
            <w:vAlign w:val="bottom"/>
            <w:tcBorders>
              <w:top w:val="single" w:sz="8" w:color="auto"/>
            </w:tcBorders>
            <w:shd w:val="clear" w:color="auto" w:fill="CCFFCC"/>
          </w:tcPr>
          <w:p>
            <w:pPr>
              <w:ind w:left="80"/>
              <w:spacing w:after="0"/>
              <w:rPr>
                <w:sz w:val="20"/>
                <w:szCs w:val="20"/>
                <w:color w:val="auto"/>
              </w:rPr>
            </w:pPr>
            <w:r>
              <w:rPr>
                <w:rFonts w:ascii="Arial" w:cs="Arial" w:eastAsia="Arial" w:hAnsi="Arial"/>
                <w:sz w:val="16"/>
                <w:szCs w:val="16"/>
                <w:color w:val="auto"/>
              </w:rPr>
              <w:t>Aegis Capital Corp.</w:t>
            </w:r>
          </w:p>
        </w:tc>
        <w:tc>
          <w:tcPr>
            <w:tcW w:w="12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 __</w:t>
            </w:r>
          </w:p>
        </w:tc>
        <w:tc>
          <w:tcPr>
            <w:tcW w:w="1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8"/>
              </w:rPr>
              <w:t>]</w:t>
            </w:r>
          </w:p>
        </w:tc>
      </w:tr>
      <w:tr>
        <w:trPr>
          <w:trHeight w:val="192"/>
        </w:trPr>
        <w:tc>
          <w:tcPr>
            <w:tcW w:w="9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9960" w:type="dxa"/>
            <w:vAlign w:val="bottom"/>
            <w:gridSpan w:val="3"/>
            <w:shd w:val="clear" w:color="auto" w:fill="CCFFCC"/>
          </w:tcPr>
          <w:p>
            <w:pPr>
              <w:ind w:left="80"/>
              <w:spacing w:after="0"/>
              <w:rPr>
                <w:sz w:val="20"/>
                <w:szCs w:val="20"/>
                <w:color w:val="auto"/>
              </w:rPr>
            </w:pPr>
            <w:r>
              <w:rPr>
                <w:rFonts w:ascii="Arial" w:cs="Arial" w:eastAsia="Arial" w:hAnsi="Arial"/>
                <w:sz w:val="16"/>
                <w:szCs w:val="16"/>
                <w:color w:val="auto"/>
              </w:rPr>
              <w:t>Sunrise Securities Corp.</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__]</w:t>
            </w:r>
          </w:p>
        </w:tc>
      </w:tr>
      <w:tr>
        <w:trPr>
          <w:trHeight w:val="192"/>
        </w:trPr>
        <w:tc>
          <w:tcPr>
            <w:tcW w:w="9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9960" w:type="dxa"/>
            <w:vAlign w:val="bottom"/>
            <w:gridSpan w:val="3"/>
            <w:shd w:val="clear" w:color="auto" w:fill="CCFFCC"/>
          </w:tcPr>
          <w:p>
            <w:pPr>
              <w:ind w:left="400"/>
              <w:spacing w:after="0"/>
              <w:rPr>
                <w:sz w:val="20"/>
                <w:szCs w:val="20"/>
                <w:color w:val="auto"/>
              </w:rPr>
            </w:pPr>
            <w:r>
              <w:rPr>
                <w:rFonts w:ascii="Arial" w:cs="Arial" w:eastAsia="Arial" w:hAnsi="Arial"/>
                <w:sz w:val="16"/>
                <w:szCs w:val="16"/>
                <w:color w:val="auto"/>
              </w:rPr>
              <w:t>Total</w:t>
            </w: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2,275,000</w:t>
            </w:r>
          </w:p>
        </w:tc>
      </w:tr>
      <w:tr>
        <w:trPr>
          <w:trHeight w:val="20"/>
        </w:trPr>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6"/>
          <w:szCs w:val="16"/>
          <w:color w:val="auto"/>
        </w:rPr>
        <w:t>The underwriters are committed to purchase all the shares offered by us if any shares are purchased, other than those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62" w:lineRule="exact"/>
        <w:rPr>
          <w:sz w:val="20"/>
          <w:szCs w:val="20"/>
          <w:color w:val="auto"/>
        </w:rPr>
      </w:pPr>
    </w:p>
    <w:p>
      <w:pPr>
        <w:jc w:val="both"/>
        <w:ind w:right="320" w:firstLine="360"/>
        <w:spacing w:after="0" w:line="289" w:lineRule="auto"/>
        <w:rPr>
          <w:sz w:val="20"/>
          <w:szCs w:val="20"/>
          <w:color w:val="auto"/>
        </w:rPr>
      </w:pPr>
      <w:r>
        <w:rPr>
          <w:rFonts w:ascii="Arial" w:cs="Arial" w:eastAsia="Arial" w:hAnsi="Arial"/>
          <w:sz w:val="15"/>
          <w:szCs w:val="15"/>
          <w:color w:val="auto"/>
        </w:rPr>
        <w:t xml:space="preserve">The underwriters propose to offer the shares offered by us to the public at the public offering price set forth on the cover of this prospectus. In addition, the underwriters may offer some of the shares to other securities dealers at such price less a concession of </w:t>
      </w:r>
      <w:r>
        <w:rPr>
          <w:rFonts w:ascii="Arial" w:cs="Arial" w:eastAsia="Arial" w:hAnsi="Arial"/>
          <w:sz w:val="15"/>
          <w:szCs w:val="15"/>
          <w:u w:val="single" w:color="auto"/>
          <w:color w:val="auto"/>
        </w:rPr>
        <w:t>$</w:t>
      </w:r>
      <w:r>
        <w:rPr>
          <w:rFonts w:ascii="Arial" w:cs="Arial" w:eastAsia="Arial" w:hAnsi="Arial"/>
          <w:sz w:val="15"/>
          <w:szCs w:val="15"/>
          <w:color w:val="auto"/>
        </w:rPr>
        <w:t>_____ per share. If all of the shares offered by us are not sold at the public offering price, the underwriters may change the offering price and other selling terms by means of a supplement to this prospectus.</w:t>
      </w:r>
    </w:p>
    <w:p>
      <w:pPr>
        <w:spacing w:after="0" w:line="146" w:lineRule="exact"/>
        <w:rPr>
          <w:sz w:val="20"/>
          <w:szCs w:val="20"/>
          <w:color w:val="auto"/>
        </w:rPr>
      </w:pPr>
    </w:p>
    <w:p>
      <w:pPr>
        <w:jc w:val="both"/>
        <w:ind w:right="580" w:firstLine="360"/>
        <w:spacing w:after="0" w:line="264" w:lineRule="auto"/>
        <w:rPr>
          <w:sz w:val="20"/>
          <w:szCs w:val="20"/>
          <w:color w:val="auto"/>
        </w:rPr>
      </w:pPr>
      <w:r>
        <w:rPr>
          <w:rFonts w:ascii="Arial" w:cs="Arial" w:eastAsia="Arial" w:hAnsi="Arial"/>
          <w:sz w:val="16"/>
          <w:szCs w:val="16"/>
          <w:color w:val="auto"/>
        </w:rPr>
        <w:t>The obligations of the underwriters may be terminated upon the occurrence of certain events specified in the underwriting agreement. Furthermore, pursuant to the underwriting agreement, the underwriters’ obligations are subject to customary conditions, representations and warranties, such as receipt by the underwriters of officers’ certificates and legal opinions.</w:t>
      </w:r>
    </w:p>
    <w:p>
      <w:pPr>
        <w:spacing w:after="0" w:line="162" w:lineRule="exact"/>
        <w:rPr>
          <w:sz w:val="20"/>
          <w:szCs w:val="20"/>
          <w:color w:val="auto"/>
        </w:rPr>
      </w:pPr>
    </w:p>
    <w:p>
      <w:pPr>
        <w:ind w:right="720" w:firstLine="360"/>
        <w:spacing w:after="0" w:line="277" w:lineRule="auto"/>
        <w:rPr>
          <w:sz w:val="20"/>
          <w:szCs w:val="20"/>
          <w:color w:val="auto"/>
        </w:rPr>
      </w:pPr>
      <w:r>
        <w:rPr>
          <w:rFonts w:ascii="Arial" w:cs="Arial" w:eastAsia="Arial" w:hAnsi="Arial"/>
          <w:sz w:val="16"/>
          <w:szCs w:val="16"/>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52" w:lineRule="exact"/>
        <w:rPr>
          <w:sz w:val="20"/>
          <w:szCs w:val="20"/>
          <w:color w:val="auto"/>
        </w:rPr>
      </w:pPr>
    </w:p>
    <w:p>
      <w:pPr>
        <w:ind w:right="60" w:firstLine="360"/>
        <w:spacing w:after="0" w:line="351" w:lineRule="auto"/>
        <w:rPr>
          <w:sz w:val="20"/>
          <w:szCs w:val="20"/>
          <w:color w:val="auto"/>
        </w:rPr>
      </w:pPr>
      <w:r>
        <w:rPr>
          <w:rFonts w:ascii="Arial" w:cs="Arial" w:eastAsia="Arial" w:hAnsi="Arial"/>
          <w:sz w:val="14"/>
          <w:szCs w:val="14"/>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06" w:lineRule="exact"/>
        <w:rPr>
          <w:sz w:val="20"/>
          <w:szCs w:val="20"/>
          <w:color w:val="auto"/>
        </w:rPr>
      </w:pPr>
    </w:p>
    <w:p>
      <w:pPr>
        <w:ind w:right="20" w:firstLine="360"/>
        <w:spacing w:after="0" w:line="282" w:lineRule="auto"/>
        <w:rPr>
          <w:sz w:val="20"/>
          <w:szCs w:val="20"/>
          <w:color w:val="auto"/>
        </w:rPr>
      </w:pPr>
      <w:r>
        <w:rPr>
          <w:rFonts w:ascii="Arial" w:cs="Arial" w:eastAsia="Arial" w:hAnsi="Arial"/>
          <w:sz w:val="15"/>
          <w:szCs w:val="15"/>
          <w:color w:val="auto"/>
        </w:rPr>
        <w:t>We have granted the underwriters an over-allotment option. This option, which is exercisable for up to 45 days after the date of this prospectus, permits the underwriters to purchase a maximum of 341,250 additional shares from us to cover over-allotments. If the underwriters exercise all or part of this option, they will purchase shares covered by the option at the public offering price less the underwriting discounts and commissions that appear on the cover page of this prospectus. If this option is exercised in full, the total price to the public will be approximately $28,778,750, and the total proceeds to us, before expenses, will be $26,764,238.</w:t>
      </w:r>
    </w:p>
    <w:p>
      <w:pPr>
        <w:spacing w:after="0" w:line="150" w:lineRule="exact"/>
        <w:rPr>
          <w:sz w:val="20"/>
          <w:szCs w:val="20"/>
          <w:color w:val="auto"/>
        </w:rPr>
      </w:pPr>
    </w:p>
    <w:p>
      <w:pPr>
        <w:ind w:right="20" w:firstLine="360"/>
        <w:spacing w:after="0" w:line="264" w:lineRule="auto"/>
        <w:rPr>
          <w:sz w:val="20"/>
          <w:szCs w:val="20"/>
          <w:color w:val="auto"/>
        </w:rPr>
      </w:pPr>
      <w:r>
        <w:rPr>
          <w:rFonts w:ascii="Arial" w:cs="Arial" w:eastAsia="Arial" w:hAnsi="Arial"/>
          <w:sz w:val="16"/>
          <w:szCs w:val="16"/>
          <w:i w:val="1"/>
          <w:iCs w:val="1"/>
          <w:color w:val="auto"/>
        </w:rPr>
        <w:t xml:space="preserve">Underwriting Discounts and Commissions. </w:t>
      </w:r>
      <w:r>
        <w:rPr>
          <w:rFonts w:ascii="Arial" w:cs="Arial" w:eastAsia="Arial" w:hAnsi="Arial"/>
          <w:sz w:val="16"/>
          <w:szCs w:val="16"/>
          <w:color w:val="auto"/>
        </w:rPr>
        <w:t>We have agreed to pay underwriting discounts and commissions of 7% of the gross proceeds of the offering (equivalent to 7%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per share public offering price of $11.00). The following table shows the public offering price, underwriting discounts and commissions and expenses to be paid by us to the underwriters and the proceeds of the public offering, before expenses, to us.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3"/>
              </w:rPr>
              <w:t>Without over-</w:t>
            </w:r>
          </w:p>
        </w:tc>
        <w:tc>
          <w:tcPr>
            <w:tcW w:w="10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With full over-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7"/>
              </w:rPr>
              <w:t>allotment exercise</w:t>
            </w:r>
          </w:p>
        </w:tc>
        <w:tc>
          <w:tcPr>
            <w:tcW w:w="100" w:type="dxa"/>
            <w:vAlign w:val="bottom"/>
          </w:tcPr>
          <w:p>
            <w:pPr>
              <w:spacing w:after="0"/>
              <w:rPr>
                <w:sz w:val="18"/>
                <w:szCs w:val="18"/>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7"/>
              </w:rPr>
              <w:t>allotment exercise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00" w:type="dxa"/>
            <w:vAlign w:val="bottom"/>
            <w:tcBorders>
              <w:top w:val="single" w:sz="8" w:color="CCFFCC"/>
            </w:tcBorders>
            <w:shd w:val="clear" w:color="auto" w:fill="CCFFCC"/>
          </w:tcPr>
          <w:p>
            <w:pPr>
              <w:spacing w:after="0" w:line="172" w:lineRule="exact"/>
              <w:rPr>
                <w:sz w:val="20"/>
                <w:szCs w:val="20"/>
                <w:color w:val="auto"/>
              </w:rPr>
            </w:pPr>
            <w:r>
              <w:rPr>
                <w:rFonts w:ascii="Arial" w:cs="Arial" w:eastAsia="Arial" w:hAnsi="Arial"/>
                <w:sz w:val="16"/>
                <w:szCs w:val="16"/>
                <w:color w:val="auto"/>
              </w:rPr>
              <w:t>Public offering price</w:t>
            </w: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FFCC"/>
          </w:tcPr>
          <w:p>
            <w:pPr>
              <w:spacing w:after="0"/>
              <w:rPr>
                <w:sz w:val="16"/>
                <w:szCs w:val="16"/>
                <w:color w:val="auto"/>
              </w:rPr>
            </w:pPr>
          </w:p>
        </w:tc>
        <w:tc>
          <w:tcPr>
            <w:tcW w:w="380" w:type="dxa"/>
            <w:vAlign w:val="bottom"/>
            <w:tcBorders>
              <w:top w:val="single" w:sz="8" w:color="auto"/>
            </w:tcBorders>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FFCC"/>
          </w:tcPr>
          <w:p>
            <w:pPr>
              <w:spacing w:after="0"/>
              <w:rPr>
                <w:sz w:val="16"/>
                <w:szCs w:val="16"/>
                <w:color w:val="auto"/>
              </w:rPr>
            </w:pPr>
          </w:p>
        </w:tc>
        <w:tc>
          <w:tcPr>
            <w:tcW w:w="400" w:type="dxa"/>
            <w:vAlign w:val="bottom"/>
            <w:tcBorders>
              <w:top w:val="single" w:sz="8" w:color="auto"/>
            </w:tcBorders>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line="181" w:lineRule="exact"/>
              <w:rPr>
                <w:sz w:val="20"/>
                <w:szCs w:val="20"/>
                <w:color w:val="auto"/>
              </w:rPr>
            </w:pPr>
            <w:r>
              <w:rPr>
                <w:rFonts w:ascii="Arial" w:cs="Arial" w:eastAsia="Arial" w:hAnsi="Arial"/>
                <w:sz w:val="16"/>
                <w:szCs w:val="16"/>
                <w:color w:val="auto"/>
              </w:rPr>
              <w:t>Underwriting discounts and commissions paid by us (per ordinary share)</w:t>
            </w:r>
          </w:p>
        </w:tc>
        <w:tc>
          <w:tcPr>
            <w:tcW w:w="1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8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40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line="181" w:lineRule="exact"/>
              <w:rPr>
                <w:sz w:val="20"/>
                <w:szCs w:val="20"/>
                <w:color w:val="auto"/>
              </w:rPr>
            </w:pPr>
            <w:r>
              <w:rPr>
                <w:rFonts w:ascii="Arial" w:cs="Arial" w:eastAsia="Arial" w:hAnsi="Arial"/>
                <w:sz w:val="16"/>
                <w:szCs w:val="16"/>
                <w:color w:val="auto"/>
              </w:rPr>
              <w:t>Underwriting discounts and commissions paid by us (total)</w:t>
            </w:r>
          </w:p>
        </w:tc>
        <w:tc>
          <w:tcPr>
            <w:tcW w:w="1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8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40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line="181" w:lineRule="exact"/>
              <w:rPr>
                <w:sz w:val="20"/>
                <w:szCs w:val="20"/>
                <w:color w:val="auto"/>
              </w:rPr>
            </w:pPr>
            <w:r>
              <w:rPr>
                <w:rFonts w:ascii="Arial" w:cs="Arial" w:eastAsia="Arial" w:hAnsi="Arial"/>
                <w:sz w:val="16"/>
                <w:szCs w:val="16"/>
                <w:color w:val="auto"/>
              </w:rPr>
              <w:t>Proceeds before other expenses (1)</w:t>
            </w:r>
          </w:p>
        </w:tc>
        <w:tc>
          <w:tcPr>
            <w:tcW w:w="1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8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40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______________________</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580" w:right="20" w:hanging="296"/>
        <w:spacing w:after="0" w:line="277" w:lineRule="auto"/>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have agreed to pay the underwriters a non-accountable expense allowance in the amount of 1% of the total public offering price of the shares sold (excluding the over-allotment option).</w:t>
      </w:r>
    </w:p>
    <w:p>
      <w:pPr>
        <w:spacing w:after="0" w:line="151" w:lineRule="exact"/>
        <w:rPr>
          <w:rFonts w:ascii="Arial" w:cs="Arial" w:eastAsia="Arial" w:hAnsi="Arial"/>
          <w:sz w:val="16"/>
          <w:szCs w:val="16"/>
          <w:color w:val="auto"/>
        </w:rPr>
      </w:pPr>
    </w:p>
    <w:p>
      <w:pPr>
        <w:jc w:val="both"/>
        <w:ind w:left="580"/>
        <w:spacing w:after="0" w:line="264" w:lineRule="auto"/>
        <w:rPr>
          <w:rFonts w:ascii="Arial" w:cs="Arial" w:eastAsia="Arial" w:hAnsi="Arial"/>
          <w:sz w:val="16"/>
          <w:szCs w:val="16"/>
          <w:color w:val="auto"/>
        </w:rPr>
      </w:pPr>
      <w:r>
        <w:rPr>
          <w:rFonts w:ascii="Arial" w:cs="Arial" w:eastAsia="Arial" w:hAnsi="Arial"/>
          <w:sz w:val="16"/>
          <w:szCs w:val="16"/>
          <w:color w:val="auto"/>
        </w:rPr>
        <w:t>We have paid a $50,000 advance to the underwriters, which will be applied against the accountable expenses that will be paid by us to the underwriters in connection with this offering. The underwriting agreement provides that in the event the offering is terminated, the $50,000 advance paid to the underwriters will be returned to us to the extent that offering expenses are not actually incurred by the underwriters.</w:t>
      </w:r>
    </w:p>
    <w:p>
      <w:pPr>
        <w:spacing w:after="0" w:line="161" w:lineRule="exact"/>
        <w:rPr>
          <w:rFonts w:ascii="Arial" w:cs="Arial" w:eastAsia="Arial" w:hAnsi="Arial"/>
          <w:sz w:val="16"/>
          <w:szCs w:val="16"/>
          <w:color w:val="auto"/>
        </w:rPr>
      </w:pPr>
    </w:p>
    <w:p>
      <w:pPr>
        <w:jc w:val="both"/>
        <w:ind w:left="580"/>
        <w:spacing w:after="0" w:line="259" w:lineRule="auto"/>
        <w:rPr>
          <w:rFonts w:ascii="Arial" w:cs="Arial" w:eastAsia="Arial" w:hAnsi="Arial"/>
          <w:sz w:val="16"/>
          <w:szCs w:val="16"/>
          <w:color w:val="auto"/>
        </w:rPr>
      </w:pPr>
      <w:r>
        <w:rPr>
          <w:rFonts w:ascii="Arial" w:cs="Arial" w:eastAsia="Arial" w:hAnsi="Arial"/>
          <w:sz w:val="16"/>
          <w:szCs w:val="16"/>
          <w:color w:val="auto"/>
        </w:rPr>
        <w:t>We have also agreed to pay or reimburse the underwriters, over and above the underwriting discount, for certain out of pocket expenses in connection with this offering, including (i) up to $10,000 for expenses of counsel for the underwriters associated with the review of this offering by FINRA, (ii) an aggregate of $15,000 for expenses relating to background checks of our officers and directors, (iii) $21,775 for costs associated with the use of Ipreo’s book-building, prospectus tracking and compliance software, and (iiv) up to $20,000 for the underwriter’s actual accountable “road show” expenses.</w:t>
      </w:r>
    </w:p>
    <w:p>
      <w:pPr>
        <w:spacing w:after="0" w:line="167" w:lineRule="exact"/>
        <w:rPr>
          <w:sz w:val="20"/>
          <w:szCs w:val="20"/>
          <w:color w:val="auto"/>
        </w:rPr>
      </w:pPr>
    </w:p>
    <w:p>
      <w:pPr>
        <w:ind w:left="580" w:right="20"/>
        <w:spacing w:after="0" w:line="277" w:lineRule="auto"/>
        <w:rPr>
          <w:sz w:val="20"/>
          <w:szCs w:val="20"/>
          <w:color w:val="auto"/>
        </w:rPr>
      </w:pPr>
      <w:r>
        <w:rPr>
          <w:rFonts w:ascii="Arial" w:cs="Arial" w:eastAsia="Arial" w:hAnsi="Arial"/>
          <w:sz w:val="16"/>
          <w:szCs w:val="16"/>
          <w:color w:val="auto"/>
        </w:rPr>
        <w:t>The total estimated expenses of the offering, including the registration, filing and listing fees, printing fees and legal and accounting expenses, but excluding underwriting discounts, commissions and non-accountable expense allowances, are approximately $808,000 and are payable by us.</w:t>
      </w:r>
    </w:p>
    <w:p>
      <w:pPr>
        <w:spacing w:after="0" w:line="152"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6"/>
          <w:szCs w:val="16"/>
          <w:i w:val="1"/>
          <w:iCs w:val="1"/>
          <w:color w:val="auto"/>
        </w:rPr>
        <w:t xml:space="preserve">Right of First Refusal </w:t>
      </w:r>
      <w:r>
        <w:rPr>
          <w:rFonts w:ascii="Arial" w:cs="Arial" w:eastAsia="Arial" w:hAnsi="Arial"/>
          <w:sz w:val="16"/>
          <w:szCs w:val="16"/>
          <w:color w:val="auto"/>
        </w:rPr>
        <w:t>. We have agreed to grant to the Representative the right of first refusal to act as co-manager/co-book runner on customary terms for such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each and every public equity and public debt offering of the Company, or any successor to or any subsidiary of the Company, that takes place within a period of six (6) months from the effective date of the Registration Statement. The Representative shall not have more than one opportunity to waive or terminate this right of first refusal in consideration of any payment or fee.</w:t>
      </w:r>
    </w:p>
    <w:p>
      <w:pPr>
        <w:spacing w:after="0" w:line="167" w:lineRule="exact"/>
        <w:rPr>
          <w:sz w:val="20"/>
          <w:szCs w:val="20"/>
          <w:color w:val="auto"/>
        </w:rPr>
      </w:pPr>
    </w:p>
    <w:p>
      <w:pPr>
        <w:ind w:right="140" w:firstLine="360"/>
        <w:spacing w:after="0" w:line="291" w:lineRule="auto"/>
        <w:rPr>
          <w:sz w:val="20"/>
          <w:szCs w:val="20"/>
          <w:color w:val="auto"/>
        </w:rPr>
      </w:pPr>
      <w:r>
        <w:rPr>
          <w:rFonts w:ascii="Arial" w:cs="Arial" w:eastAsia="Arial" w:hAnsi="Arial"/>
          <w:sz w:val="14"/>
          <w:szCs w:val="14"/>
          <w:i w:val="1"/>
          <w:iCs w:val="1"/>
          <w:color w:val="auto"/>
        </w:rPr>
        <w:t>Representative’s Warrants</w:t>
      </w:r>
      <w:r>
        <w:rPr>
          <w:rFonts w:ascii="Arial" w:cs="Arial" w:eastAsia="Arial" w:hAnsi="Arial"/>
          <w:sz w:val="14"/>
          <w:szCs w:val="14"/>
          <w:color w:val="auto"/>
        </w:rPr>
        <w:t>. We have also agreed to issue to the Representative or its designees, at the closing of this offering, warrants (the “Representative’s Warrants”) to</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that number of our ordinary shares equal to 5% of the aggregate number of shares sold in the offering (excluding the over-allotment option). The Representative’s Warrants will be exercisable at any time and from time to time, in whole or in part, during a period commencing one year from the date of effectiveness of this registration statement (the “First Anniversary”), as follows: 1/3 of the Representative’s Warrants will have an exercise period of 12 months beginning on the First Anniversary, at a price per share equal to 150.0% of the public offering price per share of ordinary shares at the offering; 1/3 of the Representative’s Warrants will have an exercise period of 18 months beginning on the First Anniversary, at a price per share equal to 200.0% of the public offering price per share of ordinary shares at the offering; and 1/3 of the Representative’s Warrants will have an exercise period of 24 months beginning on the First Anniversary, at a price per share equal to 250.0% of the public offering price per share of ordinary shares at the offering. The Representative's Warrants and the shares of common stock underlying the Representative's Warrants have been deemed compensation by FINRA and are, therefore, subject to a 180-day lock-up pursuant to Rule 5110(g)(1) of FINRA. The Representative (or permitted assignees under the Rule) will not sell, transfer, assign, pledge or hypothecate the Representative's Warrants or the shares of common stock underlying the Representative's Warrants, nor will it engage in any hedging, short sale, derivative, put or call transaction that would result in the effective economic disposition of the Representative's Warrants or the common stock underlying the Representative's Warrants for a period of 180 days after the effective date of the registration statement. The Representative’s Warrants will provide for one demand registration right and customary anti-dilution provisions (for share dividends and splits and recapitalizations) consistent with FINRA Rule 5110, and further, the number of shares underlying the Representative’s Warrants shall be reduced if necessary to comply with FINRA rules or regulations.</w:t>
      </w:r>
    </w:p>
    <w:p>
      <w:pPr>
        <w:spacing w:after="0" w:line="150" w:lineRule="exact"/>
        <w:rPr>
          <w:sz w:val="20"/>
          <w:szCs w:val="20"/>
          <w:color w:val="auto"/>
        </w:rPr>
      </w:pPr>
    </w:p>
    <w:p>
      <w:pPr>
        <w:ind w:left="400"/>
        <w:spacing w:after="0"/>
        <w:tabs>
          <w:tab w:leader="none" w:pos="2120" w:val="left"/>
        </w:tabs>
        <w:rPr>
          <w:sz w:val="20"/>
          <w:szCs w:val="20"/>
          <w:color w:val="auto"/>
        </w:rPr>
      </w:pPr>
      <w:r>
        <w:rPr>
          <w:rFonts w:ascii="Arial" w:cs="Arial" w:eastAsia="Arial" w:hAnsi="Arial"/>
          <w:sz w:val="16"/>
          <w:szCs w:val="16"/>
          <w:i w:val="1"/>
          <w:iCs w:val="1"/>
          <w:color w:val="auto"/>
        </w:rPr>
        <w:t>Discretionary Accounts.</w:t>
      </w:r>
      <w:r>
        <w:rPr>
          <w:sz w:val="20"/>
          <w:szCs w:val="20"/>
          <w:color w:val="auto"/>
        </w:rPr>
        <w:tab/>
      </w:r>
      <w:r>
        <w:rPr>
          <w:rFonts w:ascii="Arial" w:cs="Arial" w:eastAsia="Arial" w:hAnsi="Arial"/>
          <w:sz w:val="14"/>
          <w:szCs w:val="14"/>
          <w:color w:val="auto"/>
        </w:rPr>
        <w:t>The underwriters do not intend to confirm sales of the shares offered hereby to any accounts over which they have discretionary authority.</w:t>
      </w:r>
    </w:p>
    <w:p>
      <w:pPr>
        <w:spacing w:after="0" w:line="200" w:lineRule="exact"/>
        <w:rPr>
          <w:sz w:val="20"/>
          <w:szCs w:val="20"/>
          <w:color w:val="auto"/>
        </w:rPr>
      </w:pPr>
    </w:p>
    <w:p>
      <w:pPr>
        <w:ind w:right="280" w:firstLine="360"/>
        <w:spacing w:after="0" w:line="259" w:lineRule="auto"/>
        <w:rPr>
          <w:sz w:val="20"/>
          <w:szCs w:val="20"/>
          <w:color w:val="auto"/>
        </w:rPr>
      </w:pPr>
      <w:r>
        <w:rPr>
          <w:rFonts w:ascii="Arial" w:cs="Arial" w:eastAsia="Arial" w:hAnsi="Arial"/>
          <w:sz w:val="16"/>
          <w:szCs w:val="16"/>
          <w:i w:val="1"/>
          <w:iCs w:val="1"/>
          <w:color w:val="auto"/>
        </w:rPr>
        <w:t xml:space="preserve">Lock-Up Agreements. </w:t>
      </w:r>
      <w:r>
        <w:rPr>
          <w:rFonts w:ascii="Arial" w:cs="Arial" w:eastAsia="Arial" w:hAnsi="Arial"/>
          <w:sz w:val="16"/>
          <w:szCs w:val="16"/>
          <w:color w:val="auto"/>
        </w:rPr>
        <w:t>We, our officers and directors and holders of all of our outstanding ordinary shares have entered into lock-up agreements with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these agreements, we and these other individuals have agreed, subject to specified exceptions, not to sell or transfer any common stock or securities convertible into, or exchangeable or exercisable for, our common stock, during a period ending 180 days after the date of this prospectus, without first obtaining the written consent of the Representative. Specifically, we and these other individuals have agreed not to:</w:t>
      </w:r>
    </w:p>
    <w:p>
      <w:pPr>
        <w:spacing w:after="0" w:line="167" w:lineRule="exact"/>
        <w:rPr>
          <w:sz w:val="20"/>
          <w:szCs w:val="20"/>
          <w:color w:val="auto"/>
        </w:rPr>
      </w:pPr>
    </w:p>
    <w:p>
      <w:pPr>
        <w:ind w:left="900" w:right="420" w:hanging="339"/>
        <w:spacing w:after="0" w:line="351" w:lineRule="auto"/>
        <w:tabs>
          <w:tab w:leader="none" w:pos="9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offer, sell, contract to sell, pledge, grant any option to purchase, make any short sale or otherwise dispose of any ordinary shares, or any options or warrants to purchase any shares of our common stock, or any securities convertible into, exchangeable for or that represent the right to receive ordinary shares; or</w:t>
      </w:r>
    </w:p>
    <w:p>
      <w:pPr>
        <w:spacing w:after="0" w:line="105" w:lineRule="exact"/>
        <w:rPr>
          <w:rFonts w:ascii="Arial" w:cs="Arial" w:eastAsia="Arial" w:hAnsi="Arial"/>
          <w:sz w:val="14"/>
          <w:szCs w:val="14"/>
          <w:color w:val="auto"/>
        </w:rPr>
      </w:pPr>
    </w:p>
    <w:p>
      <w:pPr>
        <w:ind w:left="900" w:right="200" w:hanging="339"/>
        <w:spacing w:after="0" w:line="264"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engage in any hedging or other transactions, including, without limitation, any short sale or any purchase, sale or grant of any right (including without limitation any put or call option) with respect to any of the ordinary shares or with respect to any security that includes, relates to, or derives any significant part of its value from the individual’s ordinary shares;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012" w:right="21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whether any such transaction described above is to be settled by delivery of ordinary shares or other securities, in cash or otherwise.</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restrictions described above, applicable to us, do not apply to:</w:t>
      </w:r>
    </w:p>
    <w:p>
      <w:pPr>
        <w:spacing w:after="0" w:line="200" w:lineRule="exact"/>
        <w:rPr>
          <w:sz w:val="20"/>
          <w:szCs w:val="20"/>
          <w:color w:val="auto"/>
        </w:rPr>
      </w:pPr>
    </w:p>
    <w:p>
      <w:pPr>
        <w:ind w:left="900" w:hanging="339"/>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sale of shares of common stock to the underwriters pursuant to the underwriting agreement;</w:t>
      </w:r>
    </w:p>
    <w:p>
      <w:pPr>
        <w:spacing w:after="0" w:line="200" w:lineRule="exact"/>
        <w:rPr>
          <w:rFonts w:ascii="Arial" w:cs="Arial" w:eastAsia="Arial" w:hAnsi="Arial"/>
          <w:sz w:val="16"/>
          <w:szCs w:val="16"/>
          <w:color w:val="auto"/>
        </w:rPr>
      </w:pPr>
    </w:p>
    <w:p>
      <w:pPr>
        <w:ind w:left="900" w:right="700" w:hanging="339"/>
        <w:spacing w:after="0" w:line="277"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issuance by us of shares of our common stock upon the exercise of an option or warrant or the conversion of a security outstanding on the date of this prospectus of which the underwriters have been advised in writing or that is described in this prospectus;</w:t>
      </w:r>
    </w:p>
    <w:p>
      <w:pPr>
        <w:spacing w:after="0" w:line="151" w:lineRule="exact"/>
        <w:rPr>
          <w:rFonts w:ascii="Arial" w:cs="Arial" w:eastAsia="Arial" w:hAnsi="Arial"/>
          <w:sz w:val="16"/>
          <w:szCs w:val="16"/>
          <w:color w:val="auto"/>
        </w:rPr>
      </w:pPr>
    </w:p>
    <w:p>
      <w:pPr>
        <w:ind w:left="900" w:right="100" w:hanging="339"/>
        <w:spacing w:after="0" w:line="259"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grant by us of stock options or other stock-based awards, or the issuance of shares of our common stock upon exercise thereof, to eligible participants pursuant to employee benefit or equity incentive plans described in this prospectus, provided that, prior to the grant of any such stock options or other stock-based awards that vest within the restricted period, each recipient of such grant shall sign and deliver a lock-up agreement agreeing to be subject to the restrictions on transfer described above; and</w:t>
      </w:r>
    </w:p>
    <w:p>
      <w:pPr>
        <w:spacing w:after="0" w:line="166" w:lineRule="exact"/>
        <w:rPr>
          <w:rFonts w:ascii="Arial" w:cs="Arial" w:eastAsia="Arial" w:hAnsi="Arial"/>
          <w:sz w:val="16"/>
          <w:szCs w:val="16"/>
          <w:color w:val="auto"/>
        </w:rPr>
      </w:pPr>
    </w:p>
    <w:p>
      <w:pPr>
        <w:ind w:left="900" w:right="40" w:hanging="339"/>
        <w:spacing w:after="0" w:line="277"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filing by us of a registration statement on Form S-8 or any successor form thereto with respect to the registration of securities to be offered under any employee benefit or equity incentive plans described in this prospectus.</w:t>
      </w:r>
    </w:p>
    <w:p>
      <w:pPr>
        <w:spacing w:after="0" w:line="152" w:lineRule="exact"/>
        <w:rPr>
          <w:sz w:val="20"/>
          <w:szCs w:val="20"/>
          <w:color w:val="auto"/>
        </w:rPr>
      </w:pPr>
    </w:p>
    <w:p>
      <w:pPr>
        <w:ind w:firstLine="392"/>
        <w:spacing w:after="0" w:line="256" w:lineRule="auto"/>
        <w:rPr>
          <w:sz w:val="20"/>
          <w:szCs w:val="20"/>
          <w:color w:val="auto"/>
        </w:rPr>
      </w:pPr>
      <w:r>
        <w:rPr>
          <w:rFonts w:ascii="Arial" w:cs="Arial" w:eastAsia="Arial" w:hAnsi="Arial"/>
          <w:sz w:val="16"/>
          <w:szCs w:val="16"/>
          <w:color w:val="auto"/>
        </w:rPr>
        <w:t>The 180-day restricted period is subject to extension if (1) during the last 17 days of the restricted period we issue an earnings release or material news or a material event relating to us occurs or (2) prior to the expiration of the restricted period, we announce that we will release earnings results during the 15-day period beginning on the last day of the restricted period, in which case the restrictions imposed in the lock-up agreements will continue to apply until the expiration of the 18-day period beginning on the issuance of the earnings release or the occurrence of the material news or material event. In addition, if the Representative agrees to release any party from the restrictions set forth in the lock-up agreement with such party prior to the expiration of the restricted period, all other parties subject to the lock-up agreement shall be entitled to a proportionate release of their ordinary shares from the lock-up agreement restrictions.</w:t>
      </w:r>
    </w:p>
    <w:p>
      <w:pPr>
        <w:spacing w:after="0" w:line="168" w:lineRule="exact"/>
        <w:rPr>
          <w:sz w:val="20"/>
          <w:szCs w:val="20"/>
          <w:color w:val="auto"/>
        </w:rPr>
      </w:pPr>
    </w:p>
    <w:p>
      <w:pPr>
        <w:ind w:right="100" w:firstLine="400"/>
        <w:spacing w:after="0" w:line="276" w:lineRule="auto"/>
        <w:rPr>
          <w:sz w:val="20"/>
          <w:szCs w:val="20"/>
          <w:color w:val="auto"/>
        </w:rPr>
      </w:pPr>
      <w:r>
        <w:rPr>
          <w:rFonts w:ascii="Arial" w:cs="Arial" w:eastAsia="Arial" w:hAnsi="Arial"/>
          <w:sz w:val="15"/>
          <w:szCs w:val="15"/>
          <w:i w:val="1"/>
          <w:iCs w:val="1"/>
          <w:color w:val="auto"/>
        </w:rPr>
        <w:t xml:space="preserve">Electronic Offer, Sale and Distribution of Shares. </w:t>
      </w:r>
      <w:r>
        <w:rPr>
          <w:rFonts w:ascii="Arial" w:cs="Arial" w:eastAsia="Arial" w:hAnsi="Arial"/>
          <w:sz w:val="15"/>
          <w:szCs w:val="15"/>
          <w:color w:val="auto"/>
        </w:rPr>
        <w:t>A prospectus in electronic format may be made available on the websites maintained by one or more of the underwriters</w:t>
      </w:r>
      <w:r>
        <w:rPr>
          <w:rFonts w:ascii="Arial" w:cs="Arial" w:eastAsia="Arial" w:hAnsi="Arial"/>
          <w:sz w:val="15"/>
          <w:szCs w:val="15"/>
          <w:i w:val="1"/>
          <w:iCs w:val="1"/>
          <w:color w:val="auto"/>
        </w:rPr>
        <w:t xml:space="preserve"> </w:t>
      </w:r>
      <w:r>
        <w:rPr>
          <w:rFonts w:ascii="Arial" w:cs="Arial" w:eastAsia="Arial" w:hAnsi="Arial"/>
          <w:sz w:val="15"/>
          <w:szCs w:val="15"/>
          <w:color w:val="auto"/>
        </w:rPr>
        <w:t>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55" w:lineRule="exact"/>
        <w:rPr>
          <w:sz w:val="20"/>
          <w:szCs w:val="20"/>
          <w:color w:val="auto"/>
        </w:rPr>
      </w:pPr>
    </w:p>
    <w:p>
      <w:pPr>
        <w:ind w:right="80" w:firstLine="360"/>
        <w:spacing w:after="0" w:line="259" w:lineRule="auto"/>
        <w:rPr>
          <w:sz w:val="20"/>
          <w:szCs w:val="20"/>
          <w:color w:val="auto"/>
        </w:rPr>
      </w:pPr>
      <w:r>
        <w:rPr>
          <w:rFonts w:ascii="Arial" w:cs="Arial" w:eastAsia="Arial" w:hAnsi="Arial"/>
          <w:sz w:val="16"/>
          <w:szCs w:val="16"/>
          <w:i w:val="1"/>
          <w:iCs w:val="1"/>
          <w:color w:val="auto"/>
        </w:rPr>
        <w:t xml:space="preserve">Other Relationships. </w:t>
      </w:r>
      <w:r>
        <w:rPr>
          <w:rFonts w:ascii="Arial" w:cs="Arial" w:eastAsia="Arial" w:hAnsi="Arial"/>
          <w:sz w:val="16"/>
          <w:szCs w:val="16"/>
          <w:color w:val="auto"/>
        </w:rPr>
        <w:t>Certain of the underwriters and their affiliates may in the future provide various investment banking, commercial banking and other financial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for us and our affiliates for which may receive customary fees; however, except as disclosed in this prospectus, no such services were provided in the 180-day period preceding this filing and we have no present arrangements with any of the underwriters or their affiliates for any further services to be provided through the 90-day period following the effectiveness of this offering or thereafter.</w:t>
      </w:r>
    </w:p>
    <w:p>
      <w:pPr>
        <w:spacing w:after="0" w:line="16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6"/>
          <w:szCs w:val="16"/>
          <w:i w:val="1"/>
          <w:iCs w:val="1"/>
          <w:color w:val="auto"/>
        </w:rPr>
        <w:t xml:space="preserve">Stabilization. </w:t>
      </w:r>
      <w:r>
        <w:rPr>
          <w:rFonts w:ascii="Arial" w:cs="Arial" w:eastAsia="Arial" w:hAnsi="Arial"/>
          <w:sz w:val="16"/>
          <w:szCs w:val="16"/>
          <w:color w:val="auto"/>
        </w:rPr>
        <w:t>In connection with this offering, the underwriters may engage in stabilizing transactions, overallotment transactions, syndicate covering transactions, penalty</w:t>
      </w:r>
      <w:r>
        <w:rPr>
          <w:rFonts w:ascii="Arial" w:cs="Arial" w:eastAsia="Arial" w:hAnsi="Arial"/>
          <w:sz w:val="16"/>
          <w:szCs w:val="16"/>
          <w:i w:val="1"/>
          <w:iCs w:val="1"/>
          <w:color w:val="auto"/>
        </w:rPr>
        <w:t xml:space="preserve"> </w:t>
      </w:r>
      <w:r>
        <w:rPr>
          <w:rFonts w:ascii="Arial" w:cs="Arial" w:eastAsia="Arial" w:hAnsi="Arial"/>
          <w:sz w:val="16"/>
          <w:szCs w:val="16"/>
          <w:color w:val="auto"/>
        </w:rPr>
        <w:t>bids and purchases to cover positions created by short sales.</w:t>
      </w:r>
    </w:p>
    <w:p>
      <w:pPr>
        <w:spacing w:after="0" w:line="152" w:lineRule="exact"/>
        <w:rPr>
          <w:sz w:val="20"/>
          <w:szCs w:val="20"/>
          <w:color w:val="auto"/>
        </w:rPr>
      </w:pPr>
    </w:p>
    <w:p>
      <w:pPr>
        <w:ind w:left="360" w:right="180" w:hanging="4"/>
        <w:spacing w:after="0" w:line="277" w:lineRule="auto"/>
        <w:tabs>
          <w:tab w:leader="none" w:pos="1000" w:val="left"/>
        </w:tabs>
        <w:numPr>
          <w:ilvl w:val="0"/>
          <w:numId w:val="79"/>
        </w:numPr>
        <w:rPr>
          <w:rFonts w:ascii="Arial" w:cs="Arial" w:eastAsia="Arial" w:hAnsi="Arial"/>
          <w:sz w:val="16"/>
          <w:szCs w:val="16"/>
          <w:color w:val="A6A6A6"/>
        </w:rPr>
      </w:pPr>
      <w:r>
        <w:rPr>
          <w:rFonts w:ascii="Arial" w:cs="Arial" w:eastAsia="Arial" w:hAnsi="Arial"/>
          <w:sz w:val="16"/>
          <w:szCs w:val="16"/>
          <w:color w:val="auto"/>
        </w:rPr>
        <w:t>Stabilizing transactions permit bids to purchase shares so long as the stabilizing bids do not exceed a specified maximum, and are engaged in for the purpose of preventing or retarding a decline in the market price of the shares while the offering is in progress.</w:t>
      </w:r>
    </w:p>
    <w:p>
      <w:pPr>
        <w:spacing w:after="0" w:line="151" w:lineRule="exact"/>
        <w:rPr>
          <w:rFonts w:ascii="Arial" w:cs="Arial" w:eastAsia="Arial" w:hAnsi="Arial"/>
          <w:sz w:val="16"/>
          <w:szCs w:val="16"/>
          <w:color w:val="A6A6A6"/>
        </w:rPr>
      </w:pPr>
    </w:p>
    <w:p>
      <w:pPr>
        <w:ind w:left="360" w:right="40" w:hanging="4"/>
        <w:spacing w:after="0" w:line="257" w:lineRule="auto"/>
        <w:tabs>
          <w:tab w:leader="none" w:pos="1000" w:val="left"/>
        </w:tabs>
        <w:numPr>
          <w:ilvl w:val="0"/>
          <w:numId w:val="79"/>
        </w:numPr>
        <w:rPr>
          <w:rFonts w:ascii="Arial" w:cs="Arial" w:eastAsia="Arial" w:hAnsi="Arial"/>
          <w:sz w:val="16"/>
          <w:szCs w:val="16"/>
          <w:color w:val="A6A6A6"/>
        </w:rPr>
      </w:pPr>
      <w:r>
        <w:rPr>
          <w:rFonts w:ascii="Arial" w:cs="Arial" w:eastAsia="Arial" w:hAnsi="Arial"/>
          <w:sz w:val="16"/>
          <w:szCs w:val="16"/>
          <w:color w:val="auto"/>
        </w:rPr>
        <w:t>Overallotment transactions involve sales by the underwriters of shares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9" w:name="page90"/>
    <w:bookmarkEnd w:id="89"/>
    <w:p>
      <w:pPr>
        <w:ind w:left="360" w:right="20" w:hanging="4"/>
        <w:spacing w:after="0" w:line="276" w:lineRule="auto"/>
        <w:tabs>
          <w:tab w:leader="none" w:pos="1000" w:val="left"/>
        </w:tabs>
        <w:numPr>
          <w:ilvl w:val="0"/>
          <w:numId w:val="80"/>
        </w:numPr>
        <w:rPr>
          <w:rFonts w:ascii="Arial" w:cs="Arial" w:eastAsia="Arial" w:hAnsi="Arial"/>
          <w:sz w:val="15"/>
          <w:szCs w:val="15"/>
          <w:color w:val="A6A6A6"/>
        </w:rPr>
      </w:pPr>
      <w:r>
        <w:rPr>
          <w:rFonts w:ascii="Arial" w:cs="Arial" w:eastAsia="Arial" w:hAnsi="Arial"/>
          <w:sz w:val="15"/>
          <w:szCs w:val="15"/>
          <w:color w:val="auto"/>
        </w:rPr>
        <w:t>Syndicate covering transactions involve purchases of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155" w:lineRule="exact"/>
        <w:rPr>
          <w:rFonts w:ascii="Arial" w:cs="Arial" w:eastAsia="Arial" w:hAnsi="Arial"/>
          <w:sz w:val="15"/>
          <w:szCs w:val="15"/>
          <w:color w:val="A6A6A6"/>
        </w:rPr>
      </w:pPr>
    </w:p>
    <w:p>
      <w:pPr>
        <w:ind w:left="360" w:right="320" w:hanging="4"/>
        <w:spacing w:after="0" w:line="277" w:lineRule="auto"/>
        <w:tabs>
          <w:tab w:leader="none" w:pos="1040" w:val="left"/>
        </w:tabs>
        <w:numPr>
          <w:ilvl w:val="0"/>
          <w:numId w:val="80"/>
        </w:numPr>
        <w:rPr>
          <w:rFonts w:ascii="Arial" w:cs="Arial" w:eastAsia="Arial" w:hAnsi="Arial"/>
          <w:sz w:val="16"/>
          <w:szCs w:val="16"/>
          <w:color w:val="A6A6A6"/>
        </w:rPr>
      </w:pPr>
      <w:r>
        <w:rPr>
          <w:rFonts w:ascii="Arial" w:cs="Arial" w:eastAsia="Arial" w:hAnsi="Arial"/>
          <w:sz w:val="16"/>
          <w:szCs w:val="16"/>
          <w:color w:val="auto"/>
        </w:rPr>
        <w:t>Penalty bids permit the representative to reclaim a selling concession from a syndicate member when the shares originally sold by that syndicate member are purchased in stabilizing or syndicate covering transactions to cover syndicate short positions.</w:t>
      </w:r>
    </w:p>
    <w:p>
      <w:pPr>
        <w:spacing w:after="0" w:line="152" w:lineRule="exact"/>
        <w:rPr>
          <w:sz w:val="20"/>
          <w:szCs w:val="20"/>
          <w:color w:val="auto"/>
        </w:rPr>
      </w:pPr>
    </w:p>
    <w:p>
      <w:pPr>
        <w:ind w:right="20" w:firstLine="360"/>
        <w:spacing w:after="0" w:line="308" w:lineRule="auto"/>
        <w:rPr>
          <w:sz w:val="20"/>
          <w:szCs w:val="20"/>
          <w:color w:val="auto"/>
        </w:rPr>
      </w:pPr>
      <w:r>
        <w:rPr>
          <w:rFonts w:ascii="Arial" w:cs="Arial" w:eastAsia="Arial" w:hAnsi="Arial"/>
          <w:sz w:val="14"/>
          <w:szCs w:val="14"/>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 the price of our ordinary shares. These transactions may be effected on Nasdaq, in the over-the-counter market or otherwise and, if commenced, may be discontinued at any time.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 of ordinary shares</w:t>
      </w:r>
    </w:p>
    <w:p>
      <w:pPr>
        <w:spacing w:after="0" w:line="204" w:lineRule="exact"/>
        <w:rPr>
          <w:sz w:val="20"/>
          <w:szCs w:val="20"/>
          <w:color w:val="auto"/>
        </w:rPr>
      </w:pPr>
    </w:p>
    <w:p>
      <w:pPr>
        <w:ind w:right="480" w:firstLine="360"/>
        <w:spacing w:after="0" w:line="264" w:lineRule="auto"/>
        <w:rPr>
          <w:sz w:val="20"/>
          <w:szCs w:val="20"/>
          <w:color w:val="auto"/>
        </w:rPr>
      </w:pPr>
      <w:r>
        <w:rPr>
          <w:rFonts w:ascii="Arial" w:cs="Arial" w:eastAsia="Arial" w:hAnsi="Arial"/>
          <w:sz w:val="16"/>
          <w:szCs w:val="16"/>
          <w:color w:val="auto"/>
        </w:rPr>
        <w:t>Prior to this offering, there has been no public market for our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62" w:lineRule="exact"/>
        <w:rPr>
          <w:sz w:val="20"/>
          <w:szCs w:val="20"/>
          <w:color w:val="auto"/>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the information set forth in this prospectus and otherwise available to the representative;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our prospects and the history and prospects for the industry in which we compete;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an assessment of our management;</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our prospects for future earnings;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the general condition of the securities markets at the time of this offering;</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the recent market prices of, and demand for, publicly traded common stock of generally comparable companies;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other factors deemed relevant by the underwriters and us.</w:t>
      </w:r>
    </w:p>
    <w:p>
      <w:pPr>
        <w:spacing w:after="0" w:line="200"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Neither we nor the underwriters can assure investors that an active trading market will develop for our ordinary shares, or that the shares will trade in the public market at or above the initial public offering price.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 Restrictions Outside the United States</w:t>
      </w:r>
    </w:p>
    <w:p>
      <w:pPr>
        <w:spacing w:after="0" w:line="204" w:lineRule="exact"/>
        <w:rPr>
          <w:sz w:val="20"/>
          <w:szCs w:val="20"/>
          <w:color w:val="auto"/>
        </w:rPr>
      </w:pPr>
    </w:p>
    <w:p>
      <w:pPr>
        <w:ind w:right="20" w:firstLine="360"/>
        <w:spacing w:after="0" w:line="276" w:lineRule="auto"/>
        <w:rPr>
          <w:sz w:val="20"/>
          <w:szCs w:val="20"/>
          <w:color w:val="auto"/>
        </w:rPr>
      </w:pPr>
      <w:r>
        <w:rPr>
          <w:rFonts w:ascii="Arial" w:cs="Arial" w:eastAsia="Arial" w:hAnsi="Arial"/>
          <w:sz w:val="15"/>
          <w:szCs w:val="15"/>
          <w:color w:val="auto"/>
        </w:rPr>
        <w:t>Other than in the United States, no action has been taken by us or the underwriters that would permit a public offering of the shares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0" w:name="page91"/>
    <w:bookmarkEnd w:id="90"/>
    <w:p>
      <w:pPr>
        <w:ind w:left="360"/>
        <w:spacing w:after="0"/>
        <w:rPr>
          <w:sz w:val="20"/>
          <w:szCs w:val="20"/>
          <w:color w:val="auto"/>
        </w:rPr>
      </w:pPr>
      <w:r>
        <w:rPr>
          <w:rFonts w:ascii="Arial" w:cs="Arial" w:eastAsia="Arial" w:hAnsi="Arial"/>
          <w:sz w:val="16"/>
          <w:szCs w:val="16"/>
          <w:b w:val="1"/>
          <w:bCs w:val="1"/>
          <w:i w:val="1"/>
          <w:iCs w:val="1"/>
          <w:color w:val="auto"/>
        </w:rPr>
        <w:t>European economic area</w:t>
      </w:r>
    </w:p>
    <w:p>
      <w:pPr>
        <w:spacing w:after="0" w:line="200"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any shares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67" w:lineRule="exact"/>
        <w:rPr>
          <w:sz w:val="20"/>
          <w:szCs w:val="20"/>
          <w:color w:val="auto"/>
        </w:rPr>
      </w:pPr>
    </w:p>
    <w:p>
      <w:pPr>
        <w:ind w:left="640" w:hanging="284"/>
        <w:spacing w:after="0"/>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to any legal entity which is a qualified investor as defined in the Prospectus Directive;</w:t>
      </w:r>
    </w:p>
    <w:p>
      <w:pPr>
        <w:spacing w:after="0" w:line="200" w:lineRule="exact"/>
        <w:rPr>
          <w:rFonts w:ascii="Arial" w:cs="Arial" w:eastAsia="Arial" w:hAnsi="Arial"/>
          <w:sz w:val="16"/>
          <w:szCs w:val="16"/>
          <w:color w:val="A6A6A6"/>
        </w:rPr>
      </w:pPr>
    </w:p>
    <w:p>
      <w:pPr>
        <w:ind w:left="360" w:right="140" w:hanging="4"/>
        <w:spacing w:after="0" w:line="264" w:lineRule="auto"/>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for any such offer; or</w:t>
      </w:r>
    </w:p>
    <w:p>
      <w:pPr>
        <w:spacing w:after="0" w:line="161" w:lineRule="exact"/>
        <w:rPr>
          <w:rFonts w:ascii="Arial" w:cs="Arial" w:eastAsia="Arial" w:hAnsi="Arial"/>
          <w:sz w:val="16"/>
          <w:szCs w:val="16"/>
          <w:color w:val="A6A6A6"/>
        </w:rPr>
      </w:pPr>
    </w:p>
    <w:p>
      <w:pPr>
        <w:ind w:left="360" w:right="100" w:hanging="4"/>
        <w:spacing w:after="0" w:line="277" w:lineRule="auto"/>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152" w:lineRule="exact"/>
        <w:rPr>
          <w:sz w:val="20"/>
          <w:szCs w:val="20"/>
          <w:color w:val="auto"/>
        </w:rPr>
      </w:pPr>
    </w:p>
    <w:p>
      <w:pPr>
        <w:ind w:right="40" w:firstLine="360"/>
        <w:spacing w:after="0" w:line="278"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United Kingdom</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underwriter has represented and agreed that:</w:t>
      </w:r>
    </w:p>
    <w:p>
      <w:pPr>
        <w:spacing w:after="0" w:line="200" w:lineRule="exact"/>
        <w:rPr>
          <w:sz w:val="20"/>
          <w:szCs w:val="20"/>
          <w:color w:val="auto"/>
        </w:rPr>
      </w:pPr>
    </w:p>
    <w:p>
      <w:pPr>
        <w:ind w:left="360" w:right="80" w:hanging="4"/>
        <w:spacing w:after="0" w:line="264" w:lineRule="auto"/>
        <w:tabs>
          <w:tab w:leader="none" w:pos="640"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us; and</w:t>
      </w:r>
    </w:p>
    <w:p>
      <w:pPr>
        <w:spacing w:after="0" w:line="161" w:lineRule="exact"/>
        <w:rPr>
          <w:rFonts w:ascii="Arial" w:cs="Arial" w:eastAsia="Arial" w:hAnsi="Arial"/>
          <w:sz w:val="16"/>
          <w:szCs w:val="16"/>
          <w:color w:val="A6A6A6"/>
        </w:rPr>
      </w:pPr>
    </w:p>
    <w:p>
      <w:pPr>
        <w:ind w:left="360" w:right="40" w:hanging="4"/>
        <w:spacing w:after="0" w:line="277" w:lineRule="auto"/>
        <w:tabs>
          <w:tab w:leader="none" w:pos="640"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it has complied and will comply with all applicable provisions of the FSMA with respect to anything done by it in relation to the Shares in, from or otherwise involving the United Kingdom.</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Israel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State of Israel, the securities offered hereby may not be offered to any person or entity other than the following:</w:t>
      </w:r>
    </w:p>
    <w:p>
      <w:pPr>
        <w:spacing w:after="0" w:line="200" w:lineRule="exact"/>
        <w:rPr>
          <w:sz w:val="20"/>
          <w:szCs w:val="20"/>
          <w:color w:val="auto"/>
        </w:rPr>
      </w:pPr>
    </w:p>
    <w:p>
      <w:pPr>
        <w:ind w:left="360" w:right="40" w:hanging="4"/>
        <w:spacing w:after="0" w:line="277" w:lineRule="auto"/>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 fund for joint investments in trust (i.e., mutual fund), as such term is defined in the Law for Joint Investments in Trust, 5754-1994, or a management company of such a fund;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 provident fund as defined in the Control of the Financial Services (Provident Funds) Law 5765-2005, or a management company of such a fund;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an insurer, as defined in the Law for Oversight of Insurance Transactions, 5741-1981;</w:t>
      </w:r>
    </w:p>
    <w:p>
      <w:pPr>
        <w:spacing w:after="0" w:line="200" w:lineRule="exact"/>
        <w:rPr>
          <w:rFonts w:ascii="Arial" w:cs="Arial" w:eastAsia="Arial" w:hAnsi="Arial"/>
          <w:sz w:val="16"/>
          <w:szCs w:val="16"/>
          <w:color w:val="A6A6A6"/>
        </w:rPr>
      </w:pPr>
    </w:p>
    <w:p>
      <w:pPr>
        <w:ind w:left="360" w:hanging="4"/>
        <w:spacing w:after="0" w:line="277" w:lineRule="auto"/>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91" w:name="page92"/>
    <w:bookmarkEnd w:id="91"/>
    <w:p>
      <w:pPr>
        <w:ind w:left="640" w:hanging="284"/>
        <w:spacing w:after="0"/>
        <w:tabs>
          <w:tab w:leader="none" w:pos="640" w:val="left"/>
        </w:tabs>
        <w:numPr>
          <w:ilvl w:val="0"/>
          <w:numId w:val="85"/>
        </w:numPr>
        <w:rPr>
          <w:rFonts w:ascii="Arial" w:cs="Arial" w:eastAsia="Arial" w:hAnsi="Arial"/>
          <w:sz w:val="14"/>
          <w:szCs w:val="14"/>
          <w:color w:val="A6A6A6"/>
        </w:rPr>
      </w:pPr>
      <w:r>
        <w:rPr>
          <w:rFonts w:ascii="Arial" w:cs="Arial" w:eastAsia="Arial" w:hAnsi="Arial"/>
          <w:sz w:val="14"/>
          <w:szCs w:val="14"/>
          <w:color w:val="auto"/>
        </w:rPr>
        <w:t>a company that is licensed as a portfolio manager, as such term is defined in Section 8(b) of the Law for the Regulation of Investment Advisors and Portfolio Managers,</w:t>
      </w:r>
    </w:p>
    <w:p>
      <w:pPr>
        <w:spacing w:after="0" w:line="43" w:lineRule="exact"/>
        <w:rPr>
          <w:rFonts w:ascii="Arial" w:cs="Arial" w:eastAsia="Arial" w:hAnsi="Arial"/>
          <w:sz w:val="14"/>
          <w:szCs w:val="14"/>
          <w:color w:val="A6A6A6"/>
        </w:rPr>
      </w:pPr>
    </w:p>
    <w:p>
      <w:pPr>
        <w:ind w:left="360"/>
        <w:spacing w:after="0"/>
        <w:rPr>
          <w:rFonts w:ascii="Arial" w:cs="Arial" w:eastAsia="Arial" w:hAnsi="Arial"/>
          <w:sz w:val="14"/>
          <w:szCs w:val="14"/>
          <w:color w:val="A6A6A6"/>
        </w:rPr>
      </w:pPr>
      <w:r>
        <w:rPr>
          <w:rFonts w:ascii="Arial" w:cs="Arial" w:eastAsia="Arial" w:hAnsi="Arial"/>
          <w:sz w:val="16"/>
          <w:szCs w:val="16"/>
          <w:color w:val="auto"/>
        </w:rPr>
        <w:t>5755-1995, acting on its own account or for the account of investors of the type listed in Section 15A(b) of the Securities Law, 1968;</w:t>
      </w:r>
    </w:p>
    <w:p>
      <w:pPr>
        <w:spacing w:after="0" w:line="187" w:lineRule="exact"/>
        <w:rPr>
          <w:rFonts w:ascii="Arial" w:cs="Arial" w:eastAsia="Arial" w:hAnsi="Arial"/>
          <w:sz w:val="14"/>
          <w:szCs w:val="14"/>
          <w:color w:val="A6A6A6"/>
        </w:rPr>
      </w:pPr>
    </w:p>
    <w:p>
      <w:pPr>
        <w:ind w:left="640" w:hanging="284"/>
        <w:spacing w:after="0"/>
        <w:tabs>
          <w:tab w:leader="none" w:pos="640" w:val="left"/>
        </w:tabs>
        <w:numPr>
          <w:ilvl w:val="0"/>
          <w:numId w:val="85"/>
        </w:numPr>
        <w:rPr>
          <w:rFonts w:ascii="Arial" w:cs="Arial" w:eastAsia="Arial" w:hAnsi="Arial"/>
          <w:sz w:val="14"/>
          <w:szCs w:val="14"/>
          <w:color w:val="A6A6A6"/>
        </w:rPr>
      </w:pPr>
      <w:r>
        <w:rPr>
          <w:rFonts w:ascii="Arial" w:cs="Arial" w:eastAsia="Arial" w:hAnsi="Arial"/>
          <w:sz w:val="14"/>
          <w:szCs w:val="14"/>
          <w:color w:val="auto"/>
        </w:rPr>
        <w:t>an investment advisor or investment distributer, as such term is defined in Section 7(c) of the Law for the Regulation of Investment Advisors and Portfolio Managers,</w:t>
      </w:r>
    </w:p>
    <w:p>
      <w:pPr>
        <w:spacing w:after="0" w:line="43" w:lineRule="exact"/>
        <w:rPr>
          <w:rFonts w:ascii="Arial" w:cs="Arial" w:eastAsia="Arial" w:hAnsi="Arial"/>
          <w:sz w:val="14"/>
          <w:szCs w:val="14"/>
          <w:color w:val="A6A6A6"/>
        </w:rPr>
      </w:pPr>
    </w:p>
    <w:p>
      <w:pPr>
        <w:ind w:left="360"/>
        <w:spacing w:after="0"/>
        <w:rPr>
          <w:rFonts w:ascii="Arial" w:cs="Arial" w:eastAsia="Arial" w:hAnsi="Arial"/>
          <w:sz w:val="14"/>
          <w:szCs w:val="14"/>
          <w:color w:val="A6A6A6"/>
        </w:rPr>
      </w:pPr>
      <w:r>
        <w:rPr>
          <w:rFonts w:ascii="Arial" w:cs="Arial" w:eastAsia="Arial" w:hAnsi="Arial"/>
          <w:sz w:val="16"/>
          <w:szCs w:val="16"/>
          <w:color w:val="auto"/>
        </w:rPr>
        <w:t>5755-1995, acting on its own account;</w:t>
      </w:r>
    </w:p>
    <w:p>
      <w:pPr>
        <w:spacing w:after="0" w:line="187" w:lineRule="exact"/>
        <w:rPr>
          <w:rFonts w:ascii="Arial" w:cs="Arial" w:eastAsia="Arial" w:hAnsi="Arial"/>
          <w:sz w:val="14"/>
          <w:szCs w:val="14"/>
          <w:color w:val="A6A6A6"/>
        </w:rPr>
      </w:pPr>
    </w:p>
    <w:p>
      <w:pPr>
        <w:ind w:left="640" w:hanging="284"/>
        <w:spacing w:after="0"/>
        <w:tabs>
          <w:tab w:leader="none" w:pos="640" w:val="left"/>
        </w:tabs>
        <w:numPr>
          <w:ilvl w:val="0"/>
          <w:numId w:val="85"/>
        </w:numPr>
        <w:rPr>
          <w:rFonts w:ascii="Arial" w:cs="Arial" w:eastAsia="Arial" w:hAnsi="Arial"/>
          <w:sz w:val="14"/>
          <w:szCs w:val="14"/>
          <w:color w:val="A6A6A6"/>
        </w:rPr>
      </w:pPr>
      <w:r>
        <w:rPr>
          <w:rFonts w:ascii="Arial" w:cs="Arial" w:eastAsia="Arial" w:hAnsi="Arial"/>
          <w:sz w:val="14"/>
          <w:szCs w:val="14"/>
          <w:color w:val="auto"/>
        </w:rPr>
        <w:t>a member of the Tel Aviv Stock Exchange, acting on its own account or for the account of investors of the type listed in Section 15A(b) of the Securities Law, 1968;</w:t>
      </w:r>
    </w:p>
    <w:p>
      <w:pPr>
        <w:spacing w:after="0" w:line="223" w:lineRule="exact"/>
        <w:rPr>
          <w:rFonts w:ascii="Arial" w:cs="Arial" w:eastAsia="Arial" w:hAnsi="Arial"/>
          <w:sz w:val="14"/>
          <w:szCs w:val="14"/>
          <w:color w:val="A6A6A6"/>
        </w:rPr>
      </w:pPr>
    </w:p>
    <w:p>
      <w:pPr>
        <w:ind w:left="640" w:hanging="284"/>
        <w:spacing w:after="0"/>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underwriter fulfilling the conditions of Section 56(c) of the Securities Law, 5728-1968, acting on its own account;</w:t>
      </w:r>
    </w:p>
    <w:p>
      <w:pPr>
        <w:spacing w:after="0" w:line="200" w:lineRule="exact"/>
        <w:rPr>
          <w:rFonts w:ascii="Arial" w:cs="Arial" w:eastAsia="Arial" w:hAnsi="Arial"/>
          <w:sz w:val="16"/>
          <w:szCs w:val="16"/>
          <w:color w:val="A6A6A6"/>
        </w:rPr>
      </w:pPr>
    </w:p>
    <w:p>
      <w:pPr>
        <w:ind w:left="360" w:right="140" w:hanging="4"/>
        <w:spacing w:after="0" w:line="277" w:lineRule="auto"/>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entity fully owned by investors of the type listed in Section 15A(b) of the Securities Law, 1968;</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5"/>
        </w:numPr>
        <w:rPr>
          <w:rFonts w:ascii="Arial" w:cs="Arial" w:eastAsia="Arial" w:hAnsi="Arial"/>
          <w:sz w:val="15"/>
          <w:szCs w:val="15"/>
          <w:color w:val="A6A6A6"/>
        </w:rPr>
      </w:pPr>
      <w:r>
        <w:rPr>
          <w:rFonts w:ascii="Arial" w:cs="Arial" w:eastAsia="Arial" w:hAnsi="Arial"/>
          <w:sz w:val="15"/>
          <w:szCs w:val="15"/>
          <w:color w:val="auto"/>
        </w:rPr>
        <w:t>an entity, other than an entity formed for the purpose of purchasing securities in this offering, in which the shareholders’ equity is in excess of NIS 50 million; and</w:t>
      </w:r>
    </w:p>
    <w:p>
      <w:pPr>
        <w:spacing w:after="0" w:line="211" w:lineRule="exact"/>
        <w:rPr>
          <w:rFonts w:ascii="Arial" w:cs="Arial" w:eastAsia="Arial" w:hAnsi="Arial"/>
          <w:sz w:val="15"/>
          <w:szCs w:val="15"/>
          <w:color w:val="A6A6A6"/>
        </w:rPr>
      </w:pPr>
    </w:p>
    <w:p>
      <w:pPr>
        <w:ind w:left="360" w:right="100" w:hanging="4"/>
        <w:spacing w:after="0" w:line="264" w:lineRule="auto"/>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individual fulfilling the conditions of Section 9 to the supplement to the Law for the Regulation of Investment Advisors and Portfolio Managers, 5755-1995, acting on its own account (for this matter, Section 9 to the supplement shall be referred to as “as an investor for the meaning of Section15A(b)(1) of the Securities Law 1968” instead of “as an eligible client for the meaning of this law”).</w:t>
      </w:r>
    </w:p>
    <w:p>
      <w:pPr>
        <w:spacing w:after="0" w:line="162" w:lineRule="exact"/>
        <w:rPr>
          <w:sz w:val="20"/>
          <w:szCs w:val="20"/>
          <w:color w:val="auto"/>
        </w:rPr>
      </w:pPr>
    </w:p>
    <w:p>
      <w:pPr>
        <w:ind w:right="60" w:firstLine="360"/>
        <w:spacing w:after="0" w:line="259" w:lineRule="auto"/>
        <w:rPr>
          <w:sz w:val="20"/>
          <w:szCs w:val="20"/>
          <w:color w:val="auto"/>
        </w:rPr>
      </w:pPr>
      <w:r>
        <w:rPr>
          <w:rFonts w:ascii="Arial" w:cs="Arial" w:eastAsia="Arial" w:hAnsi="Arial"/>
          <w:sz w:val="16"/>
          <w:szCs w:val="16"/>
          <w:color w:val="auto"/>
        </w:rPr>
        <w:t>Offerees of the securities offered hereby (“Investors”) in the State of Israel shall be required to submit written confirmation that they fall within the scope of one of the above criteria, that they are fully aware of the significance of being an Investor pursuant to such criteria and that they have given their consent (the “Consent”). An appeal to an Investor for the Consent shall not be considered a public offering. This prospectus supplement will not be distributed or directed to investors in the State of Israel who do not fall within one of the above criteria.</w:t>
      </w:r>
    </w:p>
    <w:p>
      <w:pPr>
        <w:spacing w:after="0" w:line="167" w:lineRule="exact"/>
        <w:rPr>
          <w:sz w:val="20"/>
          <w:szCs w:val="20"/>
          <w:color w:val="auto"/>
        </w:rPr>
      </w:pPr>
    </w:p>
    <w:p>
      <w:pPr>
        <w:ind w:right="140" w:firstLine="360"/>
        <w:spacing w:after="0" w:line="278" w:lineRule="auto"/>
        <w:rPr>
          <w:sz w:val="20"/>
          <w:szCs w:val="20"/>
          <w:color w:val="auto"/>
        </w:rPr>
      </w:pPr>
      <w:r>
        <w:rPr>
          <w:rFonts w:ascii="Arial" w:cs="Arial" w:eastAsia="Arial" w:hAnsi="Arial"/>
          <w:sz w:val="15"/>
          <w:szCs w:val="15"/>
          <w:color w:val="auto"/>
        </w:rPr>
        <w:t>In addition, if a purchase of securities is made within an institutional trading system, as that term is defined in the Tel Aviv Stock Exchange regulations, a person giving a stock exchange member his prior Consent before submitting a purchase order to the institutional trading system for the first time will be seen as acting within the provisions the above criteria with respect to the Consent, provided that if such person is an investor pursuant to the sixth, tenth, eleventh or twelfth bullet points specified above, such person committed in advance that, until the last business day of the third month in each year, he will renew his Consent, and that if he withdraws his Consent, he will notify the stock exchange member immediately and will cease to give purchase orders in such institutional trading institution.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Canada</w:t>
      </w:r>
    </w:p>
    <w:p>
      <w:pPr>
        <w:spacing w:after="0" w:line="20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6"/>
          <w:szCs w:val="16"/>
          <w:color w:val="auto"/>
        </w:rPr>
        <w:t>The Shares sold in this offering have not been and will not be qualified for distribution under applicable Canadian securities laws. Shares may be offered to residents of Canada pursuant to exemptions from the prospectus requirements of such laws.</w:t>
      </w:r>
    </w:p>
    <w:p>
      <w:pPr>
        <w:spacing w:after="0" w:line="1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_____________</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address of Aegis Capital Corp. is 810 Seventh Avenue, 18th Floor, New York, New York 10019.</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6"/>
          <w:szCs w:val="16"/>
          <w:b w:val="1"/>
          <w:bCs w:val="1"/>
          <w:color w:val="auto"/>
        </w:rPr>
        <w:t>EXPENSES</w:t>
      </w:r>
    </w:p>
    <w:p>
      <w:pPr>
        <w:spacing w:after="0" w:line="204"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We estimate that the total expenses of this offering payable by us, excluding the underwriting discounts and commissions and expenses, will be approximately $751,863 as follows:</w:t>
      </w:r>
    </w:p>
    <w:p>
      <w:pPr>
        <w:spacing w:after="0" w:line="164"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SEC filing fee</w:t>
            </w:r>
          </w:p>
        </w:tc>
        <w:tc>
          <w:tcPr>
            <w:tcW w:w="2940" w:type="dxa"/>
            <w:vAlign w:val="bottom"/>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4,653</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FINRA filing fee</w:t>
            </w:r>
          </w:p>
        </w:tc>
        <w:tc>
          <w:tcPr>
            <w:tcW w:w="2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5,619</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Nasdaq listing fee</w:t>
            </w:r>
          </w:p>
        </w:tc>
        <w:tc>
          <w:tcPr>
            <w:tcW w:w="2940" w:type="dxa"/>
            <w:vAlign w:val="bottom"/>
            <w:shd w:val="clear" w:color="auto" w:fill="CCFFCC"/>
          </w:tcPr>
          <w:p>
            <w:pPr>
              <w:spacing w:after="0"/>
              <w:rPr>
                <w:sz w:val="16"/>
                <w:szCs w:val="16"/>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Transfer agent fees and expenses</w:t>
            </w:r>
          </w:p>
        </w:tc>
        <w:tc>
          <w:tcPr>
            <w:tcW w:w="2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Printer fees and expenses</w:t>
            </w:r>
          </w:p>
        </w:tc>
        <w:tc>
          <w:tcPr>
            <w:tcW w:w="2940" w:type="dxa"/>
            <w:vAlign w:val="bottom"/>
            <w:shd w:val="clear" w:color="auto" w:fill="CCFFCC"/>
          </w:tcPr>
          <w:p>
            <w:pPr>
              <w:spacing w:after="0"/>
              <w:rPr>
                <w:sz w:val="16"/>
                <w:szCs w:val="16"/>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10,000</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Legal fees and expenses</w:t>
            </w:r>
          </w:p>
        </w:tc>
        <w:tc>
          <w:tcPr>
            <w:tcW w:w="2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Accounting fees and expenses</w:t>
            </w:r>
          </w:p>
        </w:tc>
        <w:tc>
          <w:tcPr>
            <w:tcW w:w="2940" w:type="dxa"/>
            <w:vAlign w:val="bottom"/>
            <w:shd w:val="clear" w:color="auto" w:fill="CCFFCC"/>
          </w:tcPr>
          <w:p>
            <w:pPr>
              <w:spacing w:after="0"/>
              <w:rPr>
                <w:sz w:val="16"/>
                <w:szCs w:val="16"/>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160,000</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Miscellaneous</w:t>
            </w:r>
          </w:p>
        </w:tc>
        <w:tc>
          <w:tcPr>
            <w:tcW w:w="2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16,591</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Total</w:t>
            </w:r>
          </w:p>
        </w:tc>
        <w:tc>
          <w:tcPr>
            <w:tcW w:w="2940" w:type="dxa"/>
            <w:vAlign w:val="bottom"/>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rPr>
              <w:t>751,863</w:t>
            </w:r>
          </w:p>
        </w:tc>
      </w:tr>
    </w:tbl>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LEGAL MATTERS</w:t>
      </w:r>
    </w:p>
    <w:p>
      <w:pPr>
        <w:spacing w:after="0" w:line="20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6"/>
          <w:szCs w:val="16"/>
          <w:color w:val="auto"/>
        </w:rPr>
        <w:t>Certain legal matters concerning this offering will be passed upon for us by Zysman, Aharoni, Gayer and Sullivan &amp; Worcester LLP, New York, New York. Certain legal matters with respect to the legality of the issuance of the securities offered by this prospectus will be passed upon for us by Zysman, Aharoni, Gayer &amp; Co., Tel Aviv, Israel. As of the date of this prospectus, certain partners with Zysman Aharoni Gayer &amp; Co. Law Offices beneficially own 65,350 ordinary shares and options to purchase 58,700 of our ordinary shares. Certain legal matters related to the offering will be passed upon for the underwriters by Troutman Sanders LLP, New York, New York and Yigal Arnon &amp; Co., Tel-Aviv, Israel.</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EXPERTS</w:t>
      </w:r>
    </w:p>
    <w:p>
      <w:pPr>
        <w:spacing w:after="0" w:line="204"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The financial statements of Alcobra Ltd. for its fiscal years ended December 31, 2012 and December 31, 2011 included herein have been audited by Kost Forer Gabbay &amp; Kasierer (a Member of Ernst &amp; Young Global), independent registered public accounting firm, as set forth in their report thereon, which contains an explanatory paragraph describing conditions that raise substantial doubt about the Company's ability to continue as a going concern as described in Note 1(b) to the financial statements included herein. Such financial statements are included herein in reliance upon such report given on the authority of such firm as experts in accounting and auditing. The address of Kost Forer Gabbay &amp; Kasierer is 3 Aminadav St., Tel-Aviv, Israel 67067.</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ENFORCEABILITY OF CIVIL LIABILITIES</w:t>
      </w:r>
    </w:p>
    <w:p>
      <w:pPr>
        <w:spacing w:after="0" w:line="204" w:lineRule="exact"/>
        <w:rPr>
          <w:sz w:val="20"/>
          <w:szCs w:val="20"/>
          <w:color w:val="auto"/>
        </w:rPr>
      </w:pPr>
    </w:p>
    <w:p>
      <w:pPr>
        <w:ind w:right="200" w:firstLine="360"/>
        <w:spacing w:after="0" w:line="259" w:lineRule="auto"/>
        <w:rPr>
          <w:sz w:val="20"/>
          <w:szCs w:val="20"/>
          <w:color w:val="auto"/>
        </w:rPr>
      </w:pPr>
      <w:r>
        <w:rPr>
          <w:rFonts w:ascii="Arial" w:cs="Arial" w:eastAsia="Arial" w:hAnsi="Arial"/>
          <w:sz w:val="16"/>
          <w:szCs w:val="16"/>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67" w:lineRule="exact"/>
        <w:rPr>
          <w:sz w:val="20"/>
          <w:szCs w:val="20"/>
          <w:color w:val="auto"/>
        </w:rPr>
      </w:pPr>
    </w:p>
    <w:p>
      <w:pPr>
        <w:ind w:right="60" w:firstLine="360"/>
        <w:spacing w:after="0" w:line="308" w:lineRule="auto"/>
        <w:rPr>
          <w:sz w:val="20"/>
          <w:szCs w:val="20"/>
          <w:color w:val="auto"/>
        </w:rPr>
      </w:pPr>
      <w:r>
        <w:rPr>
          <w:rFonts w:ascii="Arial" w:cs="Arial" w:eastAsia="Arial" w:hAnsi="Arial"/>
          <w:sz w:val="14"/>
          <w:szCs w:val="14"/>
          <w:color w:val="auto"/>
        </w:rPr>
        <w:t>We have been informed by our legal counsel in Israel, Zysman, Aharoni, Gayer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35" w:lineRule="exact"/>
        <w:rPr>
          <w:sz w:val="20"/>
          <w:szCs w:val="20"/>
          <w:color w:val="auto"/>
        </w:rPr>
      </w:pPr>
    </w:p>
    <w:p>
      <w:pPr>
        <w:ind w:right="40" w:firstLine="360"/>
        <w:spacing w:after="0" w:line="264" w:lineRule="auto"/>
        <w:rPr>
          <w:sz w:val="20"/>
          <w:szCs w:val="20"/>
          <w:color w:val="auto"/>
        </w:rPr>
      </w:pPr>
      <w:r>
        <w:rPr>
          <w:rFonts w:ascii="Arial" w:cs="Arial" w:eastAsia="Arial" w:hAnsi="Arial"/>
          <w:sz w:val="16"/>
          <w:szCs w:val="16"/>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62" w:lineRule="exact"/>
        <w:rPr>
          <w:sz w:val="20"/>
          <w:szCs w:val="20"/>
          <w:color w:val="auto"/>
        </w:rPr>
      </w:pPr>
    </w:p>
    <w:p>
      <w:pPr>
        <w:ind w:left="360" w:right="220" w:hanging="4"/>
        <w:spacing w:after="0" w:line="277" w:lineRule="auto"/>
        <w:tabs>
          <w:tab w:leader="none" w:pos="640" w:val="left"/>
        </w:tabs>
        <w:numPr>
          <w:ilvl w:val="0"/>
          <w:numId w:val="86"/>
        </w:numPr>
        <w:rPr>
          <w:rFonts w:ascii="Arial" w:cs="Arial" w:eastAsia="Arial" w:hAnsi="Arial"/>
          <w:sz w:val="16"/>
          <w:szCs w:val="16"/>
          <w:color w:val="A6A6A6"/>
        </w:rPr>
      </w:pPr>
      <w:r>
        <w:rPr>
          <w:rFonts w:ascii="Arial" w:cs="Arial" w:eastAsia="Arial" w:hAnsi="Arial"/>
          <w:sz w:val="16"/>
          <w:szCs w:val="16"/>
          <w:color w:val="auto"/>
        </w:rPr>
        <w:t>the judgment is obtained after due process before a court of competent jurisdiction, according to the laws of the state in which the judgment is given and the rules of private international law currently prevailing in Israel;</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6"/>
        </w:numPr>
        <w:rPr>
          <w:rFonts w:ascii="Arial" w:cs="Arial" w:eastAsia="Arial" w:hAnsi="Arial"/>
          <w:sz w:val="16"/>
          <w:szCs w:val="16"/>
          <w:color w:val="A6A6A6"/>
        </w:rPr>
      </w:pPr>
      <w:r>
        <w:rPr>
          <w:rFonts w:ascii="Arial" w:cs="Arial" w:eastAsia="Arial" w:hAnsi="Arial"/>
          <w:sz w:val="16"/>
          <w:szCs w:val="16"/>
          <w:color w:val="auto"/>
        </w:rPr>
        <w:t>the judgment is final and is not subject to any right of appeal;</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93" w:name="page94"/>
    <w:bookmarkEnd w:id="93"/>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prevailing law of the foreign state in which the judgment was rendered allows for the enforcement of judgments of Israeli courts;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00" w:lineRule="exact"/>
        <w:rPr>
          <w:rFonts w:ascii="Arial" w:cs="Arial" w:eastAsia="Arial" w:hAnsi="Arial"/>
          <w:sz w:val="16"/>
          <w:szCs w:val="16"/>
          <w:color w:val="A6A6A6"/>
        </w:rPr>
      </w:pPr>
    </w:p>
    <w:p>
      <w:pPr>
        <w:ind w:left="360" w:right="40" w:hanging="4"/>
        <w:spacing w:after="0" w:line="277" w:lineRule="auto"/>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liabilities under the judgment are enforceable according to the laws of the State of Israel and the judgment and the enforcement of the civil liabilities set forth in the judgment is not contrary to the law or public policy in Israel nor likely to impair the security or sovereignty of Israel;</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judgment was not obtained by fraud and do not conflict with any other valid judgments in the same matter between the same parties;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an action between the same parties in the same matter is not pending in any Israeli court at the time the lawsuit is instituted in the foreign court;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judgment is enforceable according to the law of the foreign state in which the relief was granted.</w:t>
      </w:r>
    </w:p>
    <w:p>
      <w:pPr>
        <w:spacing w:after="0" w:line="393" w:lineRule="exact"/>
        <w:rPr>
          <w:sz w:val="20"/>
          <w:szCs w:val="20"/>
          <w:color w:val="auto"/>
        </w:rPr>
      </w:pPr>
    </w:p>
    <w:p>
      <w:pPr>
        <w:ind w:right="180" w:firstLine="360"/>
        <w:spacing w:after="0" w:line="278" w:lineRule="auto"/>
        <w:rPr>
          <w:sz w:val="20"/>
          <w:szCs w:val="20"/>
          <w:color w:val="auto"/>
        </w:rPr>
      </w:pPr>
      <w:r>
        <w:rPr>
          <w:rFonts w:ascii="Arial" w:cs="Arial" w:eastAsia="Arial" w:hAnsi="Arial"/>
          <w:sz w:val="15"/>
          <w:szCs w:val="15"/>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204"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68"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168" w:lineRule="exact"/>
        <w:rPr>
          <w:sz w:val="20"/>
          <w:szCs w:val="20"/>
          <w:color w:val="auto"/>
        </w:rPr>
      </w:pPr>
    </w:p>
    <w:p>
      <w:pPr>
        <w:ind w:right="20" w:firstLine="360"/>
        <w:spacing w:after="0" w:line="254" w:lineRule="auto"/>
        <w:rPr>
          <w:sz w:val="20"/>
          <w:szCs w:val="20"/>
          <w:color w:val="auto"/>
        </w:rPr>
      </w:pPr>
      <w:r>
        <w:rPr>
          <w:rFonts w:ascii="Arial" w:cs="Arial" w:eastAsia="Arial" w:hAnsi="Arial"/>
          <w:sz w:val="16"/>
          <w:szCs w:val="16"/>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172"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We expect to maintain a corporate website at www.alcobra-pharma.com. Information contained on, or that can be accessed through, our website does not constitute a part of this prospectus. We have included our website address in this prospectus solely as an inactive textual reference.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4" w:name="page95"/>
    <w:bookmarkEnd w:id="94"/>
    <w:p>
      <w:pPr>
        <w:jc w:val="center"/>
        <w:ind w:right="40"/>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 development stage company)</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80" w:type="dxa"/>
            <w:vAlign w:val="bottom"/>
          </w:tcPr>
          <w:p>
            <w:pPr>
              <w:spacing w:after="0"/>
              <w:rPr>
                <w:sz w:val="18"/>
                <w:szCs w:val="18"/>
                <w:color w:val="auto"/>
              </w:rPr>
            </w:pPr>
          </w:p>
        </w:tc>
        <w:tc>
          <w:tcPr>
            <w:tcW w:w="7120" w:type="dxa"/>
            <w:vAlign w:val="bottom"/>
            <w:gridSpan w:val="2"/>
          </w:tcPr>
          <w:p>
            <w:pPr>
              <w:jc w:val="center"/>
              <w:ind w:right="4260"/>
              <w:spacing w:after="0"/>
              <w:rPr>
                <w:sz w:val="20"/>
                <w:szCs w:val="20"/>
                <w:color w:val="auto"/>
              </w:rPr>
            </w:pPr>
            <w:r>
              <w:rPr>
                <w:rFonts w:ascii="Arial" w:cs="Arial" w:eastAsia="Arial" w:hAnsi="Arial"/>
                <w:sz w:val="16"/>
                <w:szCs w:val="16"/>
                <w:b w:val="1"/>
                <w:bCs w:val="1"/>
                <w:color w:val="auto"/>
              </w:rPr>
              <w:t>FINANCIAL STATEMENTS</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w w:val="96"/>
              </w:rPr>
              <w:t>AS OF DECEMBER 31, 2012</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w w:val="98"/>
              </w:rPr>
              <w:t>U.S. DOLLARS IN THOUSANDS</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rPr>
              <w:t>INDEX</w:t>
            </w:r>
          </w:p>
        </w:tc>
      </w:tr>
      <w:tr>
        <w:trPr>
          <w:trHeight w:val="577"/>
        </w:trPr>
        <w:tc>
          <w:tcPr>
            <w:tcW w:w="4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376"/>
        </w:trPr>
        <w:tc>
          <w:tcPr>
            <w:tcW w:w="4280" w:type="dxa"/>
            <w:vAlign w:val="bottom"/>
          </w:tcPr>
          <w:p>
            <w:pPr>
              <w:spacing w:after="0"/>
              <w:rPr>
                <w:sz w:val="20"/>
                <w:szCs w:val="20"/>
                <w:color w:val="auto"/>
              </w:rPr>
            </w:pPr>
            <w:r>
              <w:rPr>
                <w:rFonts w:ascii="Arial" w:cs="Arial" w:eastAsia="Arial" w:hAnsi="Arial"/>
                <w:sz w:val="16"/>
                <w:szCs w:val="16"/>
                <w:b w:val="1"/>
                <w:bCs w:val="1"/>
                <w:color w:val="auto"/>
                <w:w w:val="96"/>
              </w:rPr>
              <w:t>Report of Independent Registered Public Accounting Firm</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F-2</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Balance Sheets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6"/>
              </w:rPr>
              <w:t>F-3 - F-4</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Statements of Comprehensive Loss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F-5</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w w:val="93"/>
              </w:rPr>
              <w:t>Statements of Changes in Shareholders' Equity (Deficiency)</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F-6</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Statements of Cash Flows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F-7</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Notes to Financial Statements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F-8 - F-24</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 - - - - - - - - - - - -</w:t>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13335</wp:posOffset>
            </wp:positionV>
            <wp:extent cx="726186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80" w:top="820" w:right="21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638175</wp:posOffset>
            </wp:positionH>
            <wp:positionV relativeFrom="page">
              <wp:posOffset>531495</wp:posOffset>
            </wp:positionV>
            <wp:extent cx="6254750" cy="128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6254750" cy="128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Board of Directors and the shareholders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development stage company)</w:t>
      </w:r>
    </w:p>
    <w:p>
      <w:pPr>
        <w:spacing w:after="0" w:line="188"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6"/>
          <w:szCs w:val="16"/>
          <w:color w:val="auto"/>
        </w:rPr>
        <w:t>We have audited the accompanying balance sheets of Alcobra Ltd. (a development stage company) ("the Company") as of December 31, 2012 and 2011, and the related statements of comprehensive loss and changes in shareholders' equity (deficiency) and cash flow for each of the two years in the period ended December 31, 2012 and for the period from February 7, 2008 (date of inception) to December 31, 2012. These financial statements are the responsibility of the Company's board of directors and management. Our responsibility is to express an opinion on these financial statements based on our audits.</w:t>
      </w:r>
    </w:p>
    <w:p>
      <w:pPr>
        <w:spacing w:after="0" w:line="167" w:lineRule="exact"/>
        <w:rPr>
          <w:sz w:val="20"/>
          <w:szCs w:val="20"/>
          <w:color w:val="auto"/>
        </w:rPr>
      </w:pPr>
    </w:p>
    <w:p>
      <w:pPr>
        <w:jc w:val="both"/>
        <w:ind w:firstLine="454"/>
        <w:spacing w:after="0" w:line="274"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59" w:lineRule="exact"/>
        <w:rPr>
          <w:sz w:val="20"/>
          <w:szCs w:val="20"/>
          <w:color w:val="auto"/>
        </w:rPr>
      </w:pPr>
    </w:p>
    <w:p>
      <w:pPr>
        <w:jc w:val="both"/>
        <w:ind w:right="20" w:firstLine="454"/>
        <w:spacing w:after="0" w:line="259" w:lineRule="auto"/>
        <w:rPr>
          <w:sz w:val="20"/>
          <w:szCs w:val="20"/>
          <w:color w:val="auto"/>
        </w:rPr>
      </w:pPr>
      <w:r>
        <w:rPr>
          <w:rFonts w:ascii="Arial" w:cs="Arial" w:eastAsia="Arial" w:hAnsi="Arial"/>
          <w:sz w:val="16"/>
          <w:szCs w:val="16"/>
          <w:color w:val="auto"/>
        </w:rPr>
        <w:t>In our opinion, based on our audits, the financial statements referred to above present fairly, in all material respects, the financial position of the Company as of December 31, 2012 and 2011, and the statements of comprehensive loss and cash flows and the changes in shareholders' equity (deficiency) for each of the two years in the period ended December 31, 2012 and for the period from February 7, 2008 (date of inception) to December 31, 2012, in conformity with generally accepted accounting principles in the United States.</w:t>
      </w:r>
    </w:p>
    <w:p>
      <w:pPr>
        <w:spacing w:after="0" w:line="167" w:lineRule="exact"/>
        <w:rPr>
          <w:sz w:val="20"/>
          <w:szCs w:val="20"/>
          <w:color w:val="auto"/>
        </w:rPr>
      </w:pPr>
    </w:p>
    <w:p>
      <w:pPr>
        <w:jc w:val="both"/>
        <w:ind w:right="20" w:firstLine="454"/>
        <w:spacing w:after="0" w:line="278"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more fully described in Note 1b, the Company has incurred losses in the amount of $ 1,579 thousand during the year ended December 31, 2012, and has an accumulated deficit of $ 8,186 thousand as of December 31, 2012. Its ability to continue to operate is dependent upon obtaining additional financial support. These conditions, among other matters described in Note 1b, raise substantial doubt about the Company's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ectPr>
          <w:pgSz w:w="11900" w:h="16838" w:orient="portrait"/>
          <w:cols w:equalWidth="0" w:num="1">
            <w:col w:w="11440"/>
          </w:cols>
          <w:pgMar w:left="240" w:top="1440" w:right="2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14, 2013</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Except for Note 9(a) and Note 13 to which the date is XX,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KOST FORER GABBAY &amp; KASIERER</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 Member of Ernst &amp; Young Global</w:t>
      </w:r>
    </w:p>
    <w:p>
      <w:pPr>
        <w:spacing w:after="0" w:line="369" w:lineRule="exact"/>
        <w:rPr>
          <w:sz w:val="20"/>
          <w:szCs w:val="20"/>
          <w:color w:val="auto"/>
        </w:rPr>
      </w:pPr>
    </w:p>
    <w:p>
      <w:pPr>
        <w:sectPr>
          <w:pgSz w:w="11900" w:h="16838" w:orient="portrait"/>
          <w:cols w:equalWidth="0" w:num="2">
            <w:col w:w="6840" w:space="720"/>
            <w:col w:w="3880"/>
          </w:cols>
          <w:pgMar w:left="240" w:top="1440" w:right="219" w:bottom="1440" w:gutter="0" w:footer="0" w:header="0"/>
          <w:type w:val="continuous"/>
        </w:sect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report is in the form that will be signed upon completion of the bonus shares described in Note 9(a) to the financial statements.</w:t>
      </w:r>
    </w:p>
    <w:p>
      <w:pPr>
        <w:spacing w:after="0" w:line="200"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/s/ Kost Forer Gabbay &amp; Kasierer</w:t>
      </w:r>
    </w:p>
    <w:p>
      <w:pPr>
        <w:spacing w:after="0" w:line="200" w:lineRule="exact"/>
        <w:rPr>
          <w:sz w:val="20"/>
          <w:szCs w:val="20"/>
          <w:color w:val="auto"/>
        </w:rPr>
      </w:pPr>
    </w:p>
    <w:p>
      <w:pPr>
        <w:spacing w:after="0" w:line="310" w:lineRule="exact"/>
        <w:rPr>
          <w:sz w:val="20"/>
          <w:szCs w:val="20"/>
          <w:color w:val="auto"/>
        </w:rPr>
      </w:pPr>
    </w:p>
    <w:p>
      <w:pPr>
        <w:ind w:left="7780"/>
        <w:spacing w:after="0"/>
        <w:rPr>
          <w:sz w:val="20"/>
          <w:szCs w:val="20"/>
          <w:color w:val="auto"/>
        </w:rPr>
      </w:pPr>
      <w:r>
        <w:rPr>
          <w:rFonts w:ascii="Arial" w:cs="Arial" w:eastAsia="Arial" w:hAnsi="Arial"/>
          <w:sz w:val="15"/>
          <w:szCs w:val="15"/>
          <w:color w:val="auto"/>
        </w:rPr>
        <w:t>KOST FORER GABBAY &amp; KASIERER</w:t>
      </w:r>
    </w:p>
    <w:p>
      <w:pPr>
        <w:ind w:left="40"/>
        <w:spacing w:after="0"/>
        <w:rPr>
          <w:sz w:val="20"/>
          <w:szCs w:val="20"/>
          <w:color w:val="auto"/>
        </w:rPr>
      </w:pPr>
      <w:r>
        <w:rPr>
          <w:rFonts w:ascii="Arial" w:cs="Arial" w:eastAsia="Arial" w:hAnsi="Arial"/>
          <w:sz w:val="16"/>
          <w:szCs w:val="16"/>
          <w:color w:val="auto"/>
        </w:rPr>
        <w:t>Tel-Aviv, Israel</w:t>
      </w:r>
    </w:p>
    <w:p>
      <w:pPr>
        <w:ind w:left="7940"/>
        <w:spacing w:after="0" w:line="214" w:lineRule="auto"/>
        <w:rPr>
          <w:sz w:val="20"/>
          <w:szCs w:val="20"/>
          <w:color w:val="auto"/>
        </w:rPr>
      </w:pPr>
      <w:r>
        <w:rPr>
          <w:rFonts w:ascii="Arial" w:cs="Arial" w:eastAsia="Arial" w:hAnsi="Arial"/>
          <w:sz w:val="16"/>
          <w:szCs w:val="16"/>
          <w:color w:val="auto"/>
        </w:rPr>
        <w:t>A Member of Ernst &amp; Young Global</w:t>
      </w:r>
    </w:p>
    <w:p>
      <w:pPr>
        <w:spacing w:after="0"/>
        <w:rPr>
          <w:sz w:val="20"/>
          <w:szCs w:val="20"/>
          <w:color w:val="auto"/>
        </w:rPr>
      </w:pPr>
      <w:r>
        <w:rPr>
          <w:rFonts w:ascii="Arial" w:cs="Arial" w:eastAsia="Arial" w:hAnsi="Arial"/>
          <w:sz w:val="16"/>
          <w:szCs w:val="16"/>
          <w:color w:val="auto"/>
        </w:rPr>
        <w:t>May 2 , 2013</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r>
      <w:tr>
        <w:trPr>
          <w:trHeight w:val="376"/>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60" w:type="dxa"/>
            <w:vAlign w:val="bottom"/>
          </w:tcPr>
          <w:p>
            <w:pPr>
              <w:jc w:val="center"/>
              <w:ind w:right="6880"/>
              <w:spacing w:after="0"/>
              <w:rPr>
                <w:sz w:val="20"/>
                <w:szCs w:val="20"/>
                <w:color w:val="auto"/>
              </w:rPr>
            </w:pPr>
            <w:r>
              <w:rPr>
                <w:rFonts w:ascii="Arial" w:cs="Arial" w:eastAsia="Arial" w:hAnsi="Arial"/>
                <w:sz w:val="16"/>
                <w:szCs w:val="16"/>
                <w:color w:val="auto"/>
                <w:w w:val="91"/>
              </w:rPr>
              <w:t>ASSETS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4"/>
        </w:trPr>
        <w:tc>
          <w:tcPr>
            <w:tcW w:w="8020" w:type="dxa"/>
            <w:vAlign w:val="bottom"/>
            <w:gridSpan w:val="3"/>
          </w:tcPr>
          <w:p>
            <w:pPr>
              <w:jc w:val="center"/>
              <w:ind w:right="6540"/>
              <w:spacing w:after="0"/>
              <w:rPr>
                <w:sz w:val="20"/>
                <w:szCs w:val="20"/>
                <w:color w:val="auto"/>
              </w:rPr>
            </w:pPr>
            <w:r>
              <w:rPr>
                <w:rFonts w:ascii="Arial" w:cs="Arial" w:eastAsia="Arial" w:hAnsi="Arial"/>
                <w:sz w:val="16"/>
                <w:szCs w:val="16"/>
                <w:color w:val="auto"/>
                <w:w w:val="93"/>
              </w:rPr>
              <w:t>CURRENT ASSETS: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CFFCC"/>
          </w:tcPr>
          <w:p>
            <w:pPr>
              <w:jc w:val="right"/>
              <w:ind w:right="88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97</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55</w:t>
            </w:r>
          </w:p>
        </w:tc>
      </w:tr>
      <w:tr>
        <w:trPr>
          <w:trHeight w:val="192"/>
        </w:trPr>
        <w:tc>
          <w:tcPr>
            <w:tcW w:w="40" w:type="dxa"/>
            <w:vAlign w:val="bottom"/>
          </w:tcPr>
          <w:p>
            <w:pPr>
              <w:spacing w:after="0"/>
              <w:rPr>
                <w:sz w:val="16"/>
                <w:szCs w:val="16"/>
                <w:color w:val="auto"/>
              </w:rPr>
            </w:pPr>
          </w:p>
        </w:tc>
        <w:tc>
          <w:tcPr>
            <w:tcW w:w="7980" w:type="dxa"/>
            <w:vAlign w:val="bottom"/>
            <w:gridSpan w:val="2"/>
          </w:tcPr>
          <w:p>
            <w:pPr>
              <w:ind w:left="140"/>
              <w:spacing w:after="0"/>
              <w:rPr>
                <w:sz w:val="20"/>
                <w:szCs w:val="20"/>
                <w:color w:val="auto"/>
              </w:rPr>
            </w:pPr>
            <w:r>
              <w:rPr>
                <w:rFonts w:ascii="Arial" w:cs="Arial" w:eastAsia="Arial" w:hAnsi="Arial"/>
                <w:sz w:val="16"/>
                <w:szCs w:val="16"/>
                <w:color w:val="auto"/>
              </w:rPr>
              <w:t>Short-term bank deposit</w:t>
            </w:r>
          </w:p>
        </w:tc>
        <w:tc>
          <w:tcPr>
            <w:tcW w:w="10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517</w:t>
            </w: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Receivables and prepaid expenses</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0" w:type="dxa"/>
            <w:vAlign w:val="bottom"/>
            <w:shd w:val="clear" w:color="auto" w:fill="CCFFCC"/>
          </w:tcPr>
          <w:p>
            <w:pPr>
              <w:spacing w:after="0"/>
              <w:rPr>
                <w:sz w:val="17"/>
                <w:szCs w:val="17"/>
                <w:color w:val="auto"/>
              </w:rPr>
            </w:pPr>
          </w:p>
        </w:tc>
        <w:tc>
          <w:tcPr>
            <w:tcW w:w="7980" w:type="dxa"/>
            <w:vAlign w:val="bottom"/>
            <w:gridSpan w:val="2"/>
            <w:shd w:val="clear" w:color="auto" w:fill="CCFFCC"/>
          </w:tcPr>
          <w:p>
            <w:pPr>
              <w:spacing w:after="0" w:line="156" w:lineRule="exact"/>
              <w:rPr>
                <w:sz w:val="20"/>
                <w:szCs w:val="20"/>
                <w:color w:val="auto"/>
              </w:rPr>
            </w:pPr>
            <w:r>
              <w:rPr>
                <w:rFonts w:ascii="Arial" w:cs="Arial" w:eastAsia="Arial" w:hAnsi="Arial"/>
                <w:sz w:val="16"/>
                <w:szCs w:val="16"/>
                <w:color w:val="auto"/>
              </w:rPr>
              <w:t>Total current assets</w:t>
            </w:r>
          </w:p>
        </w:tc>
        <w:tc>
          <w:tcPr>
            <w:tcW w:w="104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160"/>
              <w:spacing w:after="0" w:line="156" w:lineRule="exact"/>
              <w:rPr>
                <w:sz w:val="20"/>
                <w:szCs w:val="20"/>
                <w:color w:val="auto"/>
              </w:rPr>
            </w:pPr>
            <w:r>
              <w:rPr>
                <w:rFonts w:ascii="Arial" w:cs="Arial" w:eastAsia="Arial" w:hAnsi="Arial"/>
                <w:sz w:val="16"/>
                <w:szCs w:val="16"/>
                <w:color w:val="auto"/>
              </w:rPr>
              <w:t>180</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line="156" w:lineRule="exact"/>
              <w:rPr>
                <w:sz w:val="20"/>
                <w:szCs w:val="20"/>
                <w:color w:val="auto"/>
              </w:rPr>
            </w:pPr>
            <w:r>
              <w:rPr>
                <w:rFonts w:ascii="Arial" w:cs="Arial" w:eastAsia="Arial" w:hAnsi="Arial"/>
                <w:sz w:val="16"/>
                <w:szCs w:val="16"/>
                <w:color w:val="auto"/>
              </w:rPr>
              <w:t>667</w:t>
            </w:r>
          </w:p>
        </w:tc>
      </w:tr>
      <w:tr>
        <w:trPr>
          <w:trHeight w:val="180"/>
        </w:trPr>
        <w:tc>
          <w:tcPr>
            <w:tcW w:w="40" w:type="dxa"/>
            <w:vAlign w:val="bottom"/>
            <w:tcBorders>
              <w:top w:val="single" w:sz="8" w:color="CCFFC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60" w:type="dxa"/>
            <w:vAlign w:val="bottom"/>
            <w:tcBorders>
              <w:top w:val="single" w:sz="8" w:color="CCFFC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LONG-TERM ASSETS:</w:t>
            </w:r>
          </w:p>
        </w:tc>
        <w:tc>
          <w:tcPr>
            <w:tcW w:w="10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192"/>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Restricted bank deposits</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507</w:t>
            </w:r>
          </w:p>
        </w:tc>
      </w:tr>
      <w:tr>
        <w:trPr>
          <w:trHeight w:val="192"/>
        </w:trPr>
        <w:tc>
          <w:tcPr>
            <w:tcW w:w="40" w:type="dxa"/>
            <w:vAlign w:val="bottom"/>
          </w:tcPr>
          <w:p>
            <w:pPr>
              <w:spacing w:after="0"/>
              <w:rPr>
                <w:sz w:val="16"/>
                <w:szCs w:val="16"/>
                <w:color w:val="auto"/>
              </w:rPr>
            </w:pPr>
          </w:p>
        </w:tc>
        <w:tc>
          <w:tcPr>
            <w:tcW w:w="7980" w:type="dxa"/>
            <w:vAlign w:val="bottom"/>
            <w:gridSpan w:val="2"/>
          </w:tcPr>
          <w:p>
            <w:pPr>
              <w:ind w:left="140"/>
              <w:spacing w:after="0"/>
              <w:rPr>
                <w:sz w:val="20"/>
                <w:szCs w:val="20"/>
                <w:color w:val="auto"/>
              </w:rPr>
            </w:pPr>
            <w:r>
              <w:rPr>
                <w:rFonts w:ascii="Arial" w:cs="Arial" w:eastAsia="Arial" w:hAnsi="Arial"/>
                <w:sz w:val="16"/>
                <w:szCs w:val="16"/>
                <w:color w:val="auto"/>
              </w:rPr>
              <w:t>Long-term deposit</w:t>
            </w:r>
          </w:p>
        </w:tc>
        <w:tc>
          <w:tcPr>
            <w:tcW w:w="10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Property and equipment, net</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25</w:t>
            </w: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0" w:type="dxa"/>
            <w:vAlign w:val="bottom"/>
            <w:shd w:val="clear" w:color="auto" w:fill="CCFFCC"/>
          </w:tcPr>
          <w:p>
            <w:pPr>
              <w:spacing w:after="0"/>
              <w:rPr>
                <w:sz w:val="17"/>
                <w:szCs w:val="17"/>
                <w:color w:val="auto"/>
              </w:rPr>
            </w:pPr>
          </w:p>
        </w:tc>
        <w:tc>
          <w:tcPr>
            <w:tcW w:w="7980" w:type="dxa"/>
            <w:vAlign w:val="bottom"/>
            <w:gridSpan w:val="2"/>
            <w:shd w:val="clear" w:color="auto" w:fill="CCFFCC"/>
          </w:tcPr>
          <w:p>
            <w:pPr>
              <w:spacing w:after="0" w:line="156" w:lineRule="exact"/>
              <w:rPr>
                <w:sz w:val="20"/>
                <w:szCs w:val="20"/>
                <w:color w:val="auto"/>
              </w:rPr>
            </w:pPr>
            <w:r>
              <w:rPr>
                <w:rFonts w:ascii="Arial" w:cs="Arial" w:eastAsia="Arial" w:hAnsi="Arial"/>
                <w:sz w:val="16"/>
                <w:szCs w:val="16"/>
                <w:color w:val="auto"/>
              </w:rPr>
              <w:t>Total long-term assets</w:t>
            </w:r>
          </w:p>
        </w:tc>
        <w:tc>
          <w:tcPr>
            <w:tcW w:w="104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160"/>
              <w:spacing w:after="0" w:line="156" w:lineRule="exact"/>
              <w:rPr>
                <w:sz w:val="20"/>
                <w:szCs w:val="20"/>
                <w:color w:val="auto"/>
              </w:rPr>
            </w:pPr>
            <w:r>
              <w:rPr>
                <w:rFonts w:ascii="Arial" w:cs="Arial" w:eastAsia="Arial" w:hAnsi="Arial"/>
                <w:sz w:val="16"/>
                <w:szCs w:val="16"/>
                <w:color w:val="auto"/>
              </w:rPr>
              <w:t>21</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line="156" w:lineRule="exact"/>
              <w:rPr>
                <w:sz w:val="20"/>
                <w:szCs w:val="20"/>
                <w:color w:val="auto"/>
              </w:rPr>
            </w:pPr>
            <w:r>
              <w:rPr>
                <w:rFonts w:ascii="Arial" w:cs="Arial" w:eastAsia="Arial" w:hAnsi="Arial"/>
                <w:sz w:val="16"/>
                <w:szCs w:val="16"/>
                <w:color w:val="auto"/>
              </w:rPr>
              <w:t>537</w:t>
            </w:r>
          </w:p>
        </w:tc>
      </w:tr>
      <w:tr>
        <w:trPr>
          <w:trHeight w:val="180"/>
        </w:trPr>
        <w:tc>
          <w:tcPr>
            <w:tcW w:w="40" w:type="dxa"/>
            <w:vAlign w:val="bottom"/>
            <w:tcBorders>
              <w:top w:val="single" w:sz="8" w:color="CCFFC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60" w:type="dxa"/>
            <w:vAlign w:val="bottom"/>
            <w:tcBorders>
              <w:top w:val="single" w:sz="8" w:color="CCFFC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6"/>
                <w:szCs w:val="16"/>
                <w:b w:val="1"/>
                <w:bCs w:val="1"/>
                <w:color w:val="auto"/>
              </w:rPr>
              <w:t>TOTAL ASSETS</w:t>
            </w:r>
          </w:p>
        </w:tc>
        <w:tc>
          <w:tcPr>
            <w:tcW w:w="1040" w:type="dxa"/>
            <w:vAlign w:val="bottom"/>
            <w:shd w:val="clear" w:color="auto" w:fill="CCFFCC"/>
          </w:tcPr>
          <w:p>
            <w:pPr>
              <w:jc w:val="right"/>
              <w:ind w:right="88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201</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1,204</w:t>
            </w:r>
          </w:p>
        </w:tc>
      </w:tr>
      <w:tr>
        <w:trPr>
          <w:trHeight w:val="20"/>
        </w:trPr>
        <w:tc>
          <w:tcPr>
            <w:tcW w:w="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766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LIABILITIES AND SHAREHOLDERS' EQUITY (DEFICIENCY)</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CURRENT LIABILITIES:</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ind w:left="120"/>
              <w:spacing w:after="0"/>
              <w:rPr>
                <w:sz w:val="20"/>
                <w:szCs w:val="20"/>
                <w:color w:val="auto"/>
              </w:rPr>
            </w:pPr>
            <w:r>
              <w:rPr>
                <w:rFonts w:ascii="Arial" w:cs="Arial" w:eastAsia="Arial" w:hAnsi="Arial"/>
                <w:sz w:val="16"/>
                <w:szCs w:val="16"/>
                <w:color w:val="auto"/>
              </w:rPr>
              <w:t>Trade payables</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120"/>
              <w:spacing w:after="0"/>
              <w:rPr>
                <w:sz w:val="20"/>
                <w:szCs w:val="20"/>
                <w:color w:val="auto"/>
              </w:rPr>
            </w:pPr>
            <w:r>
              <w:rPr>
                <w:rFonts w:ascii="Arial" w:cs="Arial" w:eastAsia="Arial" w:hAnsi="Arial"/>
                <w:sz w:val="16"/>
                <w:szCs w:val="16"/>
                <w:color w:val="auto"/>
              </w:rPr>
              <w:t>Other accounts payable</w:t>
            </w:r>
          </w:p>
        </w:tc>
        <w:tc>
          <w:tcPr>
            <w:tcW w:w="100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83</w:t>
            </w: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ind w:left="120"/>
              <w:spacing w:after="0"/>
              <w:rPr>
                <w:sz w:val="20"/>
                <w:szCs w:val="20"/>
                <w:color w:val="auto"/>
              </w:rPr>
            </w:pPr>
            <w:r>
              <w:rPr>
                <w:rFonts w:ascii="Arial" w:cs="Arial" w:eastAsia="Arial" w:hAnsi="Arial"/>
                <w:sz w:val="16"/>
                <w:szCs w:val="16"/>
                <w:color w:val="auto"/>
              </w:rPr>
              <w:t>Convertible Notes</w:t>
            </w:r>
          </w:p>
        </w:tc>
        <w:tc>
          <w:tcPr>
            <w:tcW w:w="10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662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Borders>
              <w:top w:val="single" w:sz="8" w:color="CCFFCC"/>
            </w:tcBorders>
            <w:shd w:val="clear" w:color="auto" w:fill="CCFFCC"/>
          </w:tcPr>
          <w:p>
            <w:pPr>
              <w:spacing w:after="0"/>
              <w:rPr>
                <w:sz w:val="16"/>
                <w:szCs w:val="16"/>
                <w:color w:val="auto"/>
              </w:rPr>
            </w:pPr>
          </w:p>
        </w:tc>
        <w:tc>
          <w:tcPr>
            <w:tcW w:w="770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CCFFCC"/>
            </w:tcBorders>
            <w:shd w:val="clear" w:color="auto" w:fill="CCFFCC"/>
          </w:tcPr>
          <w:p>
            <w:pPr>
              <w:spacing w:after="0"/>
              <w:rPr>
                <w:sz w:val="16"/>
                <w:szCs w:val="16"/>
                <w:color w:val="auto"/>
              </w:rPr>
            </w:pPr>
          </w:p>
        </w:tc>
        <w:tc>
          <w:tcPr>
            <w:tcW w:w="440" w:type="dxa"/>
            <w:vAlign w:val="bottom"/>
            <w:tcBorders>
              <w:top w:val="single" w:sz="8" w:color="auto"/>
            </w:tcBorders>
            <w:shd w:val="clear" w:color="auto" w:fill="CCFFCC"/>
          </w:tcPr>
          <w:p>
            <w:pPr>
              <w:spacing w:after="0"/>
              <w:rPr>
                <w:sz w:val="16"/>
                <w:szCs w:val="16"/>
                <w:color w:val="auto"/>
              </w:rPr>
            </w:pPr>
          </w:p>
        </w:tc>
        <w:tc>
          <w:tcPr>
            <w:tcW w:w="104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tcPr>
          <w:p>
            <w:pPr>
              <w:spacing w:after="0" w:line="156" w:lineRule="exact"/>
              <w:rPr>
                <w:sz w:val="20"/>
                <w:szCs w:val="20"/>
                <w:color w:val="auto"/>
              </w:rPr>
            </w:pPr>
            <w:r>
              <w:rPr>
                <w:rFonts w:ascii="Arial" w:cs="Arial" w:eastAsia="Arial" w:hAnsi="Arial"/>
                <w:sz w:val="16"/>
                <w:szCs w:val="16"/>
                <w:color w:val="auto"/>
              </w:rPr>
              <w:t>Total current liabilities</w:t>
            </w:r>
          </w:p>
        </w:tc>
        <w:tc>
          <w:tcPr>
            <w:tcW w:w="1000" w:type="dxa"/>
            <w:vAlign w:val="bottom"/>
          </w:tcPr>
          <w:p>
            <w:pPr>
              <w:spacing w:after="0"/>
              <w:rPr>
                <w:sz w:val="13"/>
                <w:szCs w:val="13"/>
                <w:color w:val="auto"/>
              </w:rPr>
            </w:pPr>
          </w:p>
        </w:tc>
        <w:tc>
          <w:tcPr>
            <w:tcW w:w="680" w:type="dxa"/>
            <w:vAlign w:val="bottom"/>
            <w:gridSpan w:val="2"/>
          </w:tcPr>
          <w:p>
            <w:pPr>
              <w:jc w:val="right"/>
              <w:ind w:right="180"/>
              <w:spacing w:after="0" w:line="156" w:lineRule="exact"/>
              <w:rPr>
                <w:sz w:val="20"/>
                <w:szCs w:val="20"/>
                <w:color w:val="auto"/>
              </w:rPr>
            </w:pPr>
            <w:r>
              <w:rPr>
                <w:rFonts w:ascii="Arial" w:cs="Arial" w:eastAsia="Arial" w:hAnsi="Arial"/>
                <w:sz w:val="16"/>
                <w:szCs w:val="16"/>
                <w:color w:val="auto"/>
              </w:rPr>
              <w:t>768</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2"/>
          </w:tcPr>
          <w:p>
            <w:pPr>
              <w:jc w:val="right"/>
              <w:ind w:right="120"/>
              <w:spacing w:after="0" w:line="156" w:lineRule="exact"/>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CCFFCC"/>
            </w:tcBorders>
          </w:tcPr>
          <w:p>
            <w:pPr>
              <w:spacing w:after="0" w:line="20" w:lineRule="exact"/>
              <w:rPr>
                <w:sz w:val="1"/>
                <w:szCs w:val="1"/>
                <w:color w:val="auto"/>
              </w:rPr>
            </w:pPr>
          </w:p>
        </w:tc>
        <w:tc>
          <w:tcPr>
            <w:tcW w:w="7700" w:type="dxa"/>
            <w:vAlign w:val="bottom"/>
            <w:tcBorders>
              <w:bottom w:val="single" w:sz="8" w:color="CCFFC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7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SHAREHOLDERS' EQUITY (DEFICIENCY):</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0" w:type="dxa"/>
            <w:vAlign w:val="bottom"/>
            <w:gridSpan w:val="2"/>
            <w:shd w:val="clear" w:color="auto" w:fill="CCFFCC"/>
          </w:tcPr>
          <w:p>
            <w:pPr>
              <w:ind w:left="120"/>
              <w:spacing w:after="0" w:line="180" w:lineRule="exact"/>
              <w:rPr>
                <w:sz w:val="20"/>
                <w:szCs w:val="20"/>
                <w:color w:val="auto"/>
              </w:rPr>
            </w:pPr>
            <w:r>
              <w:rPr>
                <w:rFonts w:ascii="Arial" w:cs="Arial" w:eastAsia="Arial" w:hAnsi="Arial"/>
                <w:sz w:val="16"/>
                <w:szCs w:val="16"/>
                <w:color w:val="auto"/>
              </w:rPr>
              <w:t>Ordinary shares of NIS 0.01 par value -</w:t>
            </w: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rPr>
              <w:t>10,000,000 shares authorized at December 31, 2012 and 2011; 8,098,581 and 8,096,109 issued shares at</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December 31, 2012 and 2011, respectively; 7,794,256 and 8,096,109 shares outstanding at December 31, 2012 and</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rPr>
              <w:t>2011, respectively</w:t>
            </w:r>
          </w:p>
        </w:tc>
        <w:tc>
          <w:tcPr>
            <w:tcW w:w="1000" w:type="dxa"/>
            <w:vAlign w:val="bottom"/>
            <w:shd w:val="clear" w:color="auto" w:fill="CCFFCC"/>
          </w:tcPr>
          <w:p>
            <w:pPr>
              <w:spacing w:after="0"/>
              <w:rPr>
                <w:sz w:val="17"/>
                <w:szCs w:val="17"/>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Treasury shares (304,324 Ordinary shares as of December 31, 2012)</w:t>
            </w:r>
          </w:p>
        </w:tc>
        <w:tc>
          <w:tcPr>
            <w:tcW w:w="10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Additional paid- in capital</w:t>
            </w:r>
          </w:p>
        </w:tc>
        <w:tc>
          <w:tcPr>
            <w:tcW w:w="100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7,615</w:t>
            </w: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7,588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Deficit accumulated during the development stage</w:t>
            </w:r>
          </w:p>
        </w:tc>
        <w:tc>
          <w:tcPr>
            <w:tcW w:w="10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(8,186)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(6,607)</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Borders>
              <w:top w:val="single" w:sz="8" w:color="CCFFCC"/>
            </w:tcBorders>
            <w:shd w:val="clear" w:color="auto" w:fill="CCFFCC"/>
          </w:tcPr>
          <w:p>
            <w:pPr>
              <w:spacing w:after="0"/>
              <w:rPr>
                <w:sz w:val="16"/>
                <w:szCs w:val="16"/>
                <w:color w:val="auto"/>
              </w:rPr>
            </w:pPr>
          </w:p>
        </w:tc>
        <w:tc>
          <w:tcPr>
            <w:tcW w:w="770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CCFFCC"/>
            </w:tcBorders>
            <w:shd w:val="clear" w:color="auto" w:fill="CCFFCC"/>
          </w:tcPr>
          <w:p>
            <w:pPr>
              <w:spacing w:after="0"/>
              <w:rPr>
                <w:sz w:val="16"/>
                <w:szCs w:val="16"/>
                <w:color w:val="auto"/>
              </w:rPr>
            </w:pPr>
          </w:p>
        </w:tc>
        <w:tc>
          <w:tcPr>
            <w:tcW w:w="440" w:type="dxa"/>
            <w:vAlign w:val="bottom"/>
            <w:tcBorders>
              <w:top w:val="single" w:sz="8" w:color="auto"/>
            </w:tcBorders>
            <w:shd w:val="clear" w:color="auto" w:fill="CCFFCC"/>
          </w:tcPr>
          <w:p>
            <w:pPr>
              <w:spacing w:after="0"/>
              <w:rPr>
                <w:sz w:val="16"/>
                <w:szCs w:val="16"/>
                <w:color w:val="auto"/>
              </w:rPr>
            </w:pPr>
          </w:p>
        </w:tc>
        <w:tc>
          <w:tcPr>
            <w:tcW w:w="104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tcPr>
          <w:p>
            <w:pPr>
              <w:spacing w:after="0" w:line="156" w:lineRule="exact"/>
              <w:rPr>
                <w:sz w:val="20"/>
                <w:szCs w:val="20"/>
                <w:color w:val="auto"/>
              </w:rPr>
            </w:pPr>
            <w:r>
              <w:rPr>
                <w:rFonts w:ascii="Arial" w:cs="Arial" w:eastAsia="Arial" w:hAnsi="Arial"/>
                <w:sz w:val="16"/>
                <w:szCs w:val="16"/>
                <w:color w:val="auto"/>
              </w:rPr>
              <w:t>Total shareholders' equity (deficiency)</w:t>
            </w:r>
          </w:p>
        </w:tc>
        <w:tc>
          <w:tcPr>
            <w:tcW w:w="1000" w:type="dxa"/>
            <w:vAlign w:val="bottom"/>
          </w:tcPr>
          <w:p>
            <w:pPr>
              <w:spacing w:after="0"/>
              <w:rPr>
                <w:sz w:val="13"/>
                <w:szCs w:val="13"/>
                <w:color w:val="auto"/>
              </w:rPr>
            </w:pPr>
          </w:p>
        </w:tc>
        <w:tc>
          <w:tcPr>
            <w:tcW w:w="680" w:type="dxa"/>
            <w:vAlign w:val="bottom"/>
            <w:gridSpan w:val="2"/>
          </w:tcPr>
          <w:p>
            <w:pPr>
              <w:jc w:val="right"/>
              <w:ind w:right="140"/>
              <w:spacing w:after="0" w:line="156" w:lineRule="exact"/>
              <w:rPr>
                <w:sz w:val="20"/>
                <w:szCs w:val="20"/>
                <w:color w:val="auto"/>
              </w:rPr>
            </w:pPr>
            <w:r>
              <w:rPr>
                <w:rFonts w:ascii="Arial" w:cs="Arial" w:eastAsia="Arial" w:hAnsi="Arial"/>
                <w:sz w:val="16"/>
                <w:szCs w:val="16"/>
                <w:color w:val="auto"/>
              </w:rPr>
              <w:t>(567)</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2"/>
          </w:tcPr>
          <w:p>
            <w:pPr>
              <w:jc w:val="right"/>
              <w:ind w:right="120"/>
              <w:spacing w:after="0" w:line="156" w:lineRule="exact"/>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CCFFCC"/>
            </w:tcBorders>
          </w:tcPr>
          <w:p>
            <w:pPr>
              <w:spacing w:after="0" w:line="20" w:lineRule="exact"/>
              <w:rPr>
                <w:sz w:val="1"/>
                <w:szCs w:val="1"/>
                <w:color w:val="auto"/>
              </w:rPr>
            </w:pPr>
          </w:p>
        </w:tc>
        <w:tc>
          <w:tcPr>
            <w:tcW w:w="7700" w:type="dxa"/>
            <w:vAlign w:val="bottom"/>
            <w:tcBorders>
              <w:bottom w:val="single" w:sz="8" w:color="CCFFC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7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TOTAL LIABILITIES AND SHAREHOLDERS' EQUITY (DEFICIENCY)</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201</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spacing w:after="0"/>
              <w:rPr>
                <w:sz w:val="20"/>
                <w:szCs w:val="20"/>
                <w:color w:val="auto"/>
              </w:rPr>
            </w:pPr>
            <w:r>
              <w:rPr>
                <w:rFonts w:ascii="Arial" w:cs="Arial" w:eastAsia="Arial" w:hAnsi="Arial"/>
                <w:sz w:val="16"/>
                <w:szCs w:val="16"/>
                <w:color w:val="auto"/>
              </w:rPr>
              <w:t>*) Represents an amount lower than $ 1.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0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8020" w:type="dxa"/>
            <w:vAlign w:val="bottom"/>
            <w:gridSpan w:val="3"/>
          </w:tcPr>
          <w:p>
            <w:pPr>
              <w:spacing w:after="0"/>
              <w:rPr>
                <w:sz w:val="20"/>
                <w:szCs w:val="20"/>
                <w:color w:val="auto"/>
              </w:rPr>
            </w:pPr>
            <w:r>
              <w:rPr>
                <w:rFonts w:ascii="Arial" w:cs="Arial" w:eastAsia="Arial" w:hAnsi="Arial"/>
                <w:sz w:val="16"/>
                <w:szCs w:val="16"/>
                <w:color w:val="auto"/>
              </w:rPr>
              <w:t>The accompanying notes are an integral part of the financial statements.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ind w:left="5280"/>
              <w:spacing w:after="0"/>
              <w:rPr>
                <w:sz w:val="20"/>
                <w:szCs w:val="20"/>
                <w:color w:val="auto"/>
              </w:rPr>
            </w:pPr>
            <w:r>
              <w:rPr>
                <w:rFonts w:ascii="Arial" w:cs="Arial" w:eastAsia="Arial" w:hAnsi="Arial"/>
                <w:sz w:val="16"/>
                <w:szCs w:val="16"/>
                <w:color w:val="auto"/>
              </w:rPr>
              <w:t>F-4</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0"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Period from</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February 7, 2008</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(date of inception) to</w:t>
            </w:r>
          </w:p>
        </w:tc>
      </w:tr>
      <w:tr>
        <w:trPr>
          <w:trHeight w:val="209"/>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196"/>
        </w:trPr>
        <w:tc>
          <w:tcPr>
            <w:tcW w:w="6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17"/>
                <w:szCs w:val="17"/>
                <w:color w:val="auto"/>
              </w:rPr>
            </w:pP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Research and development expenses, net</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818</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1,822</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3,768</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683</w:t>
            </w: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2,084</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4,042</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1,501</w:t>
            </w:r>
          </w:p>
        </w:tc>
        <w:tc>
          <w:tcPr>
            <w:tcW w:w="4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3,906</w:t>
            </w:r>
          </w:p>
        </w:tc>
        <w:tc>
          <w:tcPr>
            <w:tcW w:w="1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7,810</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Financial expenses, net</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w:t>
            </w:r>
          </w:p>
        </w:tc>
        <w:tc>
          <w:tcPr>
            <w:tcW w:w="34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196</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comprehensive loss</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1,579</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3,929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8,006</w:t>
            </w: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Deemed dividend</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180</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loss attributable to holders of Ordinary shares</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1,579</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4,109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8,186</w:t>
            </w: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basic and diluted loss per share</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6"/>
                <w:szCs w:val="16"/>
                <w:color w:val="auto"/>
              </w:rPr>
              <w:t>(0.2)</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(0.5)</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3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6000" w:type="dxa"/>
            <w:vAlign w:val="bottom"/>
            <w:shd w:val="clear" w:color="auto" w:fill="CCFFCC"/>
          </w:tcPr>
          <w:p>
            <w:pPr>
              <w:ind w:left="40"/>
              <w:spacing w:after="0" w:line="180" w:lineRule="exact"/>
              <w:rPr>
                <w:sz w:val="20"/>
                <w:szCs w:val="20"/>
                <w:color w:val="auto"/>
              </w:rPr>
            </w:pPr>
            <w:r>
              <w:rPr>
                <w:rFonts w:ascii="Arial" w:cs="Arial" w:eastAsia="Arial" w:hAnsi="Arial"/>
                <w:sz w:val="16"/>
                <w:szCs w:val="16"/>
                <w:color w:val="auto"/>
                <w:w w:val="92"/>
              </w:rPr>
              <w:t>Weighted average number of Ordinary shares used in computing basic and diluted net loss</w:t>
            </w:r>
          </w:p>
        </w:tc>
        <w:tc>
          <w:tcPr>
            <w:tcW w:w="20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3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229"/>
        </w:trPr>
        <w:tc>
          <w:tcPr>
            <w:tcW w:w="60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per share</w:t>
            </w:r>
          </w:p>
        </w:tc>
        <w:tc>
          <w:tcPr>
            <w:tcW w:w="2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7,791,932</w:t>
            </w:r>
          </w:p>
        </w:tc>
        <w:tc>
          <w:tcPr>
            <w:tcW w:w="3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7,843,388</w:t>
            </w:r>
          </w:p>
        </w:tc>
        <w:tc>
          <w:tcPr>
            <w:tcW w:w="1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3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color w:val="auto"/>
              </w:rPr>
              <w:t>Deficit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line="120" w:lineRule="exact"/>
              <w:rPr>
                <w:sz w:val="20"/>
                <w:szCs w:val="20"/>
                <w:color w:val="auto"/>
              </w:rPr>
            </w:pPr>
            <w:r>
              <w:rPr>
                <w:rFonts w:ascii="Arial" w:cs="Arial" w:eastAsia="Arial" w:hAnsi="Arial"/>
                <w:sz w:val="11"/>
                <w:szCs w:val="11"/>
                <w:color w:val="auto"/>
                <w:w w:val="89"/>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spacing w:after="0" w:line="120" w:lineRule="exact"/>
              <w:rPr>
                <w:sz w:val="20"/>
                <w:szCs w:val="20"/>
                <w:color w:val="auto"/>
              </w:rPr>
            </w:pPr>
            <w:r>
              <w:rPr>
                <w:rFonts w:ascii="Arial" w:cs="Arial" w:eastAsia="Arial" w:hAnsi="Arial"/>
                <w:sz w:val="11"/>
                <w:szCs w:val="11"/>
                <w:color w:val="auto"/>
                <w:w w:val="89"/>
              </w:rPr>
              <w:t>Total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right"/>
              <w:ind w:right="240"/>
              <w:spacing w:after="0" w:line="120" w:lineRule="exact"/>
              <w:rPr>
                <w:sz w:val="20"/>
                <w:szCs w:val="20"/>
                <w:color w:val="auto"/>
              </w:rPr>
            </w:pPr>
            <w:r>
              <w:rPr>
                <w:rFonts w:ascii="Arial" w:cs="Arial" w:eastAsia="Arial" w:hAnsi="Arial"/>
                <w:sz w:val="11"/>
                <w:szCs w:val="11"/>
                <w:color w:val="auto"/>
                <w:w w:val="99"/>
              </w:rPr>
              <w:t>Additional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Arial" w:cs="Arial" w:eastAsia="Arial" w:hAnsi="Arial"/>
                <w:sz w:val="11"/>
                <w:szCs w:val="11"/>
                <w:color w:val="auto"/>
                <w:w w:val="93"/>
              </w:rPr>
              <w:t>during the</w:t>
            </w:r>
          </w:p>
        </w:tc>
        <w:tc>
          <w:tcPr>
            <w:tcW w:w="100" w:type="dxa"/>
            <w:vAlign w:val="bottom"/>
          </w:tcPr>
          <w:p>
            <w:pPr>
              <w:spacing w:after="0"/>
              <w:rPr>
                <w:sz w:val="10"/>
                <w:szCs w:val="10"/>
                <w:color w:val="auto"/>
              </w:rPr>
            </w:pPr>
          </w:p>
        </w:tc>
        <w:tc>
          <w:tcPr>
            <w:tcW w:w="780" w:type="dxa"/>
            <w:vAlign w:val="bottom"/>
            <w:gridSpan w:val="4"/>
          </w:tcPr>
          <w:p>
            <w:pPr>
              <w:jc w:val="center"/>
              <w:ind w:right="120"/>
              <w:spacing w:after="0" w:line="120" w:lineRule="exact"/>
              <w:rPr>
                <w:sz w:val="20"/>
                <w:szCs w:val="20"/>
                <w:color w:val="auto"/>
              </w:rPr>
            </w:pPr>
            <w:r>
              <w:rPr>
                <w:rFonts w:ascii="Arial" w:cs="Arial" w:eastAsia="Arial" w:hAnsi="Arial"/>
                <w:sz w:val="11"/>
                <w:szCs w:val="11"/>
                <w:color w:val="auto"/>
                <w:w w:val="88"/>
              </w:rPr>
              <w:t>shareholders'</w:t>
            </w:r>
          </w:p>
        </w:tc>
      </w:tr>
      <w:tr>
        <w:trPr>
          <w:trHeight w:val="134"/>
        </w:trPr>
        <w:tc>
          <w:tcPr>
            <w:tcW w:w="3220" w:type="dxa"/>
            <w:vAlign w:val="bottom"/>
          </w:tcPr>
          <w:p>
            <w:pPr>
              <w:spacing w:after="0"/>
              <w:rPr>
                <w:sz w:val="11"/>
                <w:szCs w:val="11"/>
                <w:color w:val="auto"/>
              </w:rPr>
            </w:pPr>
          </w:p>
        </w:tc>
        <w:tc>
          <w:tcPr>
            <w:tcW w:w="1220" w:type="dxa"/>
            <w:vAlign w:val="bottom"/>
            <w:gridSpan w:val="3"/>
          </w:tcPr>
          <w:p>
            <w:pPr>
              <w:jc w:val="right"/>
              <w:ind w:right="38"/>
              <w:spacing w:after="0"/>
              <w:rPr>
                <w:sz w:val="20"/>
                <w:szCs w:val="20"/>
                <w:color w:val="auto"/>
              </w:rPr>
            </w:pPr>
            <w:r>
              <w:rPr>
                <w:rFonts w:ascii="Arial" w:cs="Arial" w:eastAsia="Arial" w:hAnsi="Arial"/>
                <w:sz w:val="11"/>
                <w:szCs w:val="11"/>
                <w:color w:val="auto"/>
              </w:rPr>
              <w:t>Ordinary shares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color w:val="auto"/>
              </w:rPr>
              <w:t>Preferred A shares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4"/>
          </w:tcPr>
          <w:p>
            <w:pPr>
              <w:jc w:val="right"/>
              <w:spacing w:after="0"/>
              <w:rPr>
                <w:sz w:val="20"/>
                <w:szCs w:val="20"/>
                <w:color w:val="auto"/>
              </w:rPr>
            </w:pPr>
            <w:r>
              <w:rPr>
                <w:rFonts w:ascii="Arial" w:cs="Arial" w:eastAsia="Arial" w:hAnsi="Arial"/>
                <w:sz w:val="11"/>
                <w:szCs w:val="11"/>
                <w:color w:val="auto"/>
              </w:rPr>
              <w:t>Preferred B shares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4"/>
              <w:spacing w:after="0"/>
              <w:rPr>
                <w:sz w:val="20"/>
                <w:szCs w:val="20"/>
                <w:color w:val="auto"/>
              </w:rPr>
            </w:pPr>
            <w:r>
              <w:rPr>
                <w:rFonts w:ascii="Arial" w:cs="Arial" w:eastAsia="Arial" w:hAnsi="Arial"/>
                <w:sz w:val="11"/>
                <w:szCs w:val="11"/>
                <w:color w:val="auto"/>
              </w:rPr>
              <w:t>paid-in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color w:val="auto"/>
                <w:w w:val="92"/>
              </w:rPr>
              <w:t>development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auto"/>
                <w:w w:val="95"/>
              </w:rPr>
              <w:t>equity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4"/>
        </w:trPr>
        <w:tc>
          <w:tcPr>
            <w:tcW w:w="3220" w:type="dxa"/>
            <w:vAlign w:val="bottom"/>
            <w:tcBorders>
              <w:top w:val="single" w:sz="8" w:color="CCFFCC"/>
            </w:tcBorders>
            <w:shd w:val="clear" w:color="auto" w:fill="CCFFCC"/>
          </w:tcPr>
          <w:p>
            <w:pPr>
              <w:spacing w:after="0"/>
              <w:rPr>
                <w:sz w:val="10"/>
                <w:szCs w:val="10"/>
                <w:color w:val="auto"/>
              </w:rPr>
            </w:pPr>
          </w:p>
        </w:tc>
        <w:tc>
          <w:tcPr>
            <w:tcW w:w="940" w:type="dxa"/>
            <w:vAlign w:val="bottom"/>
            <w:tcBorders>
              <w:top w:val="single" w:sz="8" w:color="auto"/>
            </w:tcBorders>
            <w:gridSpan w:val="2"/>
            <w:shd w:val="clear" w:color="auto" w:fill="CCFFCC"/>
          </w:tcPr>
          <w:p>
            <w:pPr>
              <w:jc w:val="right"/>
              <w:ind w:right="240"/>
              <w:spacing w:after="0" w:line="124" w:lineRule="exact"/>
              <w:rPr>
                <w:sz w:val="20"/>
                <w:szCs w:val="20"/>
                <w:color w:val="auto"/>
              </w:rPr>
            </w:pPr>
            <w:r>
              <w:rPr>
                <w:rFonts w:ascii="Arial" w:cs="Arial" w:eastAsia="Arial" w:hAnsi="Arial"/>
                <w:sz w:val="11"/>
                <w:szCs w:val="11"/>
                <w:color w:val="auto"/>
              </w:rPr>
              <w:t>Number</w:t>
            </w:r>
          </w:p>
        </w:tc>
        <w:tc>
          <w:tcPr>
            <w:tcW w:w="280" w:type="dxa"/>
            <w:vAlign w:val="bottom"/>
            <w:tcBorders>
              <w:top w:val="single" w:sz="8" w:color="auto"/>
            </w:tcBorders>
            <w:shd w:val="clear" w:color="auto" w:fill="CCFFCC"/>
          </w:tcPr>
          <w:p>
            <w:pPr>
              <w:spacing w:after="0"/>
              <w:rPr>
                <w:sz w:val="10"/>
                <w:szCs w:val="10"/>
                <w:color w:val="auto"/>
              </w:rPr>
            </w:pPr>
          </w:p>
        </w:tc>
        <w:tc>
          <w:tcPr>
            <w:tcW w:w="400" w:type="dxa"/>
            <w:vAlign w:val="bottom"/>
            <w:tcBorders>
              <w:top w:val="single" w:sz="8" w:color="auto"/>
            </w:tcBorders>
            <w:gridSpan w:val="2"/>
            <w:shd w:val="clear" w:color="auto" w:fill="CCFFCC"/>
          </w:tcPr>
          <w:p>
            <w:pPr>
              <w:ind w:left="40"/>
              <w:spacing w:after="0" w:line="124" w:lineRule="exact"/>
              <w:rPr>
                <w:sz w:val="20"/>
                <w:szCs w:val="20"/>
                <w:color w:val="auto"/>
              </w:rPr>
            </w:pPr>
            <w:r>
              <w:rPr>
                <w:rFonts w:ascii="Arial" w:cs="Arial" w:eastAsia="Arial" w:hAnsi="Arial"/>
                <w:sz w:val="11"/>
                <w:szCs w:val="11"/>
                <w:color w:val="auto"/>
                <w:w w:val="89"/>
              </w:rPr>
              <w:t>Amount</w:t>
            </w:r>
          </w:p>
        </w:tc>
        <w:tc>
          <w:tcPr>
            <w:tcW w:w="240" w:type="dxa"/>
            <w:vAlign w:val="bottom"/>
            <w:tcBorders>
              <w:top w:val="single" w:sz="8" w:color="CCFFCC"/>
            </w:tcBorders>
            <w:shd w:val="clear" w:color="auto" w:fill="CCFFCC"/>
          </w:tcPr>
          <w:p>
            <w:pPr>
              <w:spacing w:after="0"/>
              <w:rPr>
                <w:sz w:val="10"/>
                <w:szCs w:val="10"/>
                <w:color w:val="auto"/>
              </w:rPr>
            </w:pPr>
          </w:p>
        </w:tc>
        <w:tc>
          <w:tcPr>
            <w:tcW w:w="940" w:type="dxa"/>
            <w:vAlign w:val="bottom"/>
            <w:tcBorders>
              <w:top w:val="single" w:sz="8" w:color="auto"/>
            </w:tcBorders>
            <w:gridSpan w:val="2"/>
            <w:shd w:val="clear" w:color="auto" w:fill="CCFFCC"/>
          </w:tcPr>
          <w:p>
            <w:pPr>
              <w:jc w:val="right"/>
              <w:ind w:right="240"/>
              <w:spacing w:after="0" w:line="124" w:lineRule="exact"/>
              <w:rPr>
                <w:sz w:val="20"/>
                <w:szCs w:val="20"/>
                <w:color w:val="auto"/>
              </w:rPr>
            </w:pPr>
            <w:r>
              <w:rPr>
                <w:rFonts w:ascii="Arial" w:cs="Arial" w:eastAsia="Arial" w:hAnsi="Arial"/>
                <w:sz w:val="11"/>
                <w:szCs w:val="11"/>
                <w:color w:val="auto"/>
              </w:rPr>
              <w:t>Number</w:t>
            </w:r>
          </w:p>
        </w:tc>
        <w:tc>
          <w:tcPr>
            <w:tcW w:w="320" w:type="dxa"/>
            <w:vAlign w:val="bottom"/>
            <w:tcBorders>
              <w:top w:val="single" w:sz="8" w:color="auto"/>
            </w:tcBorders>
            <w:shd w:val="clear" w:color="auto" w:fill="CCFFCC"/>
          </w:tcPr>
          <w:p>
            <w:pPr>
              <w:spacing w:after="0"/>
              <w:rPr>
                <w:sz w:val="10"/>
                <w:szCs w:val="10"/>
                <w:color w:val="auto"/>
              </w:rPr>
            </w:pPr>
          </w:p>
        </w:tc>
        <w:tc>
          <w:tcPr>
            <w:tcW w:w="38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w w:val="94"/>
              </w:rPr>
              <w:t>Amount</w:t>
            </w:r>
          </w:p>
        </w:tc>
        <w:tc>
          <w:tcPr>
            <w:tcW w:w="240" w:type="dxa"/>
            <w:vAlign w:val="bottom"/>
            <w:tcBorders>
              <w:top w:val="single" w:sz="8" w:color="CCFFCC"/>
            </w:tcBorders>
            <w:shd w:val="clear" w:color="auto" w:fill="CCFFCC"/>
          </w:tcPr>
          <w:p>
            <w:pPr>
              <w:spacing w:after="0"/>
              <w:rPr>
                <w:sz w:val="10"/>
                <w:szCs w:val="10"/>
                <w:color w:val="auto"/>
              </w:rPr>
            </w:pPr>
          </w:p>
        </w:tc>
        <w:tc>
          <w:tcPr>
            <w:tcW w:w="820" w:type="dxa"/>
            <w:vAlign w:val="bottom"/>
            <w:tcBorders>
              <w:top w:val="single" w:sz="8" w:color="auto"/>
            </w:tcBorders>
            <w:gridSpan w:val="2"/>
            <w:shd w:val="clear" w:color="auto" w:fill="CCFFCC"/>
          </w:tcPr>
          <w:p>
            <w:pPr>
              <w:jc w:val="right"/>
              <w:ind w:right="140"/>
              <w:spacing w:after="0" w:line="124" w:lineRule="exact"/>
              <w:rPr>
                <w:sz w:val="20"/>
                <w:szCs w:val="20"/>
                <w:color w:val="auto"/>
              </w:rPr>
            </w:pPr>
            <w:r>
              <w:rPr>
                <w:rFonts w:ascii="Arial" w:cs="Arial" w:eastAsia="Arial" w:hAnsi="Arial"/>
                <w:sz w:val="11"/>
                <w:szCs w:val="11"/>
                <w:color w:val="auto"/>
              </w:rPr>
              <w:t>Number</w:t>
            </w:r>
          </w:p>
        </w:tc>
        <w:tc>
          <w:tcPr>
            <w:tcW w:w="8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38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w w:val="94"/>
              </w:rPr>
              <w:t>Amount</w:t>
            </w:r>
          </w:p>
        </w:tc>
        <w:tc>
          <w:tcPr>
            <w:tcW w:w="220" w:type="dxa"/>
            <w:vAlign w:val="bottom"/>
            <w:tcBorders>
              <w:top w:val="single" w:sz="8" w:color="CCFFCC"/>
            </w:tcBorders>
            <w:shd w:val="clear" w:color="auto" w:fill="CCFFCC"/>
          </w:tcPr>
          <w:p>
            <w:pPr>
              <w:spacing w:after="0"/>
              <w:rPr>
                <w:sz w:val="10"/>
                <w:szCs w:val="10"/>
                <w:color w:val="auto"/>
              </w:rPr>
            </w:pPr>
          </w:p>
        </w:tc>
        <w:tc>
          <w:tcPr>
            <w:tcW w:w="60" w:type="dxa"/>
            <w:vAlign w:val="bottom"/>
            <w:tcBorders>
              <w:top w:val="single" w:sz="8" w:color="auto"/>
            </w:tcBorders>
            <w:shd w:val="clear" w:color="auto" w:fill="CCFFCC"/>
          </w:tcPr>
          <w:p>
            <w:pPr>
              <w:spacing w:after="0"/>
              <w:rPr>
                <w:sz w:val="10"/>
                <w:szCs w:val="10"/>
                <w:color w:val="auto"/>
              </w:rPr>
            </w:pPr>
          </w:p>
        </w:tc>
        <w:tc>
          <w:tcPr>
            <w:tcW w:w="60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rPr>
              <w:t>capital</w:t>
            </w:r>
          </w:p>
        </w:tc>
        <w:tc>
          <w:tcPr>
            <w:tcW w:w="14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jc w:val="right"/>
              <w:spacing w:after="0" w:line="124" w:lineRule="exact"/>
              <w:rPr>
                <w:sz w:val="20"/>
                <w:szCs w:val="20"/>
                <w:color w:val="auto"/>
              </w:rPr>
            </w:pPr>
            <w:r>
              <w:rPr>
                <w:rFonts w:ascii="Arial" w:cs="Arial" w:eastAsia="Arial" w:hAnsi="Arial"/>
                <w:sz w:val="11"/>
                <w:szCs w:val="11"/>
                <w:color w:val="auto"/>
              </w:rPr>
              <w:t>stage</w:t>
            </w:r>
          </w:p>
        </w:tc>
        <w:tc>
          <w:tcPr>
            <w:tcW w:w="12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gridSpan w:val="2"/>
            <w:shd w:val="clear" w:color="auto" w:fill="CCFFCC"/>
          </w:tcPr>
          <w:p>
            <w:pPr>
              <w:ind w:left="40"/>
              <w:spacing w:after="0" w:line="124" w:lineRule="exact"/>
              <w:rPr>
                <w:sz w:val="20"/>
                <w:szCs w:val="20"/>
                <w:color w:val="auto"/>
              </w:rPr>
            </w:pPr>
            <w:r>
              <w:rPr>
                <w:rFonts w:ascii="Arial" w:cs="Arial" w:eastAsia="Arial" w:hAnsi="Arial"/>
                <w:sz w:val="11"/>
                <w:szCs w:val="11"/>
                <w:color w:val="auto"/>
                <w:w w:val="92"/>
              </w:rPr>
              <w:t>(deficiency)</w:t>
            </w:r>
          </w:p>
        </w:tc>
        <w:tc>
          <w:tcPr>
            <w:tcW w:w="120" w:type="dxa"/>
            <w:vAlign w:val="bottom"/>
            <w:tcBorders>
              <w:top w:val="single" w:sz="8" w:color="CCFFCC"/>
            </w:tcBorders>
            <w:shd w:val="clear" w:color="auto" w:fill="CCFFCC"/>
          </w:tcPr>
          <w:p>
            <w:pPr>
              <w:spacing w:after="0"/>
              <w:rPr>
                <w:sz w:val="10"/>
                <w:szCs w:val="10"/>
                <w:color w:val="auto"/>
              </w:rPr>
            </w:pP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shd w:val="clear" w:color="auto" w:fill="CCFFCC"/>
          </w:tcPr>
          <w:p>
            <w:pPr>
              <w:ind w:left="40"/>
              <w:spacing w:after="0" w:line="120" w:lineRule="exact"/>
              <w:rPr>
                <w:sz w:val="20"/>
                <w:szCs w:val="20"/>
                <w:color w:val="auto"/>
              </w:rPr>
            </w:pPr>
            <w:r>
              <w:rPr>
                <w:rFonts w:ascii="Arial" w:cs="Arial" w:eastAsia="Arial" w:hAnsi="Arial"/>
                <w:sz w:val="11"/>
                <w:szCs w:val="11"/>
                <w:color w:val="auto"/>
              </w:rPr>
              <w:t>Balance as of February 7, 2008 (date of inception)</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218"/>
              <w:spacing w:after="0"/>
              <w:rPr>
                <w:sz w:val="20"/>
                <w:szCs w:val="20"/>
                <w:color w:val="auto"/>
              </w:rPr>
            </w:pPr>
            <w:r>
              <w:rPr>
                <w:rFonts w:ascii="Arial" w:cs="Arial" w:eastAsia="Arial" w:hAnsi="Arial"/>
                <w:sz w:val="4"/>
                <w:szCs w:val="4"/>
                <w:color w:val="auto"/>
                <w:w w:val="87"/>
              </w:rPr>
              <w:t>$</w:t>
            </w: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4"/>
                <w:szCs w:val="4"/>
                <w:color w:val="auto"/>
                <w:w w:val="87"/>
              </w:rPr>
              <w:t>$</w:t>
            </w: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160" w:type="dxa"/>
            <w:vAlign w:val="bottom"/>
            <w:gridSpan w:val="2"/>
            <w:shd w:val="clear" w:color="auto" w:fill="CCFFCC"/>
          </w:tcPr>
          <w:p>
            <w:pPr>
              <w:jc w:val="right"/>
              <w:ind w:right="20"/>
              <w:spacing w:after="0" w:line="120"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80" w:type="dxa"/>
            <w:vAlign w:val="bottom"/>
            <w:gridSpan w:val="2"/>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Issuance of Ordinary shares at par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5,752,600</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3</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Issuance of Preferred A shares, net ($0.92 per share)</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747,339</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740" w:type="dxa"/>
            <w:vAlign w:val="bottom"/>
            <w:gridSpan w:val="3"/>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657</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657</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w w:val="98"/>
              </w:rPr>
              <w:t>Preferred A shares issued to service provider ($0.92 per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81,528</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jc w:val="right"/>
              <w:spacing w:after="0" w:line="120" w:lineRule="exact"/>
              <w:rPr>
                <w:sz w:val="20"/>
                <w:szCs w:val="20"/>
                <w:color w:val="auto"/>
              </w:rPr>
            </w:pPr>
            <w:r>
              <w:rPr>
                <w:rFonts w:ascii="Arial" w:cs="Arial" w:eastAsia="Arial" w:hAnsi="Arial"/>
                <w:sz w:val="11"/>
                <w:szCs w:val="11"/>
                <w:color w:val="auto"/>
                <w:w w:val="81"/>
              </w:rPr>
              <w:t>75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w w:val="81"/>
              </w:rPr>
              <w:t>75</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rPr>
              <w:t>Share based compensation related to warrants granted to</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consultant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1"/>
                <w:szCs w:val="11"/>
                <w:color w:val="auto"/>
                <w:w w:val="81"/>
              </w:rPr>
              <w:t>28</w:t>
            </w: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w w:val="81"/>
              </w:rPr>
              <w:t>28</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(666)</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2008</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5,752,600</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828,867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760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(666)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w w:val="81"/>
              </w:rPr>
              <w:t>97</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Issuance of Preferred A shares, net ($0.92 per share)</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203,818</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740" w:type="dxa"/>
            <w:vAlign w:val="bottom"/>
            <w:gridSpan w:val="3"/>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187</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187</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Issuance of Preferred A shares granted to service provider</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($0.92 per share)</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190,229</w:t>
            </w:r>
          </w:p>
        </w:tc>
        <w:tc>
          <w:tcPr>
            <w:tcW w:w="3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175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175</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Conversion of Preferred A shares into Ordinary shares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461,987</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00"/>
              <w:spacing w:after="0" w:line="120" w:lineRule="exact"/>
              <w:rPr>
                <w:sz w:val="20"/>
                <w:szCs w:val="20"/>
                <w:color w:val="auto"/>
              </w:rPr>
            </w:pPr>
            <w:r>
              <w:rPr>
                <w:rFonts w:ascii="Arial" w:cs="Arial" w:eastAsia="Arial" w:hAnsi="Arial"/>
                <w:sz w:val="11"/>
                <w:szCs w:val="11"/>
                <w:color w:val="auto"/>
              </w:rPr>
              <w:t>(461,987)</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(608)</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2009</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6,214,587</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760,927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1,122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(1,274)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80"/>
              <w:spacing w:after="0" w:line="120" w:lineRule="exact"/>
              <w:rPr>
                <w:sz w:val="20"/>
                <w:szCs w:val="20"/>
                <w:color w:val="auto"/>
              </w:rPr>
            </w:pPr>
            <w:r>
              <w:rPr>
                <w:rFonts w:ascii="Arial" w:cs="Arial" w:eastAsia="Arial" w:hAnsi="Arial"/>
                <w:sz w:val="11"/>
                <w:szCs w:val="11"/>
                <w:color w:val="auto"/>
              </w:rPr>
              <w:t>(149)</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w w:val="96"/>
              </w:rPr>
              <w:t>Issuance of Preferred B shares and warrants, net ($2.18 per unit</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of 1 share and 0.25 warrant)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342,691</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1"/>
                <w:szCs w:val="11"/>
                <w:color w:val="auto"/>
              </w:rPr>
              <w:t>723</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723</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w w:val="96"/>
              </w:rPr>
              <w:t>Issuance of Preferred B shares and warrants upon conversion of</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tcPr>
          <w:p>
            <w:pPr>
              <w:ind w:left="320"/>
              <w:spacing w:after="0" w:line="120" w:lineRule="exact"/>
              <w:rPr>
                <w:sz w:val="20"/>
                <w:szCs w:val="20"/>
                <w:color w:val="auto"/>
              </w:rPr>
            </w:pPr>
            <w:r>
              <w:rPr>
                <w:rFonts w:ascii="Arial" w:cs="Arial" w:eastAsia="Arial" w:hAnsi="Arial"/>
                <w:sz w:val="11"/>
                <w:szCs w:val="11"/>
                <w:color w:val="auto"/>
              </w:rPr>
              <w:t>convertible notes ($1.75 per unit of 1 share and 0.25</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warrant)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128,512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279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279</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w w:val="97"/>
              </w:rPr>
              <w:t>Issuance of Preferred B shares and warrants granted to service</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provider</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55,008</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1"/>
                <w:szCs w:val="11"/>
                <w:color w:val="auto"/>
              </w:rPr>
              <w:t>120</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120</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w w:val="94"/>
              </w:rPr>
              <w:t>Share based compensation related to options granted to a service</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provider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242</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288,681</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(1,224)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(1,224)</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2010</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6,503,268</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760,927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526,211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2,486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(2,498)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(9)</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Conversion of Preferred A and B shares into Ordinary shares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1,287,138</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w w:val="97"/>
              </w:rPr>
              <w:t>1</w:t>
            </w:r>
          </w:p>
        </w:tc>
        <w:tc>
          <w:tcPr>
            <w:tcW w:w="940" w:type="dxa"/>
            <w:vAlign w:val="bottom"/>
            <w:gridSpan w:val="2"/>
            <w:shd w:val="clear" w:color="auto" w:fill="CCFFCC"/>
          </w:tcPr>
          <w:p>
            <w:pPr>
              <w:jc w:val="right"/>
              <w:ind w:right="200"/>
              <w:spacing w:after="0" w:line="120" w:lineRule="exact"/>
              <w:rPr>
                <w:sz w:val="20"/>
                <w:szCs w:val="20"/>
                <w:color w:val="auto"/>
              </w:rPr>
            </w:pPr>
            <w:r>
              <w:rPr>
                <w:rFonts w:ascii="Arial" w:cs="Arial" w:eastAsia="Arial" w:hAnsi="Arial"/>
                <w:sz w:val="11"/>
                <w:szCs w:val="11"/>
                <w:color w:val="auto"/>
              </w:rPr>
              <w:t>(760,927)</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line="120" w:lineRule="exact"/>
              <w:rPr>
                <w:sz w:val="20"/>
                <w:szCs w:val="20"/>
                <w:color w:val="auto"/>
              </w:rPr>
            </w:pPr>
            <w:r>
              <w:rPr>
                <w:rFonts w:ascii="Arial" w:cs="Arial" w:eastAsia="Arial" w:hAnsi="Arial"/>
                <w:sz w:val="11"/>
                <w:szCs w:val="11"/>
                <w:color w:val="auto"/>
              </w:rPr>
              <w:t>(526,211)</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00"/>
              <w:spacing w:after="0" w:line="120" w:lineRule="exact"/>
              <w:rPr>
                <w:sz w:val="20"/>
                <w:szCs w:val="20"/>
                <w:color w:val="auto"/>
              </w:rPr>
            </w:pPr>
            <w:r>
              <w:rPr>
                <w:rFonts w:ascii="Arial" w:cs="Arial" w:eastAsia="Arial" w:hAnsi="Arial"/>
                <w:sz w:val="11"/>
                <w:szCs w:val="11"/>
                <w:color w:val="auto"/>
              </w:rPr>
              <w:t>(1)</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Deemed dividend in respect of equity restructuring</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180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(180)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rPr>
              <w:t>Issuance of Ordinary shares upon conversion of loan into</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Ordinary shares net ($11.5 per share)</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104,345</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1,200</w:t>
            </w: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1,200</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Issuance of Ordinary shares, net ($11.5 per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199,979</w:t>
            </w:r>
          </w:p>
        </w:tc>
        <w:tc>
          <w:tcPr>
            <w:tcW w:w="280" w:type="dxa"/>
            <w:vAlign w:val="bottom"/>
          </w:tcPr>
          <w:p>
            <w:pPr>
              <w:spacing w:after="0"/>
              <w:rPr>
                <w:sz w:val="10"/>
                <w:szCs w:val="10"/>
                <w:color w:val="auto"/>
              </w:rPr>
            </w:pPr>
          </w:p>
        </w:tc>
        <w:tc>
          <w:tcPr>
            <w:tcW w:w="3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2,170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2,170</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1,379</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Share based compensation related to options granted to</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consultants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1,553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1,553</w:t>
            </w:r>
          </w:p>
        </w:tc>
      </w:tr>
      <w:tr>
        <w:trPr>
          <w:trHeight w:val="132"/>
        </w:trPr>
        <w:tc>
          <w:tcPr>
            <w:tcW w:w="322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(3,929)</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(3,929)</w:t>
            </w: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shd w:val="clear" w:color="auto" w:fill="CCFFCC"/>
          </w:tcPr>
          <w:p>
            <w:pPr>
              <w:ind w:left="40"/>
              <w:spacing w:after="0" w:line="120" w:lineRule="exact"/>
              <w:rPr>
                <w:sz w:val="20"/>
                <w:szCs w:val="20"/>
                <w:color w:val="auto"/>
              </w:rPr>
            </w:pPr>
            <w:r>
              <w:rPr>
                <w:rFonts w:ascii="Arial" w:cs="Arial" w:eastAsia="Arial" w:hAnsi="Arial"/>
                <w:sz w:val="11"/>
                <w:szCs w:val="11"/>
                <w:color w:val="auto"/>
              </w:rPr>
              <w:t>Balance as of December 31, 2011</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8,096,109</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w w:val="97"/>
              </w:rPr>
              <w:t>4</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spacing w:after="0" w:line="120" w:lineRule="exact"/>
              <w:rPr>
                <w:sz w:val="20"/>
                <w:szCs w:val="20"/>
                <w:color w:val="auto"/>
              </w:rPr>
            </w:pPr>
            <w:r>
              <w:rPr>
                <w:rFonts w:ascii="Arial" w:cs="Arial" w:eastAsia="Arial" w:hAnsi="Arial"/>
                <w:sz w:val="11"/>
                <w:szCs w:val="11"/>
                <w:color w:val="auto"/>
              </w:rPr>
              <w:t>7,588</w:t>
            </w: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80"/>
              <w:spacing w:after="0" w:line="120" w:lineRule="exact"/>
              <w:rPr>
                <w:sz w:val="20"/>
                <w:szCs w:val="20"/>
                <w:color w:val="auto"/>
              </w:rPr>
            </w:pPr>
            <w:r>
              <w:rPr>
                <w:rFonts w:ascii="Arial" w:cs="Arial" w:eastAsia="Arial" w:hAnsi="Arial"/>
                <w:sz w:val="11"/>
                <w:szCs w:val="11"/>
                <w:color w:val="auto"/>
              </w:rPr>
              <w:t>(6,607)</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985</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Treasury shares</w:t>
            </w:r>
          </w:p>
        </w:tc>
        <w:tc>
          <w:tcPr>
            <w:tcW w:w="9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(304,324)</w:t>
            </w:r>
          </w:p>
        </w:tc>
        <w:tc>
          <w:tcPr>
            <w:tcW w:w="280" w:type="dxa"/>
            <w:vAlign w:val="bottom"/>
          </w:tcPr>
          <w:p>
            <w:pPr>
              <w:spacing w:after="0"/>
              <w:rPr>
                <w:sz w:val="10"/>
                <w:szCs w:val="10"/>
                <w:color w:val="auto"/>
              </w:rPr>
            </w:pPr>
          </w:p>
        </w:tc>
        <w:tc>
          <w:tcPr>
            <w:tcW w:w="3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2,471</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1</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1</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Share based compensation related to options granted to</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consultants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81"/>
              </w:rPr>
              <w:t>26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81"/>
              </w:rPr>
              <w:t>26</w:t>
            </w:r>
          </w:p>
        </w:tc>
      </w:tr>
      <w:tr>
        <w:trPr>
          <w:trHeight w:val="132"/>
        </w:trPr>
        <w:tc>
          <w:tcPr>
            <w:tcW w:w="322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(1,579)</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(1,579)</w:t>
            </w: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44"/>
        </w:trPr>
        <w:tc>
          <w:tcPr>
            <w:tcW w:w="3220" w:type="dxa"/>
            <w:vAlign w:val="bottom"/>
            <w:shd w:val="clear" w:color="auto" w:fill="CCFFCC"/>
          </w:tcPr>
          <w:p>
            <w:pPr>
              <w:ind w:left="40"/>
              <w:spacing w:after="0"/>
              <w:rPr>
                <w:sz w:val="20"/>
                <w:szCs w:val="20"/>
                <w:color w:val="auto"/>
              </w:rPr>
            </w:pPr>
            <w:r>
              <w:rPr>
                <w:rFonts w:ascii="Arial" w:cs="Arial" w:eastAsia="Arial" w:hAnsi="Arial"/>
                <w:sz w:val="11"/>
                <w:szCs w:val="11"/>
                <w:color w:val="auto"/>
              </w:rPr>
              <w:t>Balance as of December 31, 2012</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7,794,256</w:t>
            </w:r>
          </w:p>
        </w:tc>
        <w:tc>
          <w:tcPr>
            <w:tcW w:w="280" w:type="dxa"/>
            <w:vAlign w:val="bottom"/>
            <w:shd w:val="clear" w:color="auto" w:fill="CCFFCC"/>
          </w:tcPr>
          <w:p>
            <w:pPr>
              <w:jc w:val="right"/>
              <w:ind w:right="218"/>
              <w:spacing w:after="0"/>
              <w:rPr>
                <w:sz w:val="20"/>
                <w:szCs w:val="20"/>
                <w:color w:val="auto"/>
              </w:rPr>
            </w:pPr>
            <w:r>
              <w:rPr>
                <w:rFonts w:ascii="Arial" w:cs="Arial" w:eastAsia="Arial" w:hAnsi="Arial"/>
                <w:sz w:val="4"/>
                <w:szCs w:val="4"/>
                <w:color w:val="auto"/>
                <w:w w:val="87"/>
              </w:rPr>
              <w:t>$</w:t>
            </w:r>
          </w:p>
        </w:tc>
        <w:tc>
          <w:tcPr>
            <w:tcW w:w="3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w w:val="97"/>
              </w:rPr>
              <w:t>4</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4"/>
                <w:szCs w:val="4"/>
                <w:color w:val="auto"/>
                <w:w w:val="87"/>
              </w:rPr>
              <w:t>$</w:t>
            </w: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7,615</w:t>
            </w:r>
          </w:p>
        </w:tc>
        <w:tc>
          <w:tcPr>
            <w:tcW w:w="140" w:type="dxa"/>
            <w:vAlign w:val="bottom"/>
            <w:shd w:val="clear" w:color="auto" w:fill="CCFFCC"/>
          </w:tcPr>
          <w:p>
            <w:pPr>
              <w:spacing w:after="0"/>
              <w:rPr>
                <w:sz w:val="12"/>
                <w:szCs w:val="12"/>
                <w:color w:val="auto"/>
              </w:rPr>
            </w:pP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80"/>
              <w:spacing w:after="0" w:line="145" w:lineRule="exact"/>
              <w:rPr>
                <w:sz w:val="20"/>
                <w:szCs w:val="20"/>
                <w:color w:val="auto"/>
              </w:rPr>
            </w:pPr>
            <w:r>
              <w:rPr>
                <w:rFonts w:ascii="Arial" w:cs="Arial" w:eastAsia="Arial" w:hAnsi="Arial"/>
                <w:sz w:val="9"/>
                <w:szCs w:val="9"/>
                <w:color w:val="auto"/>
              </w:rPr>
              <w:t>(8,186</w:t>
            </w:r>
            <w:r>
              <w:rPr>
                <w:rFonts w:ascii="Arial" w:cs="Arial" w:eastAsia="Arial" w:hAnsi="Arial"/>
                <w:sz w:val="16"/>
                <w:szCs w:val="16"/>
                <w:color w:val="auto"/>
                <w:vertAlign w:val="superscript"/>
              </w:rPr>
              <w:t>)</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FFCC"/>
          </w:tcPr>
          <w:p>
            <w:pPr>
              <w:jc w:val="right"/>
              <w:ind w:right="80"/>
              <w:spacing w:after="0" w:line="145" w:lineRule="exact"/>
              <w:rPr>
                <w:sz w:val="20"/>
                <w:szCs w:val="20"/>
                <w:color w:val="auto"/>
              </w:rPr>
            </w:pPr>
            <w:r>
              <w:rPr>
                <w:rFonts w:ascii="Arial" w:cs="Arial" w:eastAsia="Arial" w:hAnsi="Arial"/>
                <w:sz w:val="9"/>
                <w:szCs w:val="9"/>
                <w:color w:val="auto"/>
              </w:rPr>
              <w:t>(567</w:t>
            </w:r>
            <w:r>
              <w:rPr>
                <w:rFonts w:ascii="Arial" w:cs="Arial" w:eastAsia="Arial" w:hAnsi="Arial"/>
                <w:sz w:val="16"/>
                <w:szCs w:val="16"/>
                <w:color w:val="auto"/>
                <w:vertAlign w:val="superscript"/>
              </w:rPr>
              <w:t>)</w:t>
            </w:r>
          </w:p>
        </w:tc>
      </w:tr>
      <w:tr>
        <w:trPr>
          <w:trHeight w:val="20"/>
        </w:trPr>
        <w:tc>
          <w:tcPr>
            <w:tcW w:w="322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 Represents an amount lower than $ 1.</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7"/>
          </w:tcPr>
          <w:p>
            <w:pPr>
              <w:jc w:val="right"/>
              <w:spacing w:after="0"/>
              <w:rPr>
                <w:sz w:val="20"/>
                <w:szCs w:val="20"/>
                <w:color w:val="auto"/>
              </w:rPr>
            </w:pPr>
            <w:r>
              <w:rPr>
                <w:rFonts w:ascii="Arial" w:cs="Arial" w:eastAsia="Arial" w:hAnsi="Arial"/>
                <w:sz w:val="16"/>
                <w:szCs w:val="16"/>
                <w:b w:val="1"/>
                <w:bCs w:val="1"/>
                <w:color w:val="auto"/>
              </w:rPr>
              <w:t>(A development stage company)</w:t>
            </w:r>
          </w:p>
        </w:tc>
        <w:tc>
          <w:tcPr>
            <w:tcW w:w="0" w:type="dxa"/>
            <w:vAlign w:val="bottom"/>
          </w:tcPr>
          <w:p>
            <w:pPr>
              <w:spacing w:after="0"/>
              <w:rPr>
                <w:sz w:val="1"/>
                <w:szCs w:val="1"/>
                <w:color w:val="auto"/>
              </w:rPr>
            </w:pPr>
          </w:p>
        </w:tc>
      </w:tr>
      <w:tr>
        <w:trPr>
          <w:trHeight w:val="388"/>
        </w:trPr>
        <w:tc>
          <w:tcPr>
            <w:tcW w:w="64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STATEMENTS OF CASH FLOWS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20" w:type="dxa"/>
            <w:vAlign w:val="bottom"/>
            <w:gridSpan w:val="5"/>
          </w:tcPr>
          <w:p>
            <w:pPr>
              <w:spacing w:after="0"/>
              <w:rPr>
                <w:sz w:val="20"/>
                <w:szCs w:val="20"/>
                <w:color w:val="auto"/>
              </w:rPr>
            </w:pPr>
            <w:r>
              <w:rPr>
                <w:rFonts w:ascii="Arial" w:cs="Arial" w:eastAsia="Arial" w:hAnsi="Arial"/>
                <w:sz w:val="16"/>
                <w:szCs w:val="16"/>
                <w:b w:val="1"/>
                <w:bCs w:val="1"/>
                <w:color w:val="auto"/>
              </w:rPr>
              <w:t>U.S. dollars in thousands, except share data</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February 7, 2008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right"/>
              <w:ind w:right="165"/>
              <w:spacing w:after="0"/>
              <w:rPr>
                <w:sz w:val="20"/>
                <w:szCs w:val="20"/>
                <w:color w:val="auto"/>
              </w:rPr>
            </w:pPr>
            <w:r>
              <w:rPr>
                <w:rFonts w:ascii="Arial" w:cs="Arial" w:eastAsia="Arial" w:hAnsi="Arial"/>
                <w:sz w:val="16"/>
                <w:szCs w:val="16"/>
                <w:b w:val="1"/>
                <w:bCs w:val="1"/>
                <w:color w:val="auto"/>
              </w:rPr>
              <w:t>Year ended</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(date of inception) 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84"/>
        </w:trPr>
        <w:tc>
          <w:tcPr>
            <w:tcW w:w="6420" w:type="dxa"/>
            <w:vAlign w:val="bottom"/>
            <w:gridSpan w:val="5"/>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42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(1,579)</w:t>
            </w: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(3,929)</w:t>
            </w: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(8,006)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Depreciation</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6</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Decrease (increase) in receivables and prepaid expenses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Increase (decrease) in trade payables</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(101)</w:t>
            </w:r>
          </w:p>
        </w:tc>
        <w:tc>
          <w:tcPr>
            <w:tcW w:w="460" w:type="dxa"/>
            <w:vAlign w:val="bottom"/>
            <w:shd w:val="clear" w:color="auto" w:fill="CCFFCC"/>
          </w:tcPr>
          <w:p>
            <w:pPr>
              <w:spacing w:after="0"/>
              <w:rPr>
                <w:sz w:val="16"/>
                <w:szCs w:val="16"/>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95</w:t>
            </w:r>
          </w:p>
        </w:tc>
        <w:tc>
          <w:tcPr>
            <w:tcW w:w="20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Increase (decrease) in other accounts payable</w:t>
            </w:r>
          </w:p>
        </w:tc>
        <w:tc>
          <w:tcPr>
            <w:tcW w:w="32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(12)</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Interest on convertible notes</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62</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Stock base compensation</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(1,585)</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(2,361)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(5,621)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400" w:type="dxa"/>
            <w:vAlign w:val="bottom"/>
            <w:gridSpan w:val="4"/>
          </w:tcPr>
          <w:p>
            <w:pPr>
              <w:spacing w:after="0" w:line="156" w:lineRule="exact"/>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2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Investment in (proceeds from) short-term bank deposit</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517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(517)</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Decrease (increase) in long-term deposit</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Investment in (proceeds from) restricted bank deposit</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507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(500)</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1,026</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(1,041)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400" w:type="dxa"/>
            <w:vAlign w:val="bottom"/>
            <w:gridSpan w:val="4"/>
          </w:tcPr>
          <w:p>
            <w:pPr>
              <w:spacing w:after="0" w:line="156" w:lineRule="exact"/>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auto"/>
            </w:tcBorders>
            <w:shd w:val="clear" w:color="auto" w:fill="CCFFCC"/>
          </w:tcPr>
          <w:p>
            <w:pPr>
              <w:spacing w:after="0"/>
              <w:rPr>
                <w:sz w:val="17"/>
                <w:szCs w:val="17"/>
                <w:color w:val="auto"/>
              </w:rPr>
            </w:pPr>
          </w:p>
        </w:tc>
        <w:tc>
          <w:tcPr>
            <w:tcW w:w="22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Proceeds from issuance of convertible notes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600</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Proceeds from loan</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450</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Issuance of shares, net</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3,741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601</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5,761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Increase (decrease) in cash and cash equivalents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(782)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837</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shd w:val="clear" w:color="auto" w:fill="CCFFCC"/>
          </w:tcPr>
          <w:p>
            <w:pPr>
              <w:spacing w:after="0"/>
              <w:rPr>
                <w:sz w:val="20"/>
                <w:szCs w:val="20"/>
                <w:color w:val="auto"/>
              </w:rPr>
            </w:pPr>
            <w:r>
              <w:rPr>
                <w:rFonts w:ascii="Arial" w:cs="Arial" w:eastAsia="Arial" w:hAnsi="Arial"/>
                <w:sz w:val="16"/>
                <w:szCs w:val="16"/>
                <w:color w:val="auto"/>
              </w:rPr>
              <w:t>Cash and cash equivalents at the end of the period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97</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FFCC"/>
          </w:tcPr>
          <w:p>
            <w:pPr>
              <w:spacing w:after="0"/>
              <w:rPr>
                <w:sz w:val="16"/>
                <w:szCs w:val="16"/>
                <w:color w:val="auto"/>
              </w:rPr>
            </w:pP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240" w:type="dxa"/>
            <w:vAlign w:val="bottom"/>
            <w:tcBorders>
              <w:top w:val="single" w:sz="8" w:color="CCFFCC"/>
            </w:tcBorders>
          </w:tcPr>
          <w:p>
            <w:pPr>
              <w:spacing w:after="0" w:line="20" w:lineRule="exact"/>
              <w:rPr>
                <w:sz w:val="1"/>
                <w:szCs w:val="1"/>
                <w:color w:val="auto"/>
              </w:rPr>
            </w:pPr>
          </w:p>
        </w:tc>
        <w:tc>
          <w:tcPr>
            <w:tcW w:w="18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400" w:type="dxa"/>
            <w:vAlign w:val="bottom"/>
            <w:gridSpan w:val="4"/>
            <w:shd w:val="clear" w:color="auto" w:fill="CCFFCC"/>
          </w:tcPr>
          <w:p>
            <w:pPr>
              <w:spacing w:after="0" w:line="156" w:lineRule="exact"/>
              <w:rPr>
                <w:sz w:val="20"/>
                <w:szCs w:val="20"/>
                <w:color w:val="auto"/>
              </w:rPr>
            </w:pPr>
            <w:r>
              <w:rPr>
                <w:rFonts w:ascii="Arial" w:cs="Arial" w:eastAsia="Arial" w:hAnsi="Arial"/>
                <w:sz w:val="16"/>
                <w:szCs w:val="16"/>
                <w:color w:val="auto"/>
              </w:rPr>
              <w:t>Supplemental disclosure of non-cash investing and financing activities:</w:t>
            </w:r>
          </w:p>
        </w:tc>
        <w:tc>
          <w:tcPr>
            <w:tcW w:w="320" w:type="dxa"/>
            <w:vAlign w:val="bottom"/>
            <w:shd w:val="clear" w:color="auto" w:fill="CCFFCC"/>
          </w:tcPr>
          <w:p>
            <w:pPr>
              <w:spacing w:after="0"/>
              <w:rPr>
                <w:sz w:val="14"/>
                <w:szCs w:val="14"/>
                <w:color w:val="auto"/>
              </w:rPr>
            </w:pPr>
          </w:p>
        </w:tc>
        <w:tc>
          <w:tcPr>
            <w:tcW w:w="11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36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860" w:type="dxa"/>
            <w:vAlign w:val="bottom"/>
            <w:tcBorders>
              <w:top w:val="single" w:sz="8" w:color="CCFFCC"/>
            </w:tcBorders>
          </w:tcPr>
          <w:p>
            <w:pPr>
              <w:spacing w:after="0"/>
              <w:rPr>
                <w:sz w:val="16"/>
                <w:szCs w:val="16"/>
                <w:color w:val="auto"/>
              </w:rPr>
            </w:pPr>
          </w:p>
        </w:tc>
        <w:tc>
          <w:tcPr>
            <w:tcW w:w="320" w:type="dxa"/>
            <w:vAlign w:val="bottom"/>
            <w:tcBorders>
              <w:top w:val="single" w:sz="8" w:color="CCFFCC"/>
            </w:tcBorders>
          </w:tcPr>
          <w:p>
            <w:pPr>
              <w:spacing w:after="0"/>
              <w:rPr>
                <w:sz w:val="16"/>
                <w:szCs w:val="16"/>
                <w:color w:val="auto"/>
              </w:rPr>
            </w:pPr>
          </w:p>
        </w:tc>
        <w:tc>
          <w:tcPr>
            <w:tcW w:w="1180" w:type="dxa"/>
            <w:vAlign w:val="bottom"/>
            <w:tcBorders>
              <w:top w:val="single" w:sz="8" w:color="CCFFCC"/>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460" w:type="dxa"/>
            <w:vAlign w:val="bottom"/>
            <w:tcBorders>
              <w:top w:val="single" w:sz="8" w:color="CCFFCC"/>
            </w:tcBorders>
          </w:tcPr>
          <w:p>
            <w:pPr>
              <w:spacing w:after="0"/>
              <w:rPr>
                <w:sz w:val="16"/>
                <w:szCs w:val="16"/>
                <w:color w:val="auto"/>
              </w:rPr>
            </w:pPr>
          </w:p>
        </w:tc>
        <w:tc>
          <w:tcPr>
            <w:tcW w:w="1020" w:type="dxa"/>
            <w:vAlign w:val="bottom"/>
            <w:tcBorders>
              <w:top w:val="single" w:sz="8" w:color="CCFFCC"/>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2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360" w:type="dxa"/>
            <w:vAlign w:val="bottom"/>
            <w:tcBorders>
              <w:top w:val="single" w:sz="8" w:color="CCFFCC"/>
            </w:tcBorders>
          </w:tcPr>
          <w:p>
            <w:pPr>
              <w:spacing w:after="0"/>
              <w:rPr>
                <w:sz w:val="16"/>
                <w:szCs w:val="16"/>
                <w:color w:val="auto"/>
              </w:rPr>
            </w:pPr>
          </w:p>
        </w:tc>
        <w:tc>
          <w:tcPr>
            <w:tcW w:w="2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Issuance of Preferred B shares and warrants upon conversion of convertible notes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6"/>
                <w:szCs w:val="16"/>
                <w:color w:val="auto"/>
              </w:rPr>
            </w:pP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FFCC"/>
              <w:bottom w:val="single" w:sz="8" w:color="CCFFCC"/>
            </w:tcBorders>
            <w:gridSpan w:val="4"/>
            <w:vMerge w:val="restart"/>
          </w:tcPr>
          <w:p>
            <w:pPr>
              <w:ind w:left="120"/>
              <w:spacing w:after="0"/>
              <w:rPr>
                <w:sz w:val="20"/>
                <w:szCs w:val="20"/>
                <w:color w:val="auto"/>
              </w:rPr>
            </w:pPr>
            <w:r>
              <w:rPr>
                <w:rFonts w:ascii="Arial" w:cs="Arial" w:eastAsia="Arial" w:hAnsi="Arial"/>
                <w:sz w:val="16"/>
                <w:szCs w:val="16"/>
                <w:color w:val="auto"/>
              </w:rPr>
              <w:t>Issuance of Ordinary shares upon conversion of loans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400" w:type="dxa"/>
            <w:vAlign w:val="bottom"/>
            <w:gridSpan w:val="4"/>
            <w:vMerge w:val="continue"/>
          </w:tcPr>
          <w:p>
            <w:pPr>
              <w:spacing w:after="0"/>
              <w:rPr>
                <w:sz w:val="14"/>
                <w:szCs w:val="14"/>
                <w:color w:val="auto"/>
              </w:rPr>
            </w:pPr>
          </w:p>
        </w:tc>
        <w:tc>
          <w:tcPr>
            <w:tcW w:w="32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ind w:right="30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1,200</w:t>
            </w:r>
          </w:p>
        </w:tc>
        <w:tc>
          <w:tcPr>
            <w:tcW w:w="20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1,200</w:t>
            </w: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GENERAL</w:t>
      </w:r>
    </w:p>
    <w:p>
      <w:pPr>
        <w:spacing w:after="0" w:line="204" w:lineRule="exact"/>
        <w:rPr>
          <w:sz w:val="20"/>
          <w:szCs w:val="20"/>
          <w:color w:val="auto"/>
        </w:rPr>
      </w:pPr>
    </w:p>
    <w:p>
      <w:pPr>
        <w:jc w:val="both"/>
        <w:ind w:left="1340" w:right="20" w:hanging="443"/>
        <w:spacing w:after="0" w:line="255" w:lineRule="auto"/>
        <w:tabs>
          <w:tab w:leader="none" w:pos="1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9" w:lineRule="exact"/>
        <w:rPr>
          <w:rFonts w:ascii="Arial" w:cs="Arial" w:eastAsia="Arial" w:hAnsi="Arial"/>
          <w:sz w:val="16"/>
          <w:szCs w:val="16"/>
          <w:color w:val="auto"/>
        </w:rPr>
      </w:pPr>
    </w:p>
    <w:p>
      <w:pPr>
        <w:jc w:val="both"/>
        <w:ind w:left="1340" w:hanging="443"/>
        <w:spacing w:after="0" w:line="272" w:lineRule="auto"/>
        <w:tabs>
          <w:tab w:leader="none" w:pos="13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Company has incurred losses in the amount of $ 1,579 thousand during the year ended December 31, 2012. The Company has an accumulated deficit in the total amount of $ 8,186 as of December 31, 2012 and as of that date the accumulated negative cash flow from operating activity is in the amount of $ 5,621. These conditions raise substantial doubts about the Company's ability to continue as a going concern. The Company's ability to continue to operate is dependent upon raising additional funds to finance its activities. According to the management's estimates, based on the Company's budget, if the Company is not successful in obtaining additional capital resources to maintain its operational activities, there is substantial doubt that the Company will be able to continue its activity after June 30, 2013. The Company plans to have its securities listed on the NASDAQ Stock Market (the "NASDAQ") in the second quarter of 2013, for the purpose of raising capital to finance its operations. There are no assurances, however, that the Company will be successful in obtaining an adequate level of financing needed for the long-term development and commercialization of its products. The financial statements do not include any adjustments with respect to the carrying amounts of assets and liabilities and their classification that might be necessary should the Company be unable to continue as a going concern.</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("U.S. GAAP").</w:t>
      </w:r>
    </w:p>
    <w:p>
      <w:pPr>
        <w:spacing w:after="0" w:line="200" w:lineRule="exact"/>
        <w:rPr>
          <w:sz w:val="20"/>
          <w:szCs w:val="20"/>
          <w:color w:val="auto"/>
        </w:rPr>
      </w:pPr>
    </w:p>
    <w:p>
      <w:pPr>
        <w:ind w:left="1340" w:hanging="443"/>
        <w:spacing w:after="0"/>
        <w:tabs>
          <w:tab w:leader="none" w:pos="1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Use of estimates:</w:t>
      </w:r>
    </w:p>
    <w:p>
      <w:pPr>
        <w:spacing w:after="0" w:line="200" w:lineRule="exact"/>
        <w:rPr>
          <w:rFonts w:ascii="Arial" w:cs="Arial" w:eastAsia="Arial" w:hAnsi="Arial"/>
          <w:sz w:val="16"/>
          <w:szCs w:val="16"/>
          <w:color w:val="auto"/>
        </w:rPr>
      </w:pPr>
    </w:p>
    <w:p>
      <w:pPr>
        <w:ind w:left="1360" w:right="80"/>
        <w:spacing w:after="0" w:line="308" w:lineRule="auto"/>
        <w:rPr>
          <w:rFonts w:ascii="Arial" w:cs="Arial" w:eastAsia="Arial" w:hAnsi="Arial"/>
          <w:sz w:val="16"/>
          <w:szCs w:val="16"/>
          <w:color w:val="auto"/>
        </w:rPr>
      </w:pPr>
      <w:r>
        <w:rPr>
          <w:rFonts w:ascii="Arial" w:cs="Arial" w:eastAsia="Arial" w:hAnsi="Arial"/>
          <w:sz w:val="14"/>
          <w:szCs w:val="14"/>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Financial statements in U.S. dollars:</w:t>
      </w:r>
    </w:p>
    <w:p>
      <w:pPr>
        <w:spacing w:after="0" w:line="200" w:lineRule="exact"/>
        <w:rPr>
          <w:rFonts w:ascii="Arial" w:cs="Arial" w:eastAsia="Arial" w:hAnsi="Arial"/>
          <w:sz w:val="16"/>
          <w:szCs w:val="16"/>
          <w:color w:val="auto"/>
        </w:rPr>
      </w:pPr>
    </w:p>
    <w:p>
      <w:pPr>
        <w:ind w:left="1360" w:right="280"/>
        <w:spacing w:after="0" w:line="259" w:lineRule="auto"/>
        <w:rPr>
          <w:rFonts w:ascii="Arial" w:cs="Arial" w:eastAsia="Arial" w:hAnsi="Arial"/>
          <w:sz w:val="16"/>
          <w:szCs w:val="16"/>
          <w:color w:val="auto"/>
        </w:rPr>
      </w:pPr>
      <w:r>
        <w:rPr>
          <w:rFonts w:ascii="Arial" w:cs="Arial" w:eastAsia="Arial" w:hAnsi="Arial"/>
          <w:sz w:val="16"/>
          <w:szCs w:val="16"/>
          <w:color w:val="auto"/>
        </w:rPr>
        <w:t>The Company finances its operation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66" w:lineRule="exact"/>
        <w:rPr>
          <w:rFonts w:ascii="Arial" w:cs="Arial" w:eastAsia="Arial" w:hAnsi="Arial"/>
          <w:sz w:val="16"/>
          <w:szCs w:val="16"/>
          <w:color w:val="auto"/>
        </w:rPr>
      </w:pPr>
    </w:p>
    <w:p>
      <w:pPr>
        <w:ind w:left="1360" w:right="40"/>
        <w:spacing w:after="0" w:line="259" w:lineRule="auto"/>
        <w:rPr>
          <w:rFonts w:ascii="Arial" w:cs="Arial" w:eastAsia="Arial" w:hAnsi="Arial"/>
          <w:sz w:val="16"/>
          <w:szCs w:val="16"/>
          <w:color w:val="auto"/>
        </w:rPr>
      </w:pPr>
      <w:r>
        <w:rPr>
          <w:rFonts w:ascii="Arial" w:cs="Arial" w:eastAsia="Arial" w:hAnsi="Arial"/>
          <w:sz w:val="16"/>
          <w:szCs w:val="16"/>
          <w:color w:val="auto"/>
        </w:rPr>
        <w:t>The Company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66"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Cash equivalents:</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4"/>
          <w:szCs w:val="14"/>
          <w:color w:val="auto"/>
        </w:rPr>
        <w:t>Cash equivalents are short-term highly liquid investments that are readily convertible to cash with original maturities of three months or less at acquisition.</w:t>
      </w:r>
    </w:p>
    <w:p>
      <w:pPr>
        <w:spacing w:after="0" w:line="223"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Short-term bank deposit</w:t>
      </w:r>
    </w:p>
    <w:p>
      <w:pPr>
        <w:spacing w:after="0" w:line="200" w:lineRule="exact"/>
        <w:rPr>
          <w:rFonts w:ascii="Arial" w:cs="Arial" w:eastAsia="Arial" w:hAnsi="Arial"/>
          <w:sz w:val="16"/>
          <w:szCs w:val="16"/>
          <w:color w:val="auto"/>
        </w:rPr>
      </w:pPr>
    </w:p>
    <w:p>
      <w:pPr>
        <w:jc w:val="both"/>
        <w:ind w:left="1360" w:right="20"/>
        <w:spacing w:after="0" w:line="264" w:lineRule="auto"/>
        <w:rPr>
          <w:rFonts w:ascii="Arial" w:cs="Arial" w:eastAsia="Arial" w:hAnsi="Arial"/>
          <w:sz w:val="16"/>
          <w:szCs w:val="16"/>
          <w:color w:val="auto"/>
        </w:rPr>
      </w:pPr>
      <w:r>
        <w:rPr>
          <w:rFonts w:ascii="Arial" w:cs="Arial" w:eastAsia="Arial" w:hAnsi="Arial"/>
          <w:sz w:val="16"/>
          <w:szCs w:val="16"/>
          <w:color w:val="auto"/>
        </w:rPr>
        <w:t>Short-term bank deposits are deposits with maturities of more than three months but less than one year. The short-term bank deposits are presented at their cost, including accrued interest, which approximates fair value. As of December 31, 2011, the Company's bank deposits were in U.S. dollars and bore interest at a weighted average interest rate of 1.85%.</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Restricted bank deposits: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Restricted bank deposits are pledged in favor of the bank which provides to the Company guarantees with respect to office lease agreements and credit card usage.</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Property and equipment, net:</w:t>
      </w:r>
    </w:p>
    <w:p>
      <w:pPr>
        <w:spacing w:after="0" w:line="200" w:lineRule="exact"/>
        <w:rPr>
          <w:rFonts w:ascii="Arial" w:cs="Arial" w:eastAsia="Arial" w:hAnsi="Arial"/>
          <w:sz w:val="16"/>
          <w:szCs w:val="16"/>
          <w:color w:val="auto"/>
        </w:rPr>
      </w:pPr>
    </w:p>
    <w:p>
      <w:pPr>
        <w:ind w:left="1360" w:right="400"/>
        <w:spacing w:after="0" w:line="277" w:lineRule="auto"/>
        <w:rPr>
          <w:rFonts w:ascii="Arial" w:cs="Arial" w:eastAsia="Arial" w:hAnsi="Arial"/>
          <w:sz w:val="16"/>
          <w:szCs w:val="16"/>
          <w:color w:val="auto"/>
        </w:rPr>
      </w:pPr>
      <w:r>
        <w:rPr>
          <w:rFonts w:ascii="Arial" w:cs="Arial" w:eastAsia="Arial" w:hAnsi="Arial"/>
          <w:sz w:val="16"/>
          <w:szCs w:val="16"/>
          <w:color w:val="auto"/>
        </w:rPr>
        <w:t>Property and equipment are stated at cost, net of accumulated depreciation. Depreciation is calculated using the straight-line method over the estimated useful lives of the assets at the following rates: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340" w:type="dxa"/>
            <w:vAlign w:val="bottom"/>
          </w:tcPr>
          <w:p>
            <w:pPr>
              <w:spacing w:after="0"/>
              <w:rPr>
                <w:sz w:val="18"/>
                <w:szCs w:val="18"/>
                <w:color w:val="auto"/>
              </w:rPr>
            </w:pPr>
          </w:p>
        </w:tc>
      </w:tr>
      <w:tr>
        <w:trPr>
          <w:trHeight w:val="364"/>
        </w:trPr>
        <w:tc>
          <w:tcPr>
            <w:tcW w:w="4680" w:type="dxa"/>
            <w:vAlign w:val="bottom"/>
          </w:tcPr>
          <w:p>
            <w:pPr>
              <w:ind w:left="1380"/>
              <w:spacing w:after="0"/>
              <w:rPr>
                <w:sz w:val="20"/>
                <w:szCs w:val="20"/>
                <w:color w:val="auto"/>
              </w:rPr>
            </w:pPr>
            <w:r>
              <w:rPr>
                <w:rFonts w:ascii="Arial" w:cs="Arial" w:eastAsia="Arial" w:hAnsi="Arial"/>
                <w:sz w:val="16"/>
                <w:szCs w:val="16"/>
                <w:color w:val="auto"/>
              </w:rPr>
              <w:t>Computers and electronic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7"/>
              </w:rPr>
              <w:t>15-33</w:t>
            </w:r>
          </w:p>
        </w:tc>
        <w:tc>
          <w:tcPr>
            <w:tcW w:w="4340" w:type="dxa"/>
            <w:vAlign w:val="bottom"/>
          </w:tcPr>
          <w:p>
            <w:pPr>
              <w:spacing w:after="0"/>
              <w:rPr>
                <w:sz w:val="24"/>
                <w:szCs w:val="24"/>
                <w:color w:val="auto"/>
              </w:rPr>
            </w:pPr>
          </w:p>
        </w:tc>
      </w:tr>
      <w:tr>
        <w:trPr>
          <w:trHeight w:val="192"/>
        </w:trPr>
        <w:tc>
          <w:tcPr>
            <w:tcW w:w="4680" w:type="dxa"/>
            <w:vAlign w:val="bottom"/>
          </w:tcPr>
          <w:p>
            <w:pPr>
              <w:ind w:left="1380"/>
              <w:spacing w:after="0"/>
              <w:rPr>
                <w:sz w:val="20"/>
                <w:szCs w:val="20"/>
                <w:color w:val="auto"/>
              </w:rPr>
            </w:pPr>
            <w:r>
              <w:rPr>
                <w:rFonts w:ascii="Arial" w:cs="Arial" w:eastAsia="Arial" w:hAnsi="Arial"/>
                <w:sz w:val="16"/>
                <w:szCs w:val="16"/>
                <w:color w:val="auto"/>
              </w:rPr>
              <w:t>Office furniture and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9"/>
              </w:rPr>
              <w:t>6</w:t>
            </w:r>
          </w:p>
        </w:tc>
        <w:tc>
          <w:tcPr>
            <w:tcW w:w="4340" w:type="dxa"/>
            <w:vAlign w:val="bottom"/>
          </w:tcPr>
          <w:p>
            <w:pPr>
              <w:spacing w:after="0"/>
              <w:rPr>
                <w:sz w:val="16"/>
                <w:szCs w:val="16"/>
                <w:color w:val="auto"/>
              </w:rPr>
            </w:pPr>
          </w:p>
        </w:tc>
      </w:tr>
      <w:tr>
        <w:trPr>
          <w:trHeight w:val="205"/>
        </w:trPr>
        <w:tc>
          <w:tcPr>
            <w:tcW w:w="4680" w:type="dxa"/>
            <w:vAlign w:val="bottom"/>
          </w:tcPr>
          <w:p>
            <w:pPr>
              <w:ind w:left="1380"/>
              <w:spacing w:after="0"/>
              <w:rPr>
                <w:sz w:val="20"/>
                <w:szCs w:val="20"/>
                <w:color w:val="auto"/>
              </w:rPr>
            </w:pPr>
            <w:r>
              <w:rPr>
                <w:rFonts w:ascii="Arial" w:cs="Arial" w:eastAsia="Arial" w:hAnsi="Arial"/>
                <w:sz w:val="16"/>
                <w:szCs w:val="16"/>
                <w:color w:val="auto"/>
              </w:rPr>
              <w:t>Clinical and medical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7"/>
              </w:rPr>
              <w:t>15-33</w:t>
            </w:r>
          </w:p>
        </w:tc>
        <w:tc>
          <w:tcPr>
            <w:tcW w:w="4340" w:type="dxa"/>
            <w:vAlign w:val="bottom"/>
          </w:tcPr>
          <w:p>
            <w:pPr>
              <w:spacing w:after="0"/>
              <w:rPr>
                <w:sz w:val="17"/>
                <w:szCs w:val="17"/>
                <w:color w:val="auto"/>
              </w:rPr>
            </w:pPr>
          </w:p>
        </w:tc>
      </w:tr>
      <w:tr>
        <w:trPr>
          <w:trHeight w:val="577"/>
        </w:trPr>
        <w:tc>
          <w:tcPr>
            <w:tcW w:w="46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F-9</w:t>
            </w: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60" w:right="40"/>
        <w:spacing w:after="0" w:line="256"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2012 and 2011, no impairment losses have been identified.</w:t>
      </w:r>
    </w:p>
    <w:p>
      <w:pPr>
        <w:spacing w:after="0" w:line="168" w:lineRule="exact"/>
        <w:rPr>
          <w:sz w:val="20"/>
          <w:szCs w:val="20"/>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Long-term deposits:</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Long-term deposits include long-term deposits for motor vehicles under operating leases, presented at their cost.</w:t>
      </w:r>
    </w:p>
    <w:p>
      <w:pPr>
        <w:spacing w:after="0" w:line="200" w:lineRule="exact"/>
        <w:rPr>
          <w:rFonts w:ascii="Arial" w:cs="Arial" w:eastAsia="Arial" w:hAnsi="Arial"/>
          <w:sz w:val="16"/>
          <w:szCs w:val="16"/>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Research and development expenses:</w:t>
      </w:r>
    </w:p>
    <w:p>
      <w:pPr>
        <w:spacing w:after="0" w:line="200" w:lineRule="exact"/>
        <w:rPr>
          <w:rFonts w:ascii="Arial" w:cs="Arial" w:eastAsia="Arial" w:hAnsi="Arial"/>
          <w:sz w:val="16"/>
          <w:szCs w:val="16"/>
          <w:color w:val="auto"/>
        </w:rPr>
      </w:pPr>
    </w:p>
    <w:p>
      <w:pPr>
        <w:jc w:val="both"/>
        <w:ind w:left="1360" w:right="20"/>
        <w:spacing w:after="0" w:line="264" w:lineRule="auto"/>
        <w:rPr>
          <w:rFonts w:ascii="Arial" w:cs="Arial" w:eastAsia="Arial" w:hAnsi="Arial"/>
          <w:sz w:val="16"/>
          <w:szCs w:val="16"/>
          <w:color w:val="auto"/>
        </w:rPr>
      </w:pPr>
      <w:r>
        <w:rPr>
          <w:rFonts w:ascii="Arial" w:cs="Arial" w:eastAsia="Arial" w:hAnsi="Arial"/>
          <w:sz w:val="16"/>
          <w:szCs w:val="16"/>
          <w:color w:val="auto"/>
        </w:rPr>
        <w:t>Research and development expenses are expensed as incurred. Those expenses include payments to third party clinical consultants, expenses related to conducting clinical trials, salaries and related personnel expenses, travel expenses, and share based compensations expenses to research and development employees. During 2012 and 2011, no grants were received.</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Severance pay:</w:t>
      </w:r>
    </w:p>
    <w:p>
      <w:pPr>
        <w:spacing w:after="0" w:line="200" w:lineRule="exact"/>
        <w:rPr>
          <w:rFonts w:ascii="Arial" w:cs="Arial" w:eastAsia="Arial" w:hAnsi="Arial"/>
          <w:sz w:val="16"/>
          <w:szCs w:val="16"/>
          <w:color w:val="auto"/>
        </w:rPr>
      </w:pPr>
    </w:p>
    <w:p>
      <w:pPr>
        <w:jc w:val="both"/>
        <w:ind w:left="1360"/>
        <w:spacing w:after="0" w:line="302" w:lineRule="auto"/>
        <w:rPr>
          <w:rFonts w:ascii="Arial" w:cs="Arial" w:eastAsia="Arial" w:hAnsi="Arial"/>
          <w:sz w:val="16"/>
          <w:szCs w:val="16"/>
          <w:color w:val="auto"/>
        </w:rPr>
      </w:pPr>
      <w:r>
        <w:rPr>
          <w:rFonts w:ascii="Arial" w:cs="Arial" w:eastAsia="Arial" w:hAnsi="Arial"/>
          <w:sz w:val="14"/>
          <w:szCs w:val="14"/>
          <w:color w:val="auto"/>
        </w:rPr>
        <w:t>The Company's liability for severance pay is pursuant to Section 14 of the Severance Compensation Act, 1963 ("Section 14"), all the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4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Severance pay expense for the years ended December 31, 2012 and 2011 amounted to $18 and $14,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Income taxes:</w:t>
      </w:r>
    </w:p>
    <w:p>
      <w:pPr>
        <w:spacing w:after="0" w:line="200" w:lineRule="exact"/>
        <w:rPr>
          <w:rFonts w:ascii="Arial" w:cs="Arial" w:eastAsia="Arial" w:hAnsi="Arial"/>
          <w:sz w:val="16"/>
          <w:szCs w:val="16"/>
          <w:color w:val="auto"/>
        </w:rPr>
      </w:pPr>
    </w:p>
    <w:p>
      <w:pPr>
        <w:jc w:val="both"/>
        <w:ind w:left="1360" w:right="20"/>
        <w:spacing w:after="0" w:line="259" w:lineRule="auto"/>
        <w:rPr>
          <w:rFonts w:ascii="Arial" w:cs="Arial" w:eastAsia="Arial" w:hAnsi="Arial"/>
          <w:sz w:val="16"/>
          <w:szCs w:val="16"/>
          <w:color w:val="auto"/>
        </w:rPr>
      </w:pPr>
      <w:r>
        <w:rPr>
          <w:rFonts w:ascii="Arial" w:cs="Arial" w:eastAsia="Arial" w:hAnsi="Arial"/>
          <w:sz w:val="16"/>
          <w:szCs w:val="16"/>
          <w:color w:val="auto"/>
        </w:rPr>
        <w:t>The Company accounts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66" w:lineRule="exact"/>
        <w:rPr>
          <w:rFonts w:ascii="Arial" w:cs="Arial" w:eastAsia="Arial" w:hAnsi="Arial"/>
          <w:sz w:val="16"/>
          <w:szCs w:val="16"/>
          <w:color w:val="auto"/>
        </w:rPr>
      </w:pPr>
    </w:p>
    <w:p>
      <w:pPr>
        <w:jc w:val="both"/>
        <w:ind w:left="1360" w:right="20"/>
        <w:spacing w:after="0" w:line="282" w:lineRule="auto"/>
        <w:rPr>
          <w:rFonts w:ascii="Arial" w:cs="Arial" w:eastAsia="Arial" w:hAnsi="Arial"/>
          <w:sz w:val="16"/>
          <w:szCs w:val="16"/>
          <w:color w:val="auto"/>
        </w:rPr>
      </w:pPr>
      <w:r>
        <w:rPr>
          <w:rFonts w:ascii="Arial" w:cs="Arial" w:eastAsia="Arial" w:hAnsi="Arial"/>
          <w:sz w:val="15"/>
          <w:szCs w:val="15"/>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5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believes that its tax positions are all highly certain of being upheld upon examination. As such, as of December 31, 2012 and 2011 the Company has not recorded a liability for uncertain tax positions.</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Concentrations of credit risk:</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Financial instruments that potentially subject the Company to concentrations of credit risk consist principally of cash, cash equivalents, short term bank deposit and restricted bank deposits.</w:t>
      </w:r>
    </w:p>
    <w:p>
      <w:pPr>
        <w:spacing w:after="0" w:line="151" w:lineRule="exact"/>
        <w:rPr>
          <w:rFonts w:ascii="Arial" w:cs="Arial" w:eastAsia="Arial" w:hAnsi="Arial"/>
          <w:sz w:val="16"/>
          <w:szCs w:val="16"/>
          <w:color w:val="auto"/>
        </w:rPr>
      </w:pPr>
    </w:p>
    <w:p>
      <w:pPr>
        <w:ind w:left="1360" w:right="20"/>
        <w:spacing w:after="0" w:line="351" w:lineRule="auto"/>
        <w:rPr>
          <w:rFonts w:ascii="Arial" w:cs="Arial" w:eastAsia="Arial" w:hAnsi="Arial"/>
          <w:sz w:val="16"/>
          <w:szCs w:val="16"/>
          <w:color w:val="auto"/>
        </w:rPr>
      </w:pPr>
      <w:r>
        <w:rPr>
          <w:rFonts w:ascii="Arial" w:cs="Arial" w:eastAsia="Arial" w:hAnsi="Arial"/>
          <w:sz w:val="14"/>
          <w:szCs w:val="14"/>
          <w:color w:val="auto"/>
        </w:rPr>
        <w:t>Cash and cash equivalents, short term bank deposit and restricted bank deposits are invested in major banks in Israel. Management believes that the financial institutions that hold the Company's investments are financially sound and, accordingly, minimal credit risk exists with respect to these investments.</w:t>
      </w:r>
    </w:p>
    <w:p>
      <w:pPr>
        <w:spacing w:after="0" w:line="105"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has no off-balance-sheet concentration of credit risk such as foreign exchange contracts, option contracts or other foreign hedging arrangements.</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Fair value of financial instruments: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jc w:val="both"/>
        <w:ind w:left="1360" w:right="20"/>
        <w:spacing w:after="0" w:line="278" w:lineRule="auto"/>
        <w:rPr>
          <w:sz w:val="20"/>
          <w:szCs w:val="20"/>
          <w:color w:val="auto"/>
        </w:rPr>
      </w:pPr>
      <w:r>
        <w:rPr>
          <w:rFonts w:ascii="Arial" w:cs="Arial" w:eastAsia="Arial" w:hAnsi="Arial"/>
          <w:sz w:val="15"/>
          <w:szCs w:val="15"/>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54" w:lineRule="exact"/>
        <w:rPr>
          <w:sz w:val="20"/>
          <w:szCs w:val="20"/>
          <w:color w:val="auto"/>
        </w:rPr>
      </w:pPr>
    </w:p>
    <w:p>
      <w:pPr>
        <w:jc w:val="both"/>
        <w:ind w:left="1360" w:right="20"/>
        <w:spacing w:after="0" w:line="277" w:lineRule="auto"/>
        <w:rPr>
          <w:sz w:val="20"/>
          <w:szCs w:val="20"/>
          <w:color w:val="auto"/>
        </w:rPr>
      </w:pPr>
      <w:r>
        <w:rPr>
          <w:rFonts w:ascii="Arial" w:cs="Arial" w:eastAsia="Arial" w:hAnsi="Arial"/>
          <w:sz w:val="16"/>
          <w:szCs w:val="16"/>
          <w:color w:val="auto"/>
        </w:rPr>
        <w:t>The fair value hierarchy also requires an entity to maximize the use of observable inputs and minimize the use of unobservable inputs when measuring fair value.</w:t>
      </w:r>
    </w:p>
    <w:p>
      <w:pPr>
        <w:spacing w:after="0" w:line="152" w:lineRule="exact"/>
        <w:rPr>
          <w:sz w:val="20"/>
          <w:szCs w:val="20"/>
          <w:color w:val="auto"/>
        </w:rPr>
      </w:pPr>
    </w:p>
    <w:p>
      <w:pPr>
        <w:jc w:val="both"/>
        <w:ind w:left="1360" w:right="20"/>
        <w:spacing w:after="0" w:line="277" w:lineRule="auto"/>
        <w:rPr>
          <w:sz w:val="20"/>
          <w:szCs w:val="20"/>
          <w:color w:val="auto"/>
        </w:rPr>
      </w:pPr>
      <w:r>
        <w:rPr>
          <w:rFonts w:ascii="Arial" w:cs="Arial" w:eastAsia="Arial" w:hAnsi="Arial"/>
          <w:sz w:val="16"/>
          <w:szCs w:val="16"/>
          <w:color w:val="auto"/>
        </w:rPr>
        <w:t>As a basis for considering such assumptions, ASC 820 establishes a three-tier value hierarchy, which prioritizes the inputs used in the valuation methodologies in measuring fair value:</w:t>
      </w:r>
    </w:p>
    <w:p>
      <w:pPr>
        <w:sectPr>
          <w:pgSz w:w="11900" w:h="16838" w:orient="portrait"/>
          <w:cols w:equalWidth="0" w:num="1">
            <w:col w:w="11440"/>
          </w:cols>
          <w:pgMar w:left="240" w:top="820" w:right="219" w:bottom="1440" w:gutter="0" w:footer="0" w:header="0"/>
        </w:sectPr>
      </w:pP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Level 1 -</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46"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Level 2 -</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6"/>
          <w:szCs w:val="16"/>
          <w:color w:val="auto"/>
        </w:rPr>
        <w:t>Valuations based on one or more quoted prices in markets that are not active or for which all significant inputs are observable, either directly or indirectly.</w:t>
      </w:r>
    </w:p>
    <w:p>
      <w:pPr>
        <w:spacing w:after="0" w:line="152"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Level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Valuations based on inputs that are unobservable and significant to the overall fair value measurement.</w:t>
      </w:r>
    </w:p>
    <w:p>
      <w:pPr>
        <w:spacing w:after="0" w:line="211"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spacing w:after="0" w:line="12" w:lineRule="exact"/>
        <w:rPr>
          <w:sz w:val="20"/>
          <w:szCs w:val="20"/>
          <w:color w:val="auto"/>
        </w:rPr>
      </w:pPr>
    </w:p>
    <w:p>
      <w:pPr>
        <w:ind w:left="1360" w:right="20"/>
        <w:spacing w:after="0" w:line="277" w:lineRule="auto"/>
        <w:rPr>
          <w:sz w:val="20"/>
          <w:szCs w:val="20"/>
          <w:color w:val="auto"/>
        </w:rPr>
      </w:pPr>
      <w:r>
        <w:rPr>
          <w:rFonts w:ascii="Arial" w:cs="Arial" w:eastAsia="Arial" w:hAnsi="Arial"/>
          <w:sz w:val="16"/>
          <w:szCs w:val="16"/>
          <w:color w:val="auto"/>
        </w:rPr>
        <w:t>The carrying amounts of cash and cash equivalents, short-term bank deposits, restricted bank deposits, accounts payable, and other accounts payable approximate their fair value due to the short-term maturities of such instruments.</w:t>
      </w:r>
    </w:p>
    <w:p>
      <w:pPr>
        <w:spacing w:after="0" w:line="152" w:lineRule="exact"/>
        <w:rPr>
          <w:sz w:val="20"/>
          <w:szCs w:val="20"/>
          <w:color w:val="auto"/>
        </w:rPr>
      </w:pPr>
    </w:p>
    <w:p>
      <w:pPr>
        <w:ind w:left="1340" w:hanging="443"/>
        <w:spacing w:after="0"/>
        <w:tabs>
          <w:tab w:leader="none" w:pos="1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Basic and diluted net loss per share:</w:t>
      </w:r>
    </w:p>
    <w:p>
      <w:pPr>
        <w:spacing w:after="0" w:line="200" w:lineRule="exact"/>
        <w:rPr>
          <w:rFonts w:ascii="Arial" w:cs="Arial" w:eastAsia="Arial" w:hAnsi="Arial"/>
          <w:sz w:val="16"/>
          <w:szCs w:val="16"/>
          <w:color w:val="auto"/>
        </w:rPr>
      </w:pPr>
    </w:p>
    <w:p>
      <w:pPr>
        <w:ind w:left="1360" w:right="260"/>
        <w:spacing w:after="0" w:line="264" w:lineRule="auto"/>
        <w:rPr>
          <w:rFonts w:ascii="Arial" w:cs="Arial" w:eastAsia="Arial" w:hAnsi="Arial"/>
          <w:sz w:val="16"/>
          <w:szCs w:val="16"/>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62" w:lineRule="exact"/>
        <w:rPr>
          <w:sz w:val="20"/>
          <w:szCs w:val="20"/>
          <w:color w:val="auto"/>
        </w:rPr>
      </w:pPr>
    </w:p>
    <w:p>
      <w:pPr>
        <w:ind w:left="1360" w:right="20"/>
        <w:spacing w:after="0" w:line="277" w:lineRule="auto"/>
        <w:rPr>
          <w:sz w:val="20"/>
          <w:szCs w:val="20"/>
          <w:color w:val="auto"/>
        </w:rPr>
      </w:pPr>
      <w:r>
        <w:rPr>
          <w:rFonts w:ascii="Arial" w:cs="Arial" w:eastAsia="Arial" w:hAnsi="Arial"/>
          <w:sz w:val="16"/>
          <w:szCs w:val="16"/>
          <w:color w:val="auto"/>
        </w:rPr>
        <w:t>All outstanding stock options and warrants have been excluded from the calculation of the diluted net loss per share because all such securities are anti-dilutive for all periods presented.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Accounting for stock-based compensation:</w:t>
      </w:r>
    </w:p>
    <w:p>
      <w:pPr>
        <w:spacing w:after="0" w:line="200" w:lineRule="exact"/>
        <w:rPr>
          <w:rFonts w:ascii="Arial" w:cs="Arial" w:eastAsia="Arial" w:hAnsi="Arial"/>
          <w:sz w:val="16"/>
          <w:szCs w:val="16"/>
          <w:color w:val="auto"/>
        </w:rPr>
      </w:pPr>
    </w:p>
    <w:p>
      <w:pPr>
        <w:jc w:val="both"/>
        <w:ind w:left="1360" w:right="20"/>
        <w:spacing w:after="0" w:line="282" w:lineRule="auto"/>
        <w:rPr>
          <w:rFonts w:ascii="Arial" w:cs="Arial" w:eastAsia="Arial" w:hAnsi="Arial"/>
          <w:sz w:val="16"/>
          <w:szCs w:val="16"/>
          <w:color w:val="auto"/>
        </w:rPr>
      </w:pPr>
      <w:r>
        <w:rPr>
          <w:rFonts w:ascii="Arial" w:cs="Arial" w:eastAsia="Arial" w:hAnsi="Arial"/>
          <w:sz w:val="15"/>
          <w:szCs w:val="15"/>
          <w:color w:val="auto"/>
        </w:rPr>
        <w:t>The Company accounts for stock-based compensation in accordance with ASC 718, "Compensation - Stock Compensation" that requires the measurement and recognition of compensation expense based on estimated fair values for all share-based payment awards made to employees, directors. ASC 718 requires companies to estimate the fair value of equity-based payment awards on the date of grant using an option-pricing model. The value of the option award is recognized as an expense over the requisite service periods in the Company's statement of operations.</w:t>
      </w:r>
    </w:p>
    <w:p>
      <w:pPr>
        <w:spacing w:after="0" w:line="15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selected the Black-Scholes-Merton ("Black-Scholes") option-pricing model as the fair value method for of its stock-options awards. The option-pricing model requires a number of assumptions as noted below:</w:t>
      </w:r>
    </w:p>
    <w:p>
      <w:pPr>
        <w:spacing w:after="0" w:line="151" w:lineRule="exact"/>
        <w:rPr>
          <w:rFonts w:ascii="Arial" w:cs="Arial" w:eastAsia="Arial" w:hAnsi="Arial"/>
          <w:sz w:val="16"/>
          <w:szCs w:val="16"/>
          <w:color w:val="auto"/>
        </w:rPr>
      </w:pPr>
    </w:p>
    <w:p>
      <w:pPr>
        <w:ind w:left="1360" w:right="280"/>
        <w:spacing w:after="0" w:line="312" w:lineRule="auto"/>
        <w:rPr>
          <w:rFonts w:ascii="Arial" w:cs="Arial" w:eastAsia="Arial" w:hAnsi="Arial"/>
          <w:sz w:val="16"/>
          <w:szCs w:val="16"/>
          <w:color w:val="auto"/>
        </w:rPr>
      </w:pPr>
      <w:r>
        <w:rPr>
          <w:rFonts w:ascii="Arial" w:cs="Arial" w:eastAsia="Arial" w:hAnsi="Arial"/>
          <w:sz w:val="15"/>
          <w:szCs w:val="15"/>
          <w:i w:val="1"/>
          <w:iCs w:val="1"/>
          <w:color w:val="auto"/>
        </w:rPr>
        <w:t xml:space="preserve">Expected dividend yield </w:t>
      </w:r>
      <w:r>
        <w:rPr>
          <w:rFonts w:ascii="Arial" w:cs="Arial" w:eastAsia="Arial" w:hAnsi="Arial"/>
          <w:sz w:val="15"/>
          <w:szCs w:val="15"/>
          <w:color w:val="auto"/>
        </w:rPr>
        <w:t>- The expected dividend yield assumption is based on the Company's historical experience and expectation of no future dividend</w:t>
      </w:r>
      <w:r>
        <w:rPr>
          <w:rFonts w:ascii="Arial" w:cs="Arial" w:eastAsia="Arial" w:hAnsi="Arial"/>
          <w:sz w:val="15"/>
          <w:szCs w:val="15"/>
          <w:i w:val="1"/>
          <w:iCs w:val="1"/>
          <w:color w:val="auto"/>
        </w:rPr>
        <w:t xml:space="preserve"> </w:t>
      </w:r>
      <w:r>
        <w:rPr>
          <w:rFonts w:ascii="Arial" w:cs="Arial" w:eastAsia="Arial" w:hAnsi="Arial"/>
          <w:sz w:val="15"/>
          <w:szCs w:val="15"/>
          <w:color w:val="auto"/>
        </w:rPr>
        <w:t>payouts. The Company has historically not paid cash dividends and has no foreseeable plans to pay cash dividends in the future.</w:t>
      </w:r>
    </w:p>
    <w:p>
      <w:pPr>
        <w:spacing w:after="0" w:line="128" w:lineRule="exact"/>
        <w:rPr>
          <w:rFonts w:ascii="Arial" w:cs="Arial" w:eastAsia="Arial" w:hAnsi="Arial"/>
          <w:sz w:val="16"/>
          <w:szCs w:val="16"/>
          <w:color w:val="auto"/>
        </w:rPr>
      </w:pPr>
    </w:p>
    <w:p>
      <w:pPr>
        <w:ind w:left="1360" w:right="220"/>
        <w:spacing w:after="0" w:line="351" w:lineRule="auto"/>
        <w:rPr>
          <w:rFonts w:ascii="Arial" w:cs="Arial" w:eastAsia="Arial" w:hAnsi="Arial"/>
          <w:sz w:val="16"/>
          <w:szCs w:val="16"/>
          <w:color w:val="auto"/>
        </w:rPr>
      </w:pPr>
      <w:r>
        <w:rPr>
          <w:rFonts w:ascii="Arial" w:cs="Arial" w:eastAsia="Arial" w:hAnsi="Arial"/>
          <w:sz w:val="14"/>
          <w:szCs w:val="14"/>
          <w:i w:val="1"/>
          <w:iCs w:val="1"/>
          <w:color w:val="auto"/>
        </w:rPr>
        <w:t xml:space="preserve">Volatility </w:t>
      </w:r>
      <w:r>
        <w:rPr>
          <w:rFonts w:ascii="Arial" w:cs="Arial" w:eastAsia="Arial" w:hAnsi="Arial"/>
          <w:sz w:val="14"/>
          <w:szCs w:val="14"/>
          <w:color w:val="auto"/>
        </w:rPr>
        <w:t>- Since the Company is not traded on any stock exchange market, quoted prices of the Company's share are unavailable. According to ASC 718,</w:t>
      </w:r>
      <w:r>
        <w:rPr>
          <w:rFonts w:ascii="Arial" w:cs="Arial" w:eastAsia="Arial" w:hAnsi="Arial"/>
          <w:sz w:val="14"/>
          <w:szCs w:val="14"/>
          <w:i w:val="1"/>
          <w:iCs w:val="1"/>
          <w:color w:val="auto"/>
        </w:rPr>
        <w:t xml:space="preserve"> </w:t>
      </w:r>
      <w:r>
        <w:rPr>
          <w:rFonts w:ascii="Arial" w:cs="Arial" w:eastAsia="Arial" w:hAnsi="Arial"/>
          <w:sz w:val="14"/>
          <w:szCs w:val="14"/>
          <w:color w:val="auto"/>
        </w:rPr>
        <w:t>due to insufficient or no historical data for a company, the expected volatility determination was based on similar companies' stock volatility.</w:t>
      </w:r>
    </w:p>
    <w:p>
      <w:pPr>
        <w:spacing w:after="0" w:line="105"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i w:val="1"/>
          <w:iCs w:val="1"/>
          <w:color w:val="auto"/>
        </w:rPr>
        <w:t xml:space="preserve">Risk free interest rate </w:t>
      </w:r>
      <w:r>
        <w:rPr>
          <w:rFonts w:ascii="Arial" w:cs="Arial" w:eastAsia="Arial" w:hAnsi="Arial"/>
          <w:sz w:val="16"/>
          <w:szCs w:val="16"/>
          <w:color w:val="auto"/>
        </w:rPr>
        <w:t>- The risk free interest rate is based on the yield of U.S Treasury bonds with equivalent terms.</w:t>
      </w:r>
    </w:p>
    <w:p>
      <w:pPr>
        <w:spacing w:after="0" w:line="200" w:lineRule="exact"/>
        <w:rPr>
          <w:rFonts w:ascii="Arial" w:cs="Arial" w:eastAsia="Arial" w:hAnsi="Arial"/>
          <w:sz w:val="16"/>
          <w:szCs w:val="16"/>
          <w:color w:val="auto"/>
        </w:rPr>
      </w:pPr>
    </w:p>
    <w:p>
      <w:pPr>
        <w:jc w:val="both"/>
        <w:ind w:left="1360"/>
        <w:spacing w:after="0" w:line="256" w:lineRule="auto"/>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ASC 718 provides the factors to consider when estimating the expected term of an option: An option's expected term must at least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The Company used the "simplified" method, meaning the expected life can be set as the average of the vesting period for each vested tranche of options and the contractual term for those options.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jc w:val="both"/>
        <w:ind w:left="1360" w:right="20"/>
        <w:spacing w:after="0" w:line="289" w:lineRule="auto"/>
        <w:rPr>
          <w:sz w:val="20"/>
          <w:szCs w:val="20"/>
          <w:color w:val="auto"/>
        </w:rPr>
      </w:pPr>
      <w:r>
        <w:rPr>
          <w:rFonts w:ascii="Arial" w:cs="Arial" w:eastAsia="Arial" w:hAnsi="Arial"/>
          <w:sz w:val="15"/>
          <w:szCs w:val="15"/>
          <w:color w:val="auto"/>
        </w:rPr>
        <w:t>Because there has been no public market for the Company's Ordinary shares, the fair value of the Ordinary shares underlying the options through December 31, 2012, had been determined by the Company's management, using the assistance of an independent valuation firm. The valuation of the Ordinary shares was based on recent third-party transactions in the equity of the Company by applying the option-pricing method.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gridSpan w:val="2"/>
          </w:tcPr>
          <w:p>
            <w:pPr>
              <w:spacing w:after="0"/>
              <w:rPr>
                <w:sz w:val="20"/>
                <w:szCs w:val="20"/>
                <w:color w:val="auto"/>
              </w:rPr>
            </w:pPr>
            <w:r>
              <w:rPr>
                <w:rFonts w:ascii="Arial" w:cs="Arial" w:eastAsia="Arial" w:hAnsi="Arial"/>
                <w:sz w:val="16"/>
                <w:szCs w:val="16"/>
                <w:b w:val="1"/>
                <w:bCs w:val="1"/>
                <w:color w:val="auto"/>
              </w:rPr>
              <w:t>NOTE 3:- RECEIVABLES AND PREPAID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Government authorities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Advance to suppliers</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7</w:t>
            </w:r>
          </w:p>
        </w:tc>
        <w:tc>
          <w:tcPr>
            <w:tcW w:w="42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spacing w:after="0"/>
              <w:rPr>
                <w:sz w:val="16"/>
                <w:szCs w:val="16"/>
                <w:color w:val="auto"/>
              </w:rPr>
            </w:pP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83</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4: PROPERTY AND EQUIPMENT, NET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180" w:type="dxa"/>
            <w:vAlign w:val="bottom"/>
            <w:gridSpan w:val="2"/>
            <w:vMerge w:val="restart"/>
          </w:tcPr>
          <w:p>
            <w:pPr>
              <w:ind w:left="580"/>
              <w:spacing w:after="0"/>
              <w:rPr>
                <w:sz w:val="20"/>
                <w:szCs w:val="20"/>
                <w:color w:val="auto"/>
              </w:rPr>
            </w:pPr>
            <w:r>
              <w:rPr>
                <w:rFonts w:ascii="Arial" w:cs="Arial" w:eastAsia="Arial" w:hAnsi="Arial"/>
                <w:sz w:val="16"/>
                <w:szCs w:val="16"/>
                <w:color w:val="auto"/>
              </w:rPr>
              <w:t>Cost: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Computers and electronic equipment</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18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7</w:t>
            </w: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Clinical and medical equipment</w:t>
            </w: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Computers and electronic equipment</w:t>
            </w:r>
          </w:p>
        </w:tc>
        <w:tc>
          <w:tcPr>
            <w:tcW w:w="320" w:type="dxa"/>
            <w:vAlign w:val="bottom"/>
            <w:shd w:val="clear" w:color="auto" w:fill="CCFFCC"/>
          </w:tcPr>
          <w:p>
            <w:pPr>
              <w:spacing w:after="0"/>
              <w:rPr>
                <w:sz w:val="16"/>
                <w:szCs w:val="16"/>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18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Clinical and medical equipment</w:t>
            </w:r>
          </w:p>
        </w:tc>
        <w:tc>
          <w:tcPr>
            <w:tcW w:w="320" w:type="dxa"/>
            <w:vAlign w:val="bottom"/>
            <w:shd w:val="clear" w:color="auto" w:fill="CCFFCC"/>
          </w:tcPr>
          <w:p>
            <w:pPr>
              <w:spacing w:after="0"/>
              <w:rPr>
                <w:sz w:val="17"/>
                <w:szCs w:val="17"/>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8</w:t>
            </w: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Depreciated cost</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CFFCC"/>
          </w:tcPr>
          <w:p>
            <w:pPr>
              <w:spacing w:after="0"/>
              <w:rPr>
                <w:sz w:val="18"/>
                <w:szCs w:val="18"/>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Represents an amount lower than $ 1.</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Depreciation expenses for the years ended December 31, 2012 and 2011 were $7 and $6,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gridSpan w:val="2"/>
          </w:tcPr>
          <w:p>
            <w:pPr>
              <w:spacing w:after="0"/>
              <w:rPr>
                <w:sz w:val="20"/>
                <w:szCs w:val="20"/>
                <w:color w:val="auto"/>
              </w:rPr>
            </w:pPr>
            <w:r>
              <w:rPr>
                <w:rFonts w:ascii="Arial" w:cs="Arial" w:eastAsia="Arial" w:hAnsi="Arial"/>
                <w:sz w:val="16"/>
                <w:szCs w:val="16"/>
                <w:b w:val="1"/>
                <w:bCs w:val="1"/>
                <w:color w:val="auto"/>
              </w:rPr>
              <w:t>NOTE 5:- OTHER ACCOUNTS PAYABLE</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w w:val="97"/>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Employees and payroll accruals</w:t>
            </w:r>
          </w:p>
        </w:tc>
        <w:tc>
          <w:tcPr>
            <w:tcW w:w="1000" w:type="dxa"/>
            <w:vAlign w:val="bottom"/>
            <w:shd w:val="clear" w:color="auto" w:fill="CCFFCC"/>
          </w:tcPr>
          <w:p>
            <w:pPr>
              <w:jc w:val="right"/>
              <w:ind w:right="84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FFCC"/>
          </w:tcPr>
          <w:p>
            <w:pPr>
              <w:spacing w:after="0"/>
              <w:rPr>
                <w:sz w:val="16"/>
                <w:szCs w:val="16"/>
                <w:color w:val="auto"/>
              </w:rPr>
            </w:pPr>
          </w:p>
        </w:tc>
      </w:tr>
      <w:tr>
        <w:trPr>
          <w:trHeight w:val="204"/>
        </w:trPr>
        <w:tc>
          <w:tcPr>
            <w:tcW w:w="580" w:type="dxa"/>
            <w:vAlign w:val="bottom"/>
          </w:tcPr>
          <w:p>
            <w:pPr>
              <w:spacing w:after="0"/>
              <w:rPr>
                <w:sz w:val="17"/>
                <w:szCs w:val="17"/>
                <w:color w:val="auto"/>
              </w:rPr>
            </w:pPr>
          </w:p>
        </w:tc>
        <w:tc>
          <w:tcPr>
            <w:tcW w:w="76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Accrued expenses</w:t>
            </w: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320" w:type="dxa"/>
            <w:vAlign w:val="bottom"/>
            <w:tcBorders>
              <w:bottom w:val="single" w:sz="8" w:color="CCFFC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FFCC"/>
            </w:tcBorders>
          </w:tcPr>
          <w:p>
            <w:pPr>
              <w:spacing w:after="0"/>
              <w:rPr>
                <w:sz w:val="17"/>
                <w:szCs w:val="17"/>
                <w:color w:val="auto"/>
              </w:rPr>
            </w:pPr>
          </w:p>
        </w:tc>
      </w:tr>
      <w:tr>
        <w:trPr>
          <w:trHeight w:val="184"/>
        </w:trPr>
        <w:tc>
          <w:tcPr>
            <w:tcW w:w="580" w:type="dxa"/>
            <w:vAlign w:val="bottom"/>
          </w:tcPr>
          <w:p>
            <w:pPr>
              <w:spacing w:after="0"/>
              <w:rPr>
                <w:sz w:val="16"/>
                <w:szCs w:val="16"/>
                <w:color w:val="auto"/>
              </w:rPr>
            </w:pPr>
          </w:p>
        </w:tc>
        <w:tc>
          <w:tcPr>
            <w:tcW w:w="76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00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CONVERTIBLE NOTES</w:t>
      </w:r>
    </w:p>
    <w:p>
      <w:pPr>
        <w:spacing w:after="0" w:line="204" w:lineRule="exact"/>
        <w:rPr>
          <w:sz w:val="20"/>
          <w:szCs w:val="20"/>
          <w:color w:val="auto"/>
        </w:rPr>
      </w:pPr>
    </w:p>
    <w:p>
      <w:pPr>
        <w:jc w:val="both"/>
        <w:ind w:left="1340" w:right="20" w:hanging="443"/>
        <w:spacing w:after="0" w:line="302" w:lineRule="auto"/>
        <w:tabs>
          <w:tab w:leader="none" w:pos="1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On June 23, 2009, the Company entered into a convertible note agreement. Total loan consideration amounted to $220. The loan bore interest of 4% per annum. The conversion price was set to be at 20% discount of such shares of the following financing round. In case the total convertible note amount remains due and outstanding upon the elapse of 12 months from closing, then the total convertible note amount shall be automatically converted into an amount of shares of the Company reflecting a pre-money Company valuation of $ 7,169 on fully diluted basis. In February 2010, as part of a financing round (see also Note 9(c)(6)) the convertible note and the accumulated interest, in an amount of $ 224 were converted into 128,512 Preferred B2 shares.</w:t>
      </w:r>
    </w:p>
    <w:p>
      <w:pPr>
        <w:spacing w:after="0" w:line="140" w:lineRule="exact"/>
        <w:rPr>
          <w:rFonts w:ascii="Arial" w:cs="Arial" w:eastAsia="Arial" w:hAnsi="Arial"/>
          <w:sz w:val="14"/>
          <w:szCs w:val="14"/>
          <w:color w:val="auto"/>
        </w:rPr>
      </w:pPr>
    </w:p>
    <w:p>
      <w:pPr>
        <w:jc w:val="both"/>
        <w:ind w:left="1340" w:right="20" w:hanging="443"/>
        <w:spacing w:after="0" w:line="276" w:lineRule="auto"/>
        <w:tabs>
          <w:tab w:leader="none" w:pos="13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During 2012, the Company issued convertible promissory notes to certain investors for a total amount of $ 600. The convertible notes bear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55" w:lineRule="exact"/>
        <w:rPr>
          <w:sz w:val="20"/>
          <w:szCs w:val="20"/>
          <w:color w:val="auto"/>
        </w:rPr>
      </w:pPr>
    </w:p>
    <w:p>
      <w:pPr>
        <w:jc w:val="both"/>
        <w:ind w:left="900"/>
        <w:spacing w:after="0" w:line="257" w:lineRule="auto"/>
        <w:rPr>
          <w:sz w:val="20"/>
          <w:szCs w:val="20"/>
          <w:color w:val="auto"/>
        </w:rPr>
      </w:pPr>
      <w:r>
        <w:rPr>
          <w:rFonts w:ascii="Arial" w:cs="Arial" w:eastAsia="Arial" w:hAnsi="Arial"/>
          <w:sz w:val="16"/>
          <w:szCs w:val="16"/>
          <w:color w:val="auto"/>
        </w:rPr>
        <w:t>The convertible notes have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are presented at their redemption amount, which includes the principal amount of the convertible notes, the accumulated interest and additional redemption amount accrued over the term of the convertible notes, using the interest method, which approximates the fair value.</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Upon conversion of the convertible note in February 2010, the entire redemption amount was derecognized against additional paid in capital in the amount of</w:t>
      </w:r>
    </w:p>
    <w:p>
      <w:pPr>
        <w:spacing w:after="0" w:line="32" w:lineRule="exact"/>
        <w:rPr>
          <w:sz w:val="20"/>
          <w:szCs w:val="20"/>
          <w:color w:val="auto"/>
        </w:rPr>
      </w:pPr>
    </w:p>
    <w:p>
      <w:pPr>
        <w:ind w:left="5560" w:right="5020" w:hanging="4656"/>
        <w:spacing w:after="0" w:line="829" w:lineRule="auto"/>
        <w:tabs>
          <w:tab w:leader="none" w:pos="1021" w:val="left"/>
        </w:tabs>
        <w:numPr>
          <w:ilvl w:val="0"/>
          <w:numId w:val="96"/>
        </w:numPr>
        <w:rPr>
          <w:rFonts w:ascii="Arial" w:cs="Arial" w:eastAsia="Arial" w:hAnsi="Arial"/>
          <w:sz w:val="15"/>
          <w:szCs w:val="15"/>
          <w:color w:val="auto"/>
        </w:rPr>
      </w:pPr>
      <w:r>
        <w:rPr>
          <w:rFonts w:ascii="Arial" w:cs="Arial" w:eastAsia="Arial" w:hAnsi="Arial"/>
          <w:sz w:val="15"/>
          <w:szCs w:val="15"/>
          <w:color w:val="auto"/>
        </w:rPr>
        <w:t>279. As of December 31, 2012, the convertible notes redemption amount was $ 662.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72618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INCOME TAXES</w:t>
      </w:r>
    </w:p>
    <w:p>
      <w:pPr>
        <w:spacing w:after="0" w:line="204" w:lineRule="exact"/>
        <w:rPr>
          <w:sz w:val="20"/>
          <w:szCs w:val="20"/>
          <w:color w:val="auto"/>
        </w:rPr>
      </w:pPr>
    </w:p>
    <w:p>
      <w:pPr>
        <w:ind w:left="1340" w:hanging="443"/>
        <w:spacing w:after="0"/>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Tax rates applicable to the Company:</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5"/>
          <w:szCs w:val="15"/>
          <w:color w:val="auto"/>
        </w:rPr>
        <w:t>The Company is incorporated in Israel. Taxable income of Israeli companies is subject to tax at the rate of 24% in 2011 and 25% in 2012 and onwards.</w:t>
      </w:r>
    </w:p>
    <w:p>
      <w:pPr>
        <w:spacing w:after="0" w:line="211" w:lineRule="exact"/>
        <w:rPr>
          <w:rFonts w:ascii="Arial" w:cs="Arial" w:eastAsia="Arial" w:hAnsi="Arial"/>
          <w:sz w:val="16"/>
          <w:szCs w:val="16"/>
          <w:color w:val="auto"/>
        </w:rPr>
      </w:pPr>
    </w:p>
    <w:p>
      <w:pPr>
        <w:ind w:left="1340" w:hanging="443"/>
        <w:spacing w:after="0"/>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Net operating losses carry forward:</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has accumulated losses for tax purposes as of December 31, 2012 in the amount of approximately $ 4,600 which may be carried forward and offset against taxable income in the future for an indefinite period.</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Deferred income taxes:</w:t>
      </w:r>
    </w:p>
    <w:p>
      <w:pPr>
        <w:spacing w:after="0" w:line="200" w:lineRule="exact"/>
        <w:rPr>
          <w:rFonts w:ascii="Arial" w:cs="Arial" w:eastAsia="Arial" w:hAnsi="Arial"/>
          <w:sz w:val="16"/>
          <w:szCs w:val="16"/>
          <w:color w:val="auto"/>
        </w:rPr>
      </w:pPr>
    </w:p>
    <w:p>
      <w:pPr>
        <w:ind w:left="1360" w:right="20"/>
        <w:spacing w:after="0" w:line="312" w:lineRule="auto"/>
        <w:rPr>
          <w:rFonts w:ascii="Arial" w:cs="Arial" w:eastAsia="Arial" w:hAnsi="Arial"/>
          <w:sz w:val="16"/>
          <w:szCs w:val="16"/>
          <w:color w:val="auto"/>
        </w:rPr>
      </w:pPr>
      <w:r>
        <w:rPr>
          <w:rFonts w:ascii="Arial" w:cs="Arial" w:eastAsia="Arial" w:hAnsi="Arial"/>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69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w w:val="99"/>
              </w:rPr>
              <w:t>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6"/>
                <w:szCs w:val="16"/>
                <w:color w:val="auto"/>
              </w:rPr>
            </w:pPr>
          </w:p>
        </w:tc>
      </w:tr>
      <w:tr>
        <w:trPr>
          <w:trHeight w:val="184"/>
        </w:trPr>
        <w:tc>
          <w:tcPr>
            <w:tcW w:w="6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Operating loss carryforward</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1,153</w:t>
            </w:r>
          </w:p>
        </w:tc>
        <w:tc>
          <w:tcPr>
            <w:tcW w:w="400" w:type="dxa"/>
            <w:vAlign w:val="bottom"/>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703</w:t>
            </w:r>
          </w:p>
        </w:tc>
      </w:tr>
      <w:tr>
        <w:trPr>
          <w:trHeight w:val="192"/>
        </w:trPr>
        <w:tc>
          <w:tcPr>
            <w:tcW w:w="6980" w:type="dxa"/>
            <w:vAlign w:val="bottom"/>
          </w:tcPr>
          <w:p>
            <w:pPr>
              <w:spacing w:after="0"/>
              <w:rPr>
                <w:sz w:val="20"/>
                <w:szCs w:val="20"/>
                <w:color w:val="auto"/>
              </w:rPr>
            </w:pPr>
            <w:r>
              <w:rPr>
                <w:rFonts w:ascii="Arial" w:cs="Arial" w:eastAsia="Arial" w:hAnsi="Arial"/>
                <w:sz w:val="16"/>
                <w:szCs w:val="16"/>
                <w:color w:val="auto"/>
              </w:rPr>
              <w:t>Reserves and allowances</w:t>
            </w:r>
          </w:p>
        </w:tc>
        <w:tc>
          <w:tcPr>
            <w:tcW w:w="8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308</w:t>
            </w:r>
          </w:p>
        </w:tc>
        <w:tc>
          <w:tcPr>
            <w:tcW w:w="4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341</w:t>
            </w:r>
          </w:p>
        </w:tc>
      </w:tr>
      <w:tr>
        <w:trPr>
          <w:trHeight w:val="184"/>
        </w:trPr>
        <w:tc>
          <w:tcPr>
            <w:tcW w:w="698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280" w:type="dxa"/>
            <w:vAlign w:val="bottom"/>
            <w:tcBorders>
              <w:top w:val="single" w:sz="8" w:color="CCFFCC"/>
            </w:tcBorders>
            <w:shd w:val="clear" w:color="auto" w:fill="CCFFCC"/>
          </w:tcPr>
          <w:p>
            <w:pPr>
              <w:spacing w:after="0"/>
              <w:rPr>
                <w:sz w:val="16"/>
                <w:szCs w:val="16"/>
                <w:color w:val="auto"/>
              </w:rPr>
            </w:pPr>
          </w:p>
        </w:tc>
        <w:tc>
          <w:tcPr>
            <w:tcW w:w="40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r>
      <w:tr>
        <w:trPr>
          <w:trHeight w:val="192"/>
        </w:trPr>
        <w:tc>
          <w:tcPr>
            <w:tcW w:w="6980" w:type="dxa"/>
            <w:vAlign w:val="bottom"/>
          </w:tcPr>
          <w:p>
            <w:pPr>
              <w:spacing w:after="0"/>
              <w:rPr>
                <w:sz w:val="20"/>
                <w:szCs w:val="20"/>
                <w:color w:val="auto"/>
              </w:rPr>
            </w:pPr>
            <w:r>
              <w:rPr>
                <w:rFonts w:ascii="Arial" w:cs="Arial" w:eastAsia="Arial" w:hAnsi="Arial"/>
                <w:sz w:val="16"/>
                <w:szCs w:val="16"/>
                <w:color w:val="auto"/>
              </w:rPr>
              <w:t>Net deferred tax asset before valuation allowance</w:t>
            </w:r>
          </w:p>
        </w:tc>
        <w:tc>
          <w:tcPr>
            <w:tcW w:w="8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1,461</w:t>
            </w:r>
          </w:p>
        </w:tc>
        <w:tc>
          <w:tcPr>
            <w:tcW w:w="4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1,044</w:t>
            </w: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Valuation allowance</w:t>
            </w:r>
          </w:p>
        </w:tc>
        <w:tc>
          <w:tcPr>
            <w:tcW w:w="84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w w:val="94"/>
              </w:rPr>
              <w:t>(1,461)</w:t>
            </w:r>
          </w:p>
        </w:tc>
        <w:tc>
          <w:tcPr>
            <w:tcW w:w="40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(1,044)</w:t>
            </w:r>
          </w:p>
        </w:tc>
      </w:tr>
      <w:tr>
        <w:trPr>
          <w:trHeight w:val="184"/>
        </w:trPr>
        <w:tc>
          <w:tcPr>
            <w:tcW w:w="69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Net deferred tax asset</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r>
      <w:tr>
        <w:trPr>
          <w:trHeight w:val="20"/>
        </w:trPr>
        <w:tc>
          <w:tcPr>
            <w:tcW w:w="698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180" w:lineRule="exact"/>
        <w:rPr>
          <w:sz w:val="20"/>
          <w:szCs w:val="20"/>
          <w:color w:val="auto"/>
        </w:rPr>
      </w:pPr>
    </w:p>
    <w:p>
      <w:pPr>
        <w:jc w:val="both"/>
        <w:ind w:left="1360"/>
        <w:spacing w:after="0" w:line="264" w:lineRule="auto"/>
        <w:rPr>
          <w:sz w:val="20"/>
          <w:szCs w:val="20"/>
          <w:color w:val="auto"/>
        </w:rPr>
      </w:pPr>
      <w:r>
        <w:rPr>
          <w:rFonts w:ascii="Arial" w:cs="Arial" w:eastAsia="Arial" w:hAnsi="Arial"/>
          <w:sz w:val="16"/>
          <w:szCs w:val="16"/>
          <w:color w:val="auto"/>
        </w:rPr>
        <w:t>As of December 31, 2012, the Company has provided valuation allowances of $ 1,461 in respect of deferred tax assets resulting from tax loss carry forward and other temporary differences. Management currently believes that since the Company has a history of losses it is more likely than not that the deferred tax regarding the loss carry forward and other temporary differences will not be realized in the foreseeable future.</w:t>
      </w:r>
    </w:p>
    <w:p>
      <w:pPr>
        <w:spacing w:after="0" w:line="162" w:lineRule="exact"/>
        <w:rPr>
          <w:sz w:val="20"/>
          <w:szCs w:val="20"/>
          <w:color w:val="auto"/>
        </w:rPr>
      </w:pPr>
    </w:p>
    <w:p>
      <w:pPr>
        <w:ind w:left="1340" w:hanging="443"/>
        <w:spacing w:after="0"/>
        <w:tabs>
          <w:tab w:leader="none" w:pos="1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 liability for uncertain tax positions was recorded as a result of implementation of ASC 740.</w:t>
      </w:r>
    </w:p>
    <w:p>
      <w:pPr>
        <w:spacing w:after="0" w:line="200" w:lineRule="exact"/>
        <w:rPr>
          <w:rFonts w:ascii="Arial" w:cs="Arial" w:eastAsia="Arial" w:hAnsi="Arial"/>
          <w:sz w:val="16"/>
          <w:szCs w:val="16"/>
          <w:color w:val="auto"/>
        </w:rPr>
      </w:pPr>
    </w:p>
    <w:p>
      <w:pPr>
        <w:ind w:left="1340" w:right="20" w:hanging="443"/>
        <w:spacing w:after="0" w:line="312" w:lineRule="auto"/>
        <w:tabs>
          <w:tab w:leader="none" w:pos="13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main reconciling item between the statutory tax rate of the Company and the effective tax rate is the recognition of valuation allowances in respect of deferred taxes relating to accumulated net operating losses carried forward due to the uncertainty of the realization of such deferred taxes.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CONTINGENT LIABILITIES AND COMMITMENTS</w:t>
      </w:r>
    </w:p>
    <w:p>
      <w:pPr>
        <w:spacing w:after="0" w:line="204" w:lineRule="exact"/>
        <w:rPr>
          <w:sz w:val="20"/>
          <w:szCs w:val="20"/>
          <w:color w:val="auto"/>
        </w:rPr>
      </w:pPr>
    </w:p>
    <w:p>
      <w:pPr>
        <w:ind w:left="1340" w:right="20" w:hanging="443"/>
        <w:spacing w:after="0" w:line="277" w:lineRule="auto"/>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is engaged in an operating lease agreement for its office facilities. Future minimum non cancelable rental payments under the operating lease are $4. The rent expenses for the years ended December 31, 2012 and 2011 amounted to $44 and $61 respectively.</w:t>
      </w:r>
    </w:p>
    <w:p>
      <w:pPr>
        <w:spacing w:after="0" w:line="151" w:lineRule="exact"/>
        <w:rPr>
          <w:rFonts w:ascii="Arial" w:cs="Arial" w:eastAsia="Arial" w:hAnsi="Arial"/>
          <w:sz w:val="16"/>
          <w:szCs w:val="16"/>
          <w:color w:val="auto"/>
        </w:rPr>
      </w:pPr>
    </w:p>
    <w:p>
      <w:pPr>
        <w:ind w:left="1340" w:right="20" w:hanging="443"/>
        <w:spacing w:after="0" w:line="277" w:lineRule="auto"/>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has entered into an operating lease agreement for its vehicles until December 2013. The rent expenses for the years ended December 31, 2012 and 2011 amounted to $18 and $29 respectively. Future minimum payments under the lease are as follows:</w:t>
      </w:r>
    </w:p>
    <w:p>
      <w:pPr>
        <w:spacing w:after="0" w:line="117"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650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7"/>
                <w:szCs w:val="17"/>
                <w:color w:val="auto"/>
              </w:rPr>
            </w:pPr>
          </w:p>
        </w:tc>
        <w:tc>
          <w:tcPr>
            <w:tcW w:w="144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28"/>
        </w:trPr>
        <w:tc>
          <w:tcPr>
            <w:tcW w:w="1740" w:type="dxa"/>
            <w:vAlign w:val="bottom"/>
            <w:tcBorders>
              <w:top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174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1740" w:type="dxa"/>
            <w:vAlign w:val="bottom"/>
            <w:shd w:val="clear" w:color="auto" w:fill="CCFFCC"/>
          </w:tcPr>
          <w:p>
            <w:pPr>
              <w:jc w:val="right"/>
              <w:ind w:right="1300"/>
              <w:spacing w:after="0"/>
              <w:rPr>
                <w:sz w:val="20"/>
                <w:szCs w:val="20"/>
                <w:color w:val="auto"/>
              </w:rPr>
            </w:pPr>
            <w:r>
              <w:rPr>
                <w:rFonts w:ascii="Arial" w:cs="Arial" w:eastAsia="Arial" w:hAnsi="Arial"/>
                <w:sz w:val="16"/>
                <w:szCs w:val="16"/>
                <w:color w:val="auto"/>
                <w:w w:val="95"/>
              </w:rPr>
              <w:t>2013</w:t>
            </w:r>
          </w:p>
        </w:tc>
        <w:tc>
          <w:tcPr>
            <w:tcW w:w="4760" w:type="dxa"/>
            <w:vAlign w:val="bottom"/>
            <w:shd w:val="clear" w:color="auto" w:fill="CCFFCC"/>
          </w:tcPr>
          <w:p>
            <w:pPr>
              <w:spacing w:after="0"/>
              <w:rPr>
                <w:sz w:val="16"/>
                <w:szCs w:val="16"/>
                <w:color w:val="auto"/>
              </w:rPr>
            </w:pPr>
          </w:p>
        </w:tc>
        <w:tc>
          <w:tcPr>
            <w:tcW w:w="400" w:type="dxa"/>
            <w:vAlign w:val="bottom"/>
            <w:shd w:val="clear" w:color="auto" w:fill="CCFFCC"/>
          </w:tcPr>
          <w:p>
            <w:pPr>
              <w:jc w:val="right"/>
              <w:ind w:right="22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FFCC"/>
          </w:tcPr>
          <w:p>
            <w:pPr>
              <w:spacing w:after="0"/>
              <w:rPr>
                <w:sz w:val="16"/>
                <w:szCs w:val="16"/>
                <w:color w:val="auto"/>
              </w:rPr>
            </w:pPr>
          </w:p>
        </w:tc>
      </w:tr>
      <w:tr>
        <w:trPr>
          <w:trHeight w:val="204"/>
        </w:trPr>
        <w:tc>
          <w:tcPr>
            <w:tcW w:w="1740" w:type="dxa"/>
            <w:vAlign w:val="bottom"/>
            <w:tcBorders>
              <w:bottom w:val="single" w:sz="8" w:color="CCFFCC"/>
            </w:tcBorders>
          </w:tcPr>
          <w:p>
            <w:pPr>
              <w:jc w:val="right"/>
              <w:ind w:right="1300"/>
              <w:spacing w:after="0"/>
              <w:rPr>
                <w:sz w:val="20"/>
                <w:szCs w:val="20"/>
                <w:color w:val="auto"/>
              </w:rPr>
            </w:pPr>
            <w:r>
              <w:rPr>
                <w:rFonts w:ascii="Arial" w:cs="Arial" w:eastAsia="Arial" w:hAnsi="Arial"/>
                <w:sz w:val="16"/>
                <w:szCs w:val="16"/>
                <w:color w:val="auto"/>
                <w:w w:val="95"/>
              </w:rPr>
              <w:t>2014</w:t>
            </w:r>
          </w:p>
        </w:tc>
        <w:tc>
          <w:tcPr>
            <w:tcW w:w="4760" w:type="dxa"/>
            <w:vAlign w:val="bottom"/>
            <w:tcBorders>
              <w:bottom w:val="single" w:sz="8" w:color="CCFFC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FFCC"/>
            </w:tcBorders>
          </w:tcPr>
          <w:p>
            <w:pPr>
              <w:spacing w:after="0"/>
              <w:rPr>
                <w:sz w:val="17"/>
                <w:szCs w:val="17"/>
                <w:color w:val="auto"/>
              </w:rPr>
            </w:pPr>
          </w:p>
        </w:tc>
      </w:tr>
      <w:tr>
        <w:trPr>
          <w:trHeight w:val="184"/>
        </w:trPr>
        <w:tc>
          <w:tcPr>
            <w:tcW w:w="1740" w:type="dxa"/>
            <w:vAlign w:val="bottom"/>
            <w:shd w:val="clear" w:color="auto" w:fill="CCFFCC"/>
          </w:tcPr>
          <w:p>
            <w:pPr>
              <w:spacing w:after="0"/>
              <w:rPr>
                <w:sz w:val="16"/>
                <w:szCs w:val="16"/>
                <w:color w:val="auto"/>
              </w:rPr>
            </w:pPr>
          </w:p>
        </w:tc>
        <w:tc>
          <w:tcPr>
            <w:tcW w:w="476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13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16"/>
        </w:trPr>
        <w:tc>
          <w:tcPr>
            <w:tcW w:w="17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1340" w:hanging="443"/>
        <w:spacing w:after="0"/>
        <w:tabs>
          <w:tab w:leader="none" w:pos="1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Royalty bearing Government grants: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51" w:lineRule="exact"/>
        <w:rPr>
          <w:rFonts w:ascii="Arial" w:cs="Arial" w:eastAsia="Arial" w:hAnsi="Arial"/>
          <w:sz w:val="16"/>
          <w:szCs w:val="16"/>
          <w:color w:val="auto"/>
        </w:rPr>
      </w:pPr>
    </w:p>
    <w:p>
      <w:pPr>
        <w:jc w:val="both"/>
        <w:ind w:left="1360" w:right="20"/>
        <w:spacing w:after="0" w:line="297" w:lineRule="auto"/>
        <w:rPr>
          <w:rFonts w:ascii="Arial" w:cs="Arial" w:eastAsia="Arial" w:hAnsi="Arial"/>
          <w:sz w:val="16"/>
          <w:szCs w:val="16"/>
          <w:color w:val="auto"/>
        </w:rPr>
      </w:pPr>
      <w:r>
        <w:rPr>
          <w:rFonts w:ascii="Arial" w:cs="Arial" w:eastAsia="Arial" w:hAnsi="Arial"/>
          <w:sz w:val="14"/>
          <w:szCs w:val="14"/>
          <w:color w:val="auto"/>
        </w:rPr>
        <w:t>In connection with its research and development, the Company received $ 106 of participation payments from the OCS through December 31, 2012.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$ 112 as of December 31, 2012. In addition, the OCS, in its discretion, may impose certain conditions on any arrangement under which it permits the Company to transfer technology or development out of Israel (including transfer of any manufacturing rights with respect to the technology), and may require payment of additional amounts and/or payment of increased royalties with respect thereto. Currently, the OCS is unauthorized to approve the licensing of OCS funded technology outside of Israel.</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w:t>
      </w:r>
    </w:p>
    <w:p>
      <w:pPr>
        <w:spacing w:after="0" w:line="204" w:lineRule="exact"/>
        <w:rPr>
          <w:sz w:val="20"/>
          <w:szCs w:val="20"/>
          <w:color w:val="auto"/>
        </w:rPr>
      </w:pPr>
    </w:p>
    <w:p>
      <w:pPr>
        <w:ind w:left="1340" w:hanging="443"/>
        <w:spacing w:after="0"/>
        <w:tabs>
          <w:tab w:leader="none" w:pos="1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General:</w:t>
      </w:r>
    </w:p>
    <w:p>
      <w:pPr>
        <w:spacing w:after="0" w:line="200" w:lineRule="exact"/>
        <w:rPr>
          <w:rFonts w:ascii="Arial" w:cs="Arial" w:eastAsia="Arial" w:hAnsi="Arial"/>
          <w:sz w:val="16"/>
          <w:szCs w:val="16"/>
          <w:color w:val="auto"/>
        </w:rPr>
      </w:pPr>
    </w:p>
    <w:p>
      <w:pPr>
        <w:jc w:val="both"/>
        <w:ind w:left="1340" w:right="20"/>
        <w:spacing w:after="0" w:line="264" w:lineRule="auto"/>
        <w:rPr>
          <w:rFonts w:ascii="Arial" w:cs="Arial" w:eastAsia="Arial" w:hAnsi="Arial"/>
          <w:sz w:val="16"/>
          <w:szCs w:val="16"/>
          <w:color w:val="auto"/>
        </w:rPr>
      </w:pPr>
      <w:r>
        <w:rPr>
          <w:rFonts w:ascii="Arial" w:cs="Arial" w:eastAsia="Arial" w:hAnsi="Arial"/>
          <w:sz w:val="16"/>
          <w:szCs w:val="16"/>
          <w:color w:val="auto"/>
        </w:rPr>
        <w:t>All Ordinary shares, options, warrants, per share data, exercise price and convertible notes conversion ratio included in these financial statements for all periods presented have been retroactively adjusted to reflect the 4.87-to-one bonus shares (equivalent to a 5.87-for-1 stock split) to be effective immediately prior to the effectiveness of the registration statement.</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Share capital:</w:t>
      </w:r>
    </w:p>
    <w:p>
      <w:pPr>
        <w:spacing w:after="0" w:line="200" w:lineRule="exact"/>
        <w:rPr>
          <w:rFonts w:ascii="Arial" w:cs="Arial" w:eastAsia="Arial" w:hAnsi="Arial"/>
          <w:sz w:val="16"/>
          <w:szCs w:val="16"/>
          <w:color w:val="auto"/>
        </w:rPr>
      </w:pPr>
    </w:p>
    <w:p>
      <w:pPr>
        <w:ind w:left="1340"/>
        <w:spacing w:after="0" w:line="277" w:lineRule="auto"/>
        <w:rPr>
          <w:rFonts w:ascii="Arial" w:cs="Arial" w:eastAsia="Arial" w:hAnsi="Arial"/>
          <w:sz w:val="16"/>
          <w:szCs w:val="16"/>
          <w:color w:val="auto"/>
        </w:rPr>
      </w:pPr>
      <w:r>
        <w:rPr>
          <w:rFonts w:ascii="Arial" w:cs="Arial" w:eastAsia="Arial" w:hAnsi="Arial"/>
          <w:sz w:val="16"/>
          <w:szCs w:val="16"/>
          <w:color w:val="auto"/>
        </w:rPr>
        <w:t>The Ordinary shares confer upon their holders the right to participate and vote in general shareholders meetings of the Company and to share in the distribution of dividends, if any declared by the Company.</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Issuances of shares:</w:t>
      </w:r>
    </w:p>
    <w:p>
      <w:pPr>
        <w:spacing w:after="0" w:line="200" w:lineRule="exact"/>
        <w:rPr>
          <w:rFonts w:ascii="Arial" w:cs="Arial" w:eastAsia="Arial" w:hAnsi="Arial"/>
          <w:sz w:val="16"/>
          <w:szCs w:val="16"/>
          <w:color w:val="auto"/>
        </w:rPr>
      </w:pPr>
    </w:p>
    <w:p>
      <w:pPr>
        <w:ind w:left="1800" w:hanging="447"/>
        <w:spacing w:after="0"/>
        <w:tabs>
          <w:tab w:leader="none" w:pos="18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On February 7, 2008, (inception day) the Company issued 5,752,600 Ordinary shares in consideration of their par value.</w:t>
      </w:r>
    </w:p>
    <w:p>
      <w:pPr>
        <w:spacing w:after="0" w:line="200" w:lineRule="exact"/>
        <w:rPr>
          <w:rFonts w:ascii="Arial" w:cs="Arial" w:eastAsia="Arial" w:hAnsi="Arial"/>
          <w:sz w:val="16"/>
          <w:szCs w:val="16"/>
          <w:color w:val="auto"/>
        </w:rPr>
      </w:pPr>
    </w:p>
    <w:p>
      <w:pPr>
        <w:ind w:left="1800" w:right="20" w:hanging="447"/>
        <w:spacing w:after="0" w:line="277" w:lineRule="auto"/>
        <w:tabs>
          <w:tab w:leader="none" w:pos="18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February 2008, the Company entered into an investment agreement, according to the agreement, the Company issued 434,814 Preferred A shares in consideration of $400.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800" w:right="20" w:hanging="447"/>
        <w:spacing w:after="0" w:line="264"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May 2008, an agreement to purchase Preferred A shares was signed with a new investor (the "Investor"). Accordingly, as of December 31, 2008, 95,117 Preferred A shares were issued in consideration of $ 88. In January 2009, additional 95,112 Preferred A shares, were issued in consideration of $ 87.</w:t>
      </w:r>
    </w:p>
    <w:p>
      <w:pPr>
        <w:spacing w:after="0" w:line="161" w:lineRule="exact"/>
        <w:rPr>
          <w:rFonts w:ascii="Arial" w:cs="Arial" w:eastAsia="Arial" w:hAnsi="Arial"/>
          <w:sz w:val="16"/>
          <w:szCs w:val="16"/>
          <w:color w:val="auto"/>
        </w:rPr>
      </w:pPr>
    </w:p>
    <w:p>
      <w:pPr>
        <w:jc w:val="both"/>
        <w:ind w:left="1820" w:right="20"/>
        <w:spacing w:after="0" w:line="264" w:lineRule="auto"/>
        <w:rPr>
          <w:rFonts w:ascii="Arial" w:cs="Arial" w:eastAsia="Arial" w:hAnsi="Arial"/>
          <w:sz w:val="16"/>
          <w:szCs w:val="16"/>
          <w:color w:val="auto"/>
        </w:rPr>
      </w:pPr>
      <w:r>
        <w:rPr>
          <w:rFonts w:ascii="Arial" w:cs="Arial" w:eastAsia="Arial" w:hAnsi="Arial"/>
          <w:sz w:val="16"/>
          <w:szCs w:val="16"/>
          <w:color w:val="auto"/>
        </w:rPr>
        <w:t>In addition, the Company and the Investor agreed that the Investor shall supply clinical trial services in a value of up to $ 250 in exchange of up to 271,757 Preferred A shares. As of December 31, 2008, the investor provided part of the clinical trial services, for which 81,528 Preferred A shares were issued.</w:t>
      </w:r>
    </w:p>
    <w:p>
      <w:pPr>
        <w:spacing w:after="0" w:line="161" w:lineRule="exact"/>
        <w:rPr>
          <w:rFonts w:ascii="Arial" w:cs="Arial" w:eastAsia="Arial" w:hAnsi="Arial"/>
          <w:sz w:val="16"/>
          <w:szCs w:val="16"/>
          <w:color w:val="auto"/>
        </w:rPr>
      </w:pPr>
    </w:p>
    <w:p>
      <w:pPr>
        <w:ind w:left="1820"/>
        <w:spacing w:after="0"/>
        <w:rPr>
          <w:rFonts w:ascii="Arial" w:cs="Arial" w:eastAsia="Arial" w:hAnsi="Arial"/>
          <w:sz w:val="16"/>
          <w:szCs w:val="16"/>
          <w:color w:val="auto"/>
        </w:rPr>
      </w:pPr>
      <w:r>
        <w:rPr>
          <w:rFonts w:ascii="Arial" w:cs="Arial" w:eastAsia="Arial" w:hAnsi="Arial"/>
          <w:sz w:val="16"/>
          <w:szCs w:val="16"/>
          <w:color w:val="auto"/>
        </w:rPr>
        <w:t>In January 2009, the Investor carried out the rest of the services and an additional 190,229 Preferred A shares were issued.</w:t>
      </w:r>
    </w:p>
    <w:p>
      <w:pPr>
        <w:spacing w:after="0" w:line="200" w:lineRule="exact"/>
        <w:rPr>
          <w:rFonts w:ascii="Arial" w:cs="Arial" w:eastAsia="Arial" w:hAnsi="Arial"/>
          <w:sz w:val="16"/>
          <w:szCs w:val="16"/>
          <w:color w:val="auto"/>
        </w:rPr>
      </w:pPr>
    </w:p>
    <w:p>
      <w:pPr>
        <w:ind w:left="1800" w:right="20" w:hanging="447"/>
        <w:spacing w:after="0" w:line="277"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July 2008, the Company entered into an investment agreement. Accordingly, as of December 31, 2008, 217,408 Preferred A shares were issued in consideration of $ 184. In February 2009, 108,706 Preferred A shares were issued in consideration of $ 100.</w:t>
      </w:r>
    </w:p>
    <w:p>
      <w:pPr>
        <w:spacing w:after="0" w:line="151" w:lineRule="exact"/>
        <w:rPr>
          <w:rFonts w:ascii="Arial" w:cs="Arial" w:eastAsia="Arial" w:hAnsi="Arial"/>
          <w:sz w:val="16"/>
          <w:szCs w:val="16"/>
          <w:color w:val="auto"/>
        </w:rPr>
      </w:pPr>
    </w:p>
    <w:p>
      <w:pPr>
        <w:ind w:left="1800" w:right="20" w:hanging="447"/>
        <w:spacing w:after="0" w:line="277"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relation with the convertible loan agreement dated June 2009, in July 2009, 461,987 Preferred A shares of an existing investor that did not participate in the loan agreement, were converted into 461,987 Ordinary shares.</w:t>
      </w:r>
    </w:p>
    <w:p>
      <w:pPr>
        <w:spacing w:after="0" w:line="151" w:lineRule="exact"/>
        <w:rPr>
          <w:rFonts w:ascii="Arial" w:cs="Arial" w:eastAsia="Arial" w:hAnsi="Arial"/>
          <w:sz w:val="16"/>
          <w:szCs w:val="16"/>
          <w:color w:val="auto"/>
        </w:rPr>
      </w:pPr>
    </w:p>
    <w:p>
      <w:pPr>
        <w:jc w:val="both"/>
        <w:ind w:left="1800" w:right="20" w:hanging="447"/>
        <w:spacing w:after="0" w:line="259"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February 2010, an agreement to purchase Preferred B shares was signed. Accordingly, 183,356 Preferred B shares were issued in consideration of $ 400. In addition, the Convertible Notes were converted (see Note 6(a)). As a part of the above agreement, the Company granted to investors warrants to purchase 77,965 Preferred B-3 shares at an exercise price of $2.73 per share. The warrants will expire five years after the date of grant. As of December 31, 2012, the warrants were not exercised.</w:t>
      </w:r>
    </w:p>
    <w:p>
      <w:pPr>
        <w:spacing w:after="0" w:line="166" w:lineRule="exact"/>
        <w:rPr>
          <w:rFonts w:ascii="Arial" w:cs="Arial" w:eastAsia="Arial" w:hAnsi="Arial"/>
          <w:sz w:val="16"/>
          <w:szCs w:val="16"/>
          <w:color w:val="auto"/>
        </w:rPr>
      </w:pPr>
    </w:p>
    <w:p>
      <w:pPr>
        <w:jc w:val="both"/>
        <w:ind w:left="1800" w:right="20"/>
        <w:spacing w:after="0" w:line="259" w:lineRule="auto"/>
        <w:rPr>
          <w:rFonts w:ascii="Arial" w:cs="Arial" w:eastAsia="Arial" w:hAnsi="Arial"/>
          <w:sz w:val="16"/>
          <w:szCs w:val="16"/>
          <w:color w:val="auto"/>
        </w:rPr>
      </w:pPr>
      <w:r>
        <w:rPr>
          <w:rFonts w:ascii="Arial" w:cs="Arial" w:eastAsia="Arial" w:hAnsi="Arial"/>
          <w:sz w:val="16"/>
          <w:szCs w:val="16"/>
          <w:color w:val="auto"/>
        </w:rPr>
        <w:t>As a part of the 2010 Agreement, the Company entered into a service agreement according to which a service provider will provide clinical trial services for up to 55,008 Preferred B-1 shares. As of December 31, 2010, the services provider supplied the clinical trial services and 55,008 Preferred B-1 shares and 11,458 warrants to Preferred B-3 were issued. The Company recorded a compensation expense in the amount of $120 in the year ended December 31, 2010.</w:t>
      </w:r>
    </w:p>
    <w:p>
      <w:pPr>
        <w:spacing w:after="0" w:line="166" w:lineRule="exact"/>
        <w:rPr>
          <w:rFonts w:ascii="Arial" w:cs="Arial" w:eastAsia="Arial" w:hAnsi="Arial"/>
          <w:sz w:val="16"/>
          <w:szCs w:val="16"/>
          <w:color w:val="auto"/>
        </w:rPr>
      </w:pPr>
    </w:p>
    <w:p>
      <w:pPr>
        <w:ind w:left="1800" w:right="20"/>
        <w:spacing w:after="0" w:line="277" w:lineRule="auto"/>
        <w:rPr>
          <w:rFonts w:ascii="Arial" w:cs="Arial" w:eastAsia="Arial" w:hAnsi="Arial"/>
          <w:sz w:val="16"/>
          <w:szCs w:val="16"/>
          <w:color w:val="auto"/>
        </w:rPr>
      </w:pPr>
      <w:r>
        <w:rPr>
          <w:rFonts w:ascii="Arial" w:cs="Arial" w:eastAsia="Arial" w:hAnsi="Arial"/>
          <w:sz w:val="16"/>
          <w:szCs w:val="16"/>
          <w:color w:val="auto"/>
        </w:rPr>
        <w:t>In August 2010, additional 159,335 preferred B shares and 39,834 warrants to preferred B-3 were issued for a total consideration of $323 (net of $26 issuance expenses).</w:t>
      </w:r>
    </w:p>
    <w:p>
      <w:pPr>
        <w:spacing w:after="0" w:line="151" w:lineRule="exact"/>
        <w:rPr>
          <w:rFonts w:ascii="Arial" w:cs="Arial" w:eastAsia="Arial" w:hAnsi="Arial"/>
          <w:sz w:val="16"/>
          <w:szCs w:val="16"/>
          <w:color w:val="auto"/>
        </w:rPr>
      </w:pPr>
    </w:p>
    <w:p>
      <w:pPr>
        <w:jc w:val="both"/>
        <w:ind w:left="1800" w:right="20" w:hanging="447"/>
        <w:spacing w:after="0" w:line="257"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 November 17, 2010, the Company entered into an agreement with a strategic investor (the "Strategic Investor") under which the Company received a loan in an amount of $ 750, which was extended in February 2011 for an additional amount of $ 450. The loan was to be repaid in February 2011, if the parties did not reach a Buyout agreement. To the extent a Buyout agreement was executed by March 2011, the loan was to be converted into Ordinary shares. In March 2011, the Buyout agreement was executed and the Company issued to the Strategic Investor 199,979 Ordinary shares in consideration of $ 2,170 (net of $130 issuance expenses).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800" w:right="20"/>
        <w:spacing w:after="0" w:line="302" w:lineRule="auto"/>
        <w:rPr>
          <w:sz w:val="20"/>
          <w:szCs w:val="20"/>
          <w:color w:val="auto"/>
        </w:rPr>
      </w:pPr>
      <w:r>
        <w:rPr>
          <w:rFonts w:ascii="Arial" w:cs="Arial" w:eastAsia="Arial" w:hAnsi="Arial"/>
          <w:sz w:val="14"/>
          <w:szCs w:val="14"/>
          <w:color w:val="auto"/>
        </w:rPr>
        <w:t>Additionally, 104,345 Ordinary shares were issued in consideration of the loan amount. According to the Buyout agreement, the Strategic Investor has certain options to buy shares from the Company's shareholders according to certain milestones and shall hold 100% of the Company's shares. According to the Buyout agreement, if one of the options is not exercised, within the agreed time, the Buyout agreement is terminated and the shares issued will be transferred to the Company free of charge. Due to the fact that the Strategic Investor did not exercise his option, in January 2012, the agreement was terminated, and the Strategic Investor transferred 304,324 Ordinary shares to back the Company, without any consideration.</w:t>
      </w:r>
    </w:p>
    <w:p>
      <w:pPr>
        <w:spacing w:after="0" w:line="140" w:lineRule="exact"/>
        <w:rPr>
          <w:sz w:val="20"/>
          <w:szCs w:val="20"/>
          <w:color w:val="auto"/>
        </w:rPr>
      </w:pPr>
    </w:p>
    <w:p>
      <w:pPr>
        <w:jc w:val="both"/>
        <w:ind w:left="1820" w:right="20"/>
        <w:spacing w:after="0" w:line="291" w:lineRule="auto"/>
        <w:rPr>
          <w:sz w:val="20"/>
          <w:szCs w:val="20"/>
          <w:color w:val="auto"/>
        </w:rPr>
      </w:pPr>
      <w:r>
        <w:rPr>
          <w:rFonts w:ascii="Arial" w:cs="Arial" w:eastAsia="Arial" w:hAnsi="Arial"/>
          <w:sz w:val="14"/>
          <w:szCs w:val="14"/>
          <w:color w:val="auto"/>
        </w:rPr>
        <w:t>Prior to the closing of the Buyout agreement and as a condition to it, the Company affected an equity restructuring, under which, all of the Company's Preferred shares (1,287,138 Preferred shares) were converted into Ordinary shares at 1:1 ratio. In addition, all options, warrants that were convertible into share capital of the Company other than Ordinary shares were replaced or exchanged at 1:1 ratio to notes and rights entitling their holders the right to purchase or receive Ordinary shares. In accordance with ASC 718-20-35-6, the Company recorded a compensation expense in the amount of</w:t>
      </w:r>
    </w:p>
    <w:p>
      <w:pPr>
        <w:ind w:left="1820" w:right="20" w:hanging="8"/>
        <w:spacing w:after="0" w:line="261" w:lineRule="auto"/>
        <w:tabs>
          <w:tab w:leader="none" w:pos="195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15 and of $ 1,466 in the years ended December 31, 2012 and 2011, respectively. Additionally, a deemed dividend to other Ordinary shareholders was recorded in the amount of $ 180 for the year ended December 31, 2011.</w:t>
      </w:r>
    </w:p>
    <w:p>
      <w:pPr>
        <w:spacing w:after="0" w:line="163" w:lineRule="exact"/>
        <w:rPr>
          <w:rFonts w:ascii="Arial" w:cs="Arial" w:eastAsia="Arial" w:hAnsi="Arial"/>
          <w:sz w:val="16"/>
          <w:szCs w:val="16"/>
          <w:color w:val="auto"/>
        </w:rPr>
      </w:pPr>
    </w:p>
    <w:p>
      <w:pPr>
        <w:ind w:left="1340" w:hanging="443"/>
        <w:spacing w:after="0"/>
        <w:tabs>
          <w:tab w:leader="none" w:pos="1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2010 incentive option plan:</w:t>
      </w:r>
    </w:p>
    <w:p>
      <w:pPr>
        <w:spacing w:after="0" w:line="200" w:lineRule="exact"/>
        <w:rPr>
          <w:rFonts w:ascii="Arial" w:cs="Arial" w:eastAsia="Arial" w:hAnsi="Arial"/>
          <w:sz w:val="16"/>
          <w:szCs w:val="16"/>
          <w:color w:val="auto"/>
        </w:rPr>
      </w:pPr>
    </w:p>
    <w:p>
      <w:pPr>
        <w:jc w:val="both"/>
        <w:ind w:left="1340" w:right="20"/>
        <w:spacing w:after="0" w:line="259" w:lineRule="auto"/>
        <w:rPr>
          <w:rFonts w:ascii="Arial" w:cs="Arial" w:eastAsia="Arial" w:hAnsi="Arial"/>
          <w:sz w:val="16"/>
          <w:szCs w:val="16"/>
          <w:color w:val="auto"/>
        </w:rPr>
      </w:pPr>
      <w:r>
        <w:rPr>
          <w:rFonts w:ascii="Arial" w:cs="Arial" w:eastAsia="Arial" w:hAnsi="Arial"/>
          <w:sz w:val="16"/>
          <w:szCs w:val="16"/>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December 31, 2012, 7,009 options were still available for future grants under the Plan.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9"/>
        </w:trPr>
        <w:tc>
          <w:tcPr>
            <w:tcW w:w="5880" w:type="dxa"/>
            <w:vAlign w:val="bottom"/>
            <w:gridSpan w:val="2"/>
          </w:tcPr>
          <w:p>
            <w:pPr>
              <w:spacing w:after="0"/>
              <w:rPr>
                <w:sz w:val="20"/>
                <w:szCs w:val="20"/>
                <w:color w:val="auto"/>
              </w:rPr>
            </w:pPr>
            <w:r>
              <w:rPr>
                <w:rFonts w:ascii="Arial" w:cs="Arial" w:eastAsia="Arial" w:hAnsi="Arial"/>
                <w:sz w:val="16"/>
                <w:szCs w:val="16"/>
                <w:b w:val="1"/>
                <w:bCs w:val="1"/>
                <w:color w:val="auto"/>
              </w:rPr>
              <w:t>NOTE 9:- SHAREHOLDERS' EQUITY (DEFICIENCY) (Cont.)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68"/>
        </w:trPr>
        <w:tc>
          <w:tcPr>
            <w:tcW w:w="1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r>
      <w:tr>
        <w:trPr>
          <w:trHeight w:val="209"/>
        </w:trPr>
        <w:tc>
          <w:tcPr>
            <w:tcW w:w="1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6"/>
          </w:tcPr>
          <w:p>
            <w:pPr>
              <w:jc w:val="right"/>
              <w:spacing w:after="0"/>
              <w:rPr>
                <w:sz w:val="20"/>
                <w:szCs w:val="20"/>
                <w:color w:val="auto"/>
              </w:rPr>
            </w:pPr>
            <w:r>
              <w:rPr>
                <w:rFonts w:ascii="Arial" w:cs="Arial" w:eastAsia="Arial" w:hAnsi="Arial"/>
                <w:sz w:val="16"/>
                <w:szCs w:val="16"/>
                <w:b w:val="1"/>
                <w:bCs w:val="1"/>
                <w:color w:val="auto"/>
              </w:rPr>
              <w:t>(A development stage company)</w:t>
            </w:r>
          </w:p>
        </w:tc>
      </w:tr>
      <w:tr>
        <w:trPr>
          <w:trHeight w:val="384"/>
        </w:trPr>
        <w:tc>
          <w:tcPr>
            <w:tcW w:w="9440" w:type="dxa"/>
            <w:vAlign w:val="bottom"/>
            <w:gridSpan w:val="9"/>
          </w:tcPr>
          <w:p>
            <w:pPr>
              <w:jc w:val="right"/>
              <w:ind w:right="1000"/>
              <w:spacing w:after="0"/>
              <w:rPr>
                <w:sz w:val="20"/>
                <w:szCs w:val="20"/>
                <w:color w:val="auto"/>
              </w:rPr>
            </w:pPr>
            <w:r>
              <w:rPr>
                <w:rFonts w:ascii="Arial" w:cs="Arial" w:eastAsia="Arial" w:hAnsi="Arial"/>
                <w:sz w:val="16"/>
                <w:szCs w:val="16"/>
                <w:color w:val="auto"/>
              </w:rPr>
              <w:t>A summary of the Company's options activity (for employees and directors) under the 2010 Plan is as follows: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6"/>
        </w:trPr>
        <w:tc>
          <w:tcPr>
            <w:tcW w:w="1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2012</w:t>
            </w:r>
          </w:p>
        </w:tc>
        <w:tc>
          <w:tcPr>
            <w:tcW w:w="8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2011</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1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40"/>
              <w:spacing w:after="0" w:line="168" w:lineRule="exact"/>
              <w:rPr>
                <w:sz w:val="20"/>
                <w:szCs w:val="20"/>
                <w:color w:val="auto"/>
              </w:rPr>
            </w:pPr>
            <w:r>
              <w:rPr>
                <w:rFonts w:ascii="Arial" w:cs="Arial" w:eastAsia="Arial" w:hAnsi="Arial"/>
                <w:sz w:val="16"/>
                <w:szCs w:val="16"/>
                <w:b w:val="1"/>
                <w:bCs w:val="1"/>
                <w:color w:val="auto"/>
                <w:w w:val="88"/>
              </w:rPr>
              <w:t>Weighted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0"/>
              <w:spacing w:after="0" w:line="168" w:lineRule="exact"/>
              <w:rPr>
                <w:sz w:val="20"/>
                <w:szCs w:val="20"/>
                <w:color w:val="auto"/>
              </w:rPr>
            </w:pPr>
            <w:r>
              <w:rPr>
                <w:rFonts w:ascii="Arial" w:cs="Arial" w:eastAsia="Arial" w:hAnsi="Arial"/>
                <w:sz w:val="16"/>
                <w:szCs w:val="16"/>
                <w:b w:val="1"/>
                <w:bCs w:val="1"/>
                <w:color w:val="auto"/>
                <w:w w:val="88"/>
              </w:rPr>
              <w:t>Weighted</w:t>
            </w:r>
          </w:p>
        </w:tc>
        <w:tc>
          <w:tcPr>
            <w:tcW w:w="1000" w:type="dxa"/>
            <w:vAlign w:val="bottom"/>
            <w:gridSpan w:val="2"/>
          </w:tcPr>
          <w:p>
            <w:pPr>
              <w:spacing w:after="0"/>
              <w:rPr>
                <w:sz w:val="14"/>
                <w:szCs w:val="14"/>
                <w:color w:val="auto"/>
              </w:rPr>
            </w:pPr>
          </w:p>
        </w:tc>
      </w:tr>
      <w:tr>
        <w:trPr>
          <w:trHeight w:val="192"/>
        </w:trPr>
        <w:tc>
          <w:tcPr>
            <w:tcW w:w="13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1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80" w:type="dxa"/>
            <w:vAlign w:val="bottom"/>
            <w:gridSpan w:val="3"/>
          </w:tcPr>
          <w:p>
            <w:pPr>
              <w:jc w:val="center"/>
              <w:ind w:right="1120"/>
              <w:spacing w:after="0"/>
              <w:rPr>
                <w:sz w:val="20"/>
                <w:szCs w:val="20"/>
                <w:color w:val="auto"/>
              </w:rPr>
            </w:pPr>
            <w:r>
              <w:rPr>
                <w:rFonts w:ascii="Arial" w:cs="Arial" w:eastAsia="Arial" w:hAnsi="Arial"/>
                <w:sz w:val="16"/>
                <w:szCs w:val="16"/>
                <w:b w:val="1"/>
                <w:bCs w:val="1"/>
                <w:color w:val="auto"/>
                <w:w w:val="85"/>
              </w:rPr>
              <w:t>average</w:t>
            </w:r>
          </w:p>
        </w:tc>
      </w:tr>
      <w:tr>
        <w:trPr>
          <w:trHeight w:val="209"/>
        </w:trPr>
        <w:tc>
          <w:tcPr>
            <w:tcW w:w="1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options</w:t>
            </w:r>
          </w:p>
        </w:tc>
        <w:tc>
          <w:tcPr>
            <w:tcW w:w="12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6"/>
              </w:rPr>
              <w:t>exercise price</w:t>
            </w:r>
          </w:p>
        </w:tc>
        <w:tc>
          <w:tcPr>
            <w:tcW w:w="11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options</w:t>
            </w:r>
          </w:p>
        </w:tc>
        <w:tc>
          <w:tcPr>
            <w:tcW w:w="2000" w:type="dxa"/>
            <w:vAlign w:val="bottom"/>
            <w:gridSpan w:val="4"/>
          </w:tcPr>
          <w:p>
            <w:pPr>
              <w:jc w:val="center"/>
              <w:ind w:right="1000"/>
              <w:spacing w:after="0"/>
              <w:rPr>
                <w:sz w:val="20"/>
                <w:szCs w:val="20"/>
                <w:color w:val="auto"/>
              </w:rPr>
            </w:pPr>
            <w:r>
              <w:rPr>
                <w:rFonts w:ascii="Arial" w:cs="Arial" w:eastAsia="Arial" w:hAnsi="Arial"/>
                <w:sz w:val="16"/>
                <w:szCs w:val="16"/>
                <w:b w:val="1"/>
                <w:bCs w:val="1"/>
                <w:color w:val="auto"/>
                <w:w w:val="86"/>
              </w:rPr>
              <w:t>exercise price</w:t>
            </w:r>
          </w:p>
        </w:tc>
      </w:tr>
      <w:tr>
        <w:trPr>
          <w:trHeight w:val="184"/>
        </w:trPr>
        <w:tc>
          <w:tcPr>
            <w:tcW w:w="13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shd w:val="clear" w:color="auto" w:fill="CCFFCC"/>
          </w:tcPr>
          <w:p>
            <w:pPr>
              <w:ind w:left="40"/>
              <w:spacing w:after="0"/>
              <w:rPr>
                <w:sz w:val="20"/>
                <w:szCs w:val="20"/>
                <w:color w:val="auto"/>
              </w:rPr>
            </w:pPr>
            <w:r>
              <w:rPr>
                <w:rFonts w:ascii="Arial" w:cs="Arial" w:eastAsia="Arial" w:hAnsi="Arial"/>
                <w:sz w:val="16"/>
                <w:szCs w:val="16"/>
                <w:color w:val="auto"/>
              </w:rPr>
              <w:t>Outstanding at beginning of year</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465,520</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0.21</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544,472</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0.18</w:t>
            </w: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shd w:val="clear" w:color="auto" w:fill="CCFFCC"/>
          </w:tcPr>
          <w:p>
            <w:pPr>
              <w:ind w:left="40"/>
              <w:spacing w:after="0"/>
              <w:rPr>
                <w:sz w:val="20"/>
                <w:szCs w:val="20"/>
                <w:color w:val="auto"/>
              </w:rPr>
            </w:pPr>
            <w:r>
              <w:rPr>
                <w:rFonts w:ascii="Arial" w:cs="Arial" w:eastAsia="Arial" w:hAnsi="Arial"/>
                <w:sz w:val="16"/>
                <w:szCs w:val="16"/>
                <w:color w:val="auto"/>
              </w:rPr>
              <w:t>Exercised</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(2,471)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0.33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(1,379)</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0.33</w:t>
            </w:r>
          </w:p>
        </w:tc>
        <w:tc>
          <w:tcPr>
            <w:tcW w:w="920" w:type="dxa"/>
            <w:vAlign w:val="bottom"/>
          </w:tcPr>
          <w:p>
            <w:pPr>
              <w:spacing w:after="0"/>
              <w:rPr>
                <w:sz w:val="16"/>
                <w:szCs w:val="16"/>
                <w:color w:val="auto"/>
              </w:rPr>
            </w:pPr>
          </w:p>
        </w:tc>
      </w:tr>
      <w:tr>
        <w:trPr>
          <w:trHeight w:val="204"/>
        </w:trPr>
        <w:tc>
          <w:tcPr>
            <w:tcW w:w="1380" w:type="dxa"/>
            <w:vAlign w:val="bottom"/>
          </w:tcPr>
          <w:p>
            <w:pPr>
              <w:spacing w:after="0"/>
              <w:rPr>
                <w:sz w:val="17"/>
                <w:szCs w:val="17"/>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(1,931)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0.33</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(77,572)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920" w:type="dxa"/>
            <w:vAlign w:val="bottom"/>
          </w:tcPr>
          <w:p>
            <w:pPr>
              <w:spacing w:after="0"/>
              <w:rPr>
                <w:sz w:val="17"/>
                <w:szCs w:val="17"/>
                <w:color w:val="auto"/>
              </w:rPr>
            </w:pPr>
          </w:p>
        </w:tc>
      </w:tr>
      <w:tr>
        <w:trPr>
          <w:trHeight w:val="184"/>
        </w:trPr>
        <w:tc>
          <w:tcPr>
            <w:tcW w:w="1380" w:type="dxa"/>
            <w:vAlign w:val="bottom"/>
          </w:tcPr>
          <w:p>
            <w:pPr>
              <w:spacing w:after="0"/>
              <w:rPr>
                <w:sz w:val="16"/>
                <w:szCs w:val="16"/>
                <w:color w:val="auto"/>
              </w:rPr>
            </w:pPr>
          </w:p>
        </w:tc>
        <w:tc>
          <w:tcPr>
            <w:tcW w:w="4500" w:type="dxa"/>
            <w:vAlign w:val="bottom"/>
            <w:tcBorders>
              <w:top w:val="single" w:sz="8" w:color="CCFFCC"/>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98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80" w:type="dxa"/>
            <w:vAlign w:val="bottom"/>
            <w:tcBorders>
              <w:top w:val="single" w:sz="8" w:color="CCFFCC"/>
              <w:right w:val="single" w:sz="8" w:color="CCFFCC"/>
            </w:tcBorders>
            <w:shd w:val="clear" w:color="auto" w:fill="CCFFCC"/>
          </w:tcPr>
          <w:p>
            <w:pPr>
              <w:spacing w:after="0"/>
              <w:rPr>
                <w:sz w:val="16"/>
                <w:szCs w:val="16"/>
                <w:color w:val="auto"/>
              </w:rPr>
            </w:pPr>
          </w:p>
        </w:tc>
        <w:tc>
          <w:tcPr>
            <w:tcW w:w="920" w:type="dxa"/>
            <w:vAlign w:val="bottom"/>
          </w:tcPr>
          <w:p>
            <w:pPr>
              <w:spacing w:after="0"/>
              <w:rPr>
                <w:sz w:val="16"/>
                <w:szCs w:val="16"/>
                <w:color w:val="auto"/>
              </w:rPr>
            </w:pPr>
          </w:p>
        </w:tc>
      </w:tr>
      <w:tr>
        <w:trPr>
          <w:trHeight w:val="256"/>
        </w:trPr>
        <w:tc>
          <w:tcPr>
            <w:tcW w:w="1380" w:type="dxa"/>
            <w:vAlign w:val="bottom"/>
          </w:tcPr>
          <w:p>
            <w:pPr>
              <w:spacing w:after="0"/>
              <w:rPr>
                <w:sz w:val="22"/>
                <w:szCs w:val="22"/>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Outstanding at end of year</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461,118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0.21</w:t>
            </w:r>
          </w:p>
        </w:tc>
        <w:tc>
          <w:tcPr>
            <w:tcW w:w="920" w:type="dxa"/>
            <w:vAlign w:val="bottom"/>
          </w:tcPr>
          <w:p>
            <w:pPr>
              <w:spacing w:after="0"/>
              <w:rPr>
                <w:sz w:val="22"/>
                <w:szCs w:val="22"/>
                <w:color w:val="auto"/>
              </w:rPr>
            </w:pPr>
          </w:p>
        </w:tc>
      </w:tr>
      <w:tr>
        <w:trPr>
          <w:trHeight w:val="168"/>
        </w:trPr>
        <w:tc>
          <w:tcPr>
            <w:tcW w:w="1380" w:type="dxa"/>
            <w:vAlign w:val="bottom"/>
          </w:tcPr>
          <w:p>
            <w:pPr>
              <w:spacing w:after="0"/>
              <w:rPr>
                <w:sz w:val="14"/>
                <w:szCs w:val="14"/>
                <w:color w:val="auto"/>
              </w:rPr>
            </w:pPr>
          </w:p>
        </w:tc>
        <w:tc>
          <w:tcPr>
            <w:tcW w:w="4500" w:type="dxa"/>
            <w:vAlign w:val="bottom"/>
            <w:tcBorders>
              <w:top w:val="single" w:sz="8" w:color="CCFFCC"/>
            </w:tcBorders>
            <w:shd w:val="clear" w:color="auto" w:fill="CCFFCC"/>
          </w:tcPr>
          <w:p>
            <w:pPr>
              <w:spacing w:after="0"/>
              <w:rPr>
                <w:sz w:val="14"/>
                <w:szCs w:val="14"/>
                <w:color w:val="auto"/>
              </w:rPr>
            </w:pPr>
          </w:p>
        </w:tc>
        <w:tc>
          <w:tcPr>
            <w:tcW w:w="10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4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80" w:type="dxa"/>
            <w:vAlign w:val="bottom"/>
            <w:tcBorders>
              <w:top w:val="single" w:sz="8" w:color="CCFFCC"/>
              <w:right w:val="single" w:sz="8" w:color="CCFFCC"/>
            </w:tcBorders>
            <w:shd w:val="clear" w:color="auto" w:fill="CCFFCC"/>
          </w:tcPr>
          <w:p>
            <w:pPr>
              <w:spacing w:after="0"/>
              <w:rPr>
                <w:sz w:val="14"/>
                <w:szCs w:val="14"/>
                <w:color w:val="auto"/>
              </w:rPr>
            </w:pPr>
          </w:p>
        </w:tc>
        <w:tc>
          <w:tcPr>
            <w:tcW w:w="920" w:type="dxa"/>
            <w:vAlign w:val="bottom"/>
          </w:tcPr>
          <w:p>
            <w:pPr>
              <w:spacing w:after="0"/>
              <w:rPr>
                <w:sz w:val="14"/>
                <w:szCs w:val="14"/>
                <w:color w:val="auto"/>
              </w:rPr>
            </w:pPr>
          </w:p>
        </w:tc>
      </w:tr>
      <w:tr>
        <w:trPr>
          <w:trHeight w:val="256"/>
        </w:trPr>
        <w:tc>
          <w:tcPr>
            <w:tcW w:w="1380" w:type="dxa"/>
            <w:vAlign w:val="bottom"/>
          </w:tcPr>
          <w:p>
            <w:pPr>
              <w:spacing w:after="0"/>
              <w:rPr>
                <w:sz w:val="22"/>
                <w:szCs w:val="22"/>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Vested and expected to vest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461,118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0.21</w:t>
            </w:r>
          </w:p>
        </w:tc>
        <w:tc>
          <w:tcPr>
            <w:tcW w:w="920" w:type="dxa"/>
            <w:vAlign w:val="bottom"/>
          </w:tcPr>
          <w:p>
            <w:pPr>
              <w:spacing w:after="0"/>
              <w:rPr>
                <w:sz w:val="22"/>
                <w:szCs w:val="22"/>
                <w:color w:val="auto"/>
              </w:rPr>
            </w:pPr>
          </w:p>
        </w:tc>
      </w:tr>
      <w:tr>
        <w:trPr>
          <w:trHeight w:val="168"/>
        </w:trPr>
        <w:tc>
          <w:tcPr>
            <w:tcW w:w="1380" w:type="dxa"/>
            <w:vAlign w:val="bottom"/>
          </w:tcPr>
          <w:p>
            <w:pPr>
              <w:spacing w:after="0"/>
              <w:rPr>
                <w:sz w:val="14"/>
                <w:szCs w:val="14"/>
                <w:color w:val="auto"/>
              </w:rPr>
            </w:pPr>
          </w:p>
        </w:tc>
        <w:tc>
          <w:tcPr>
            <w:tcW w:w="4500" w:type="dxa"/>
            <w:vAlign w:val="bottom"/>
            <w:tcBorders>
              <w:top w:val="single" w:sz="8" w:color="CCFFCC"/>
            </w:tcBorders>
            <w:shd w:val="clear" w:color="auto" w:fill="CCFFCC"/>
          </w:tcPr>
          <w:p>
            <w:pPr>
              <w:spacing w:after="0"/>
              <w:rPr>
                <w:sz w:val="14"/>
                <w:szCs w:val="14"/>
                <w:color w:val="auto"/>
              </w:rPr>
            </w:pPr>
          </w:p>
        </w:tc>
        <w:tc>
          <w:tcPr>
            <w:tcW w:w="10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4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80" w:type="dxa"/>
            <w:vAlign w:val="bottom"/>
            <w:tcBorders>
              <w:top w:val="single" w:sz="8" w:color="CCFFCC"/>
              <w:right w:val="single" w:sz="8" w:color="CCFFCC"/>
            </w:tcBorders>
            <w:shd w:val="clear" w:color="auto" w:fill="CCFFCC"/>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1380" w:type="dxa"/>
            <w:vAlign w:val="bottom"/>
          </w:tcPr>
          <w:p>
            <w:pPr>
              <w:spacing w:after="0"/>
              <w:rPr>
                <w:sz w:val="18"/>
                <w:szCs w:val="18"/>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Options exercisable at the end of the period</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366,464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305,017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w:t>
            </w:r>
          </w:p>
        </w:tc>
        <w:tc>
          <w:tcPr>
            <w:tcW w:w="92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1360" w:right="20"/>
        <w:spacing w:after="0" w:line="264" w:lineRule="auto"/>
        <w:rPr>
          <w:sz w:val="20"/>
          <w:szCs w:val="20"/>
          <w:color w:val="auto"/>
        </w:rPr>
      </w:pPr>
      <w:r>
        <w:rPr>
          <w:rFonts w:ascii="Arial" w:cs="Arial" w:eastAsia="Arial" w:hAnsi="Arial"/>
          <w:sz w:val="16"/>
          <w:szCs w:val="16"/>
          <w:color w:val="auto"/>
        </w:rPr>
        <w:t>As of December 31, 2012, the weighted-average remaining contractual term of the outstanding and exercisable options is 7.098 years; the aggregate intrinsic value of outstanding options and exercisable options is $38 and $38 respectively. As of December 31, 2012, the unrecognized compensation cost is $ 11 and $ 1 to be recognized in 2013 and 2014, respectively.</w:t>
      </w:r>
    </w:p>
    <w:p>
      <w:pPr>
        <w:spacing w:after="0" w:line="162" w:lineRule="exact"/>
        <w:rPr>
          <w:sz w:val="20"/>
          <w:szCs w:val="20"/>
          <w:color w:val="auto"/>
        </w:rPr>
      </w:pPr>
    </w:p>
    <w:p>
      <w:pPr>
        <w:jc w:val="both"/>
        <w:ind w:left="1340" w:right="20"/>
        <w:spacing w:after="0" w:line="257" w:lineRule="auto"/>
        <w:rPr>
          <w:sz w:val="20"/>
          <w:szCs w:val="20"/>
          <w:color w:val="auto"/>
        </w:rPr>
      </w:pPr>
      <w:r>
        <w:rPr>
          <w:rFonts w:ascii="Arial" w:cs="Arial" w:eastAsia="Arial" w:hAnsi="Arial"/>
          <w:sz w:val="16"/>
          <w:szCs w:val="16"/>
          <w:color w:val="auto"/>
        </w:rPr>
        <w:t>In addition, the Company granted an employee the following: (a) Options to purchase 88,050 Ordinary shares granted in 2010, at an exercise price of $ 0.33 per share. The options will vest immediately prior to and subject to the event of a merger of the Company into another corporation; (b) Options to purchase 89,553 Ordinary shares granted in December 2012. The options will vest immediately prior to and subject to the earlier of: (i) the next round of equity financing of at list $5,000; (ii) the consummation of a merger, acquisition or sale of the securities of the Company; or (iii) the event of an Initial Public Offering of the Company's Ordinary shares (a "Transaction").</w:t>
      </w:r>
    </w:p>
    <w:p>
      <w:pPr>
        <w:spacing w:after="0" w:line="168" w:lineRule="exact"/>
        <w:rPr>
          <w:sz w:val="20"/>
          <w:szCs w:val="20"/>
          <w:color w:val="auto"/>
        </w:rPr>
      </w:pPr>
    </w:p>
    <w:p>
      <w:pPr>
        <w:jc w:val="both"/>
        <w:ind w:left="1340" w:right="20"/>
        <w:spacing w:after="0" w:line="277" w:lineRule="auto"/>
        <w:rPr>
          <w:sz w:val="20"/>
          <w:szCs w:val="20"/>
          <w:color w:val="auto"/>
        </w:rPr>
      </w:pPr>
      <w:r>
        <w:rPr>
          <w:rFonts w:ascii="Arial" w:cs="Arial" w:eastAsia="Arial" w:hAnsi="Arial"/>
          <w:sz w:val="16"/>
          <w:szCs w:val="16"/>
          <w:color w:val="auto"/>
        </w:rPr>
        <w:t>According to ASC-718-10-20, compensation cost will be recognized if the performance condition is satisfied. As of December 31, 2012, no compensation cost was recognized.</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340" w:right="20"/>
        <w:spacing w:after="0" w:line="282" w:lineRule="auto"/>
        <w:rPr>
          <w:sz w:val="20"/>
          <w:szCs w:val="20"/>
          <w:color w:val="auto"/>
        </w:rPr>
      </w:pPr>
      <w:r>
        <w:rPr>
          <w:rFonts w:ascii="Arial" w:cs="Arial" w:eastAsia="Arial" w:hAnsi="Arial"/>
          <w:sz w:val="15"/>
          <w:szCs w:val="15"/>
          <w:color w:val="auto"/>
        </w:rPr>
        <w:t>In addition, in December 2012, the Company granted a director the following options: (a) Options to purchase 89,553 Ordinary shares. The exercise price shall be the effective price determined in the course of the Transaction; (b) Options to purchase 22,388 Ordinary shares according to the 2010 Plan. The exercise price shall be the effective price determined in the course of the Transaction. The options will vest subject and upon initiation of phase III clinical studies. According to ASC-718-10-20, compensation cost will be recognized if the performance condition is satisfied.</w:t>
      </w:r>
    </w:p>
    <w:p>
      <w:pPr>
        <w:spacing w:after="0" w:line="150" w:lineRule="exact"/>
        <w:rPr>
          <w:sz w:val="20"/>
          <w:szCs w:val="20"/>
          <w:color w:val="auto"/>
        </w:rPr>
      </w:pPr>
    </w:p>
    <w:p>
      <w:pPr>
        <w:jc w:val="both"/>
        <w:ind w:left="1340" w:right="20"/>
        <w:spacing w:after="0" w:line="277" w:lineRule="auto"/>
        <w:rPr>
          <w:sz w:val="20"/>
          <w:szCs w:val="20"/>
          <w:color w:val="auto"/>
        </w:rPr>
      </w:pPr>
      <w:r>
        <w:rPr>
          <w:rFonts w:ascii="Arial" w:cs="Arial" w:eastAsia="Arial" w:hAnsi="Arial"/>
          <w:sz w:val="16"/>
          <w:szCs w:val="16"/>
          <w:color w:val="auto"/>
        </w:rPr>
        <w:t>According to ASC-718-10-55-83, grant date did not occur because the recipient did not begin to benefit from or be adversely affected by the changes in the price of the shares of the Company. As of December 31, 2012, no compensation cost was recognized.</w:t>
      </w:r>
    </w:p>
    <w:p>
      <w:pPr>
        <w:spacing w:after="0" w:line="152" w:lineRule="exact"/>
        <w:rPr>
          <w:sz w:val="20"/>
          <w:szCs w:val="20"/>
          <w:color w:val="auto"/>
        </w:rPr>
      </w:pPr>
    </w:p>
    <w:p>
      <w:pPr>
        <w:ind w:left="1340" w:hanging="443"/>
        <w:spacing w:after="0"/>
        <w:tabs>
          <w:tab w:leader="none" w:pos="1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Options granted to consultants:</w:t>
      </w:r>
    </w:p>
    <w:p>
      <w:pPr>
        <w:spacing w:after="0" w:line="200" w:lineRule="exact"/>
        <w:rPr>
          <w:rFonts w:ascii="Arial" w:cs="Arial" w:eastAsia="Arial" w:hAnsi="Arial"/>
          <w:sz w:val="16"/>
          <w:szCs w:val="16"/>
          <w:color w:val="auto"/>
        </w:rPr>
      </w:pPr>
    </w:p>
    <w:p>
      <w:pPr>
        <w:ind w:left="1360" w:right="2160"/>
        <w:spacing w:after="0" w:line="498" w:lineRule="auto"/>
        <w:rPr>
          <w:rFonts w:ascii="Arial" w:cs="Arial" w:eastAsia="Arial" w:hAnsi="Arial"/>
          <w:sz w:val="16"/>
          <w:szCs w:val="16"/>
          <w:color w:val="auto"/>
        </w:rPr>
      </w:pPr>
      <w:r>
        <w:rPr>
          <w:rFonts w:ascii="Arial" w:cs="Arial" w:eastAsia="Arial" w:hAnsi="Arial"/>
          <w:sz w:val="16"/>
          <w:szCs w:val="16"/>
          <w:color w:val="auto"/>
        </w:rPr>
        <w:t>The Company granted options to certain service providers and accounted for these options in accordance with ASC 505-50. The outstanding options granted to the Company's consultants are as follows:</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2"/>
          </w:tcPr>
          <w:p>
            <w:pPr>
              <w:jc w:val="right"/>
              <w:ind w:right="900"/>
              <w:spacing w:after="0"/>
              <w:rPr>
                <w:sz w:val="20"/>
                <w:szCs w:val="20"/>
                <w:color w:val="auto"/>
              </w:rPr>
            </w:pPr>
            <w:r>
              <w:rPr>
                <w:rFonts w:ascii="Arial" w:cs="Arial" w:eastAsia="Arial" w:hAnsi="Arial"/>
                <w:sz w:val="16"/>
                <w:szCs w:val="16"/>
                <w:b w:val="1"/>
                <w:bCs w:val="1"/>
                <w:color w:val="auto"/>
              </w:rPr>
              <w:t>Exercise</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40" w:type="dxa"/>
            <w:vAlign w:val="bottom"/>
            <w:gridSpan w:val="2"/>
          </w:tcPr>
          <w:p>
            <w:pPr>
              <w:ind w:left="840"/>
              <w:spacing w:after="0"/>
              <w:rPr>
                <w:sz w:val="20"/>
                <w:szCs w:val="20"/>
                <w:color w:val="auto"/>
              </w:rPr>
            </w:pPr>
            <w:r>
              <w:rPr>
                <w:rFonts w:ascii="Arial" w:cs="Arial" w:eastAsia="Arial" w:hAnsi="Arial"/>
                <w:sz w:val="16"/>
                <w:szCs w:val="16"/>
                <w:b w:val="1"/>
                <w:bCs w:val="1"/>
                <w:color w:val="auto"/>
              </w:rPr>
              <w:t>Grant date</w:t>
            </w:r>
          </w:p>
        </w:tc>
        <w:tc>
          <w:tcPr>
            <w:tcW w:w="186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 of options</w:t>
            </w:r>
          </w:p>
        </w:tc>
        <w:tc>
          <w:tcPr>
            <w:tcW w:w="180" w:type="dxa"/>
            <w:vAlign w:val="bottom"/>
          </w:tcPr>
          <w:p>
            <w:pPr>
              <w:spacing w:after="0"/>
              <w:rPr>
                <w:sz w:val="18"/>
                <w:szCs w:val="18"/>
                <w:color w:val="auto"/>
              </w:rPr>
            </w:pPr>
          </w:p>
        </w:tc>
        <w:tc>
          <w:tcPr>
            <w:tcW w:w="2140" w:type="dxa"/>
            <w:vAlign w:val="bottom"/>
            <w:gridSpan w:val="2"/>
          </w:tcPr>
          <w:p>
            <w:pPr>
              <w:jc w:val="right"/>
              <w:ind w:right="1000"/>
              <w:spacing w:after="0"/>
              <w:rPr>
                <w:sz w:val="20"/>
                <w:szCs w:val="20"/>
                <w:color w:val="auto"/>
              </w:rPr>
            </w:pPr>
            <w:r>
              <w:rPr>
                <w:rFonts w:ascii="Arial" w:cs="Arial" w:eastAsia="Arial" w:hAnsi="Arial"/>
                <w:sz w:val="16"/>
                <w:szCs w:val="16"/>
                <w:b w:val="1"/>
                <w:bCs w:val="1"/>
                <w:color w:val="auto"/>
              </w:rPr>
              <w:t>price</w:t>
            </w:r>
          </w:p>
        </w:tc>
        <w:tc>
          <w:tcPr>
            <w:tcW w:w="3020" w:type="dxa"/>
            <w:vAlign w:val="bottom"/>
            <w:gridSpan w:val="2"/>
          </w:tcPr>
          <w:p>
            <w:pPr>
              <w:ind w:left="960"/>
              <w:spacing w:after="0"/>
              <w:rPr>
                <w:sz w:val="20"/>
                <w:szCs w:val="20"/>
                <w:color w:val="auto"/>
              </w:rPr>
            </w:pPr>
            <w:r>
              <w:rPr>
                <w:rFonts w:ascii="Arial" w:cs="Arial" w:eastAsia="Arial" w:hAnsi="Arial"/>
                <w:sz w:val="16"/>
                <w:szCs w:val="16"/>
                <w:b w:val="1"/>
                <w:bCs w:val="1"/>
                <w:color w:val="auto"/>
              </w:rPr>
              <w:t>Expiration date</w:t>
            </w:r>
          </w:p>
        </w:tc>
        <w:tc>
          <w:tcPr>
            <w:tcW w:w="0" w:type="dxa"/>
            <w:vAlign w:val="bottom"/>
          </w:tcPr>
          <w:p>
            <w:pPr>
              <w:spacing w:after="0"/>
              <w:rPr>
                <w:sz w:val="1"/>
                <w:szCs w:val="1"/>
                <w:color w:val="auto"/>
              </w:rPr>
            </w:pPr>
          </w:p>
        </w:tc>
      </w:tr>
      <w:tr>
        <w:trPr>
          <w:trHeight w:val="184"/>
        </w:trPr>
        <w:tc>
          <w:tcPr>
            <w:tcW w:w="2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April 2, 2008</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58,700</w:t>
            </w:r>
          </w:p>
        </w:tc>
        <w:tc>
          <w:tcPr>
            <w:tcW w:w="232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April 2, 2018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February 28, 2010</w:t>
            </w:r>
          </w:p>
        </w:tc>
        <w:tc>
          <w:tcPr>
            <w:tcW w:w="1860" w:type="dxa"/>
            <w:vAlign w:val="bottom"/>
          </w:tcPr>
          <w:p>
            <w:pPr>
              <w:jc w:val="right"/>
              <w:spacing w:after="0"/>
              <w:rPr>
                <w:sz w:val="20"/>
                <w:szCs w:val="20"/>
                <w:color w:val="auto"/>
              </w:rPr>
            </w:pPr>
            <w:r>
              <w:rPr>
                <w:rFonts w:ascii="Arial" w:cs="Arial" w:eastAsia="Arial" w:hAnsi="Arial"/>
                <w:sz w:val="16"/>
                <w:szCs w:val="16"/>
                <w:color w:val="auto"/>
              </w:rPr>
              <w:t>8,805</w:t>
            </w:r>
          </w:p>
        </w:tc>
        <w:tc>
          <w:tcPr>
            <w:tcW w:w="2320" w:type="dxa"/>
            <w:vAlign w:val="bottom"/>
            <w:gridSpan w:val="3"/>
          </w:tcPr>
          <w:p>
            <w:pPr>
              <w:jc w:val="right"/>
              <w:ind w:right="200"/>
              <w:spacing w:after="0"/>
              <w:rPr>
                <w:sz w:val="20"/>
                <w:szCs w:val="20"/>
                <w:color w:val="auto"/>
              </w:rPr>
            </w:pPr>
            <w:r>
              <w:rPr>
                <w:rFonts w:ascii="Arial" w:cs="Arial" w:eastAsia="Arial" w:hAnsi="Arial"/>
                <w:sz w:val="16"/>
                <w:szCs w:val="16"/>
                <w:color w:val="auto"/>
              </w:rPr>
              <w:t>2.184</w:t>
            </w:r>
          </w:p>
        </w:tc>
        <w:tc>
          <w:tcPr>
            <w:tcW w:w="3000" w:type="dxa"/>
            <w:vAlign w:val="bottom"/>
          </w:tcPr>
          <w:p>
            <w:pPr>
              <w:jc w:val="right"/>
              <w:spacing w:after="0"/>
              <w:rPr>
                <w:sz w:val="20"/>
                <w:szCs w:val="20"/>
                <w:color w:val="auto"/>
              </w:rPr>
            </w:pPr>
            <w:r>
              <w:rPr>
                <w:rFonts w:ascii="Arial" w:cs="Arial" w:eastAsia="Arial" w:hAnsi="Arial"/>
                <w:sz w:val="16"/>
                <w:szCs w:val="16"/>
                <w:color w:val="auto"/>
              </w:rPr>
              <w:t>February 28,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February 13, 2011</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1,174</w:t>
            </w:r>
          </w:p>
        </w:tc>
        <w:tc>
          <w:tcPr>
            <w:tcW w:w="232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February 13,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40" w:type="dxa"/>
            <w:vAlign w:val="bottom"/>
            <w:tcBorders>
              <w:bottom w:val="single" w:sz="8" w:color="CCFFCC"/>
            </w:tcBorders>
            <w:gridSpan w:val="2"/>
          </w:tcPr>
          <w:p>
            <w:pPr>
              <w:ind w:left="40"/>
              <w:spacing w:after="0"/>
              <w:rPr>
                <w:sz w:val="20"/>
                <w:szCs w:val="20"/>
                <w:color w:val="auto"/>
              </w:rPr>
            </w:pPr>
            <w:r>
              <w:rPr>
                <w:rFonts w:ascii="Arial" w:cs="Arial" w:eastAsia="Arial" w:hAnsi="Arial"/>
                <w:sz w:val="16"/>
                <w:szCs w:val="16"/>
                <w:color w:val="auto"/>
              </w:rPr>
              <w:t>February 17, 2011</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3,804</w:t>
            </w:r>
          </w:p>
        </w:tc>
        <w:tc>
          <w:tcPr>
            <w:tcW w:w="2320" w:type="dxa"/>
            <w:vAlign w:val="bottom"/>
            <w:tcBorders>
              <w:bottom w:val="single" w:sz="8" w:color="CCFFCC"/>
            </w:tcBorders>
            <w:gridSpan w:val="3"/>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rPr>
              <w:t>February 17,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86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9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3000" w:type="dxa"/>
            <w:vAlign w:val="bottom"/>
            <w:shd w:val="clear" w:color="auto" w:fill="CCFFC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72,483*)</w:t>
            </w: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All options were fully vested on grant date.</w:t>
      </w:r>
    </w:p>
    <w:p>
      <w:pPr>
        <w:spacing w:after="0" w:line="200" w:lineRule="exact"/>
        <w:rPr>
          <w:sz w:val="20"/>
          <w:szCs w:val="20"/>
          <w:color w:val="auto"/>
        </w:rPr>
      </w:pPr>
    </w:p>
    <w:p>
      <w:pPr>
        <w:ind w:left="1340" w:hanging="443"/>
        <w:spacing w:after="0"/>
        <w:tabs>
          <w:tab w:leader="none" w:pos="1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Share-based payment:</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4"/>
          <w:szCs w:val="14"/>
          <w:color w:val="auto"/>
        </w:rPr>
        <w:t>The share based expense recognized in the financial statements for services received from employees and non-employees is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Period from February</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7, 2008 (date of</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3"/>
          </w:tcPr>
          <w:p>
            <w:pPr>
              <w:jc w:val="right"/>
              <w:ind w:right="503"/>
              <w:spacing w:after="0"/>
              <w:rPr>
                <w:sz w:val="20"/>
                <w:szCs w:val="20"/>
                <w:color w:val="auto"/>
              </w:rPr>
            </w:pPr>
            <w:r>
              <w:rPr>
                <w:rFonts w:ascii="Arial" w:cs="Arial" w:eastAsia="Arial" w:hAnsi="Arial"/>
                <w:sz w:val="16"/>
                <w:szCs w:val="16"/>
                <w:b w:val="1"/>
                <w:bCs w:val="1"/>
                <w:color w:val="auto"/>
                <w:w w:val="99"/>
              </w:rPr>
              <w:t>Year ended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inception) to</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gridSpan w:val="3"/>
          </w:tcPr>
          <w:p>
            <w:pPr>
              <w:jc w:val="right"/>
              <w:ind w:right="403"/>
              <w:spacing w:after="0"/>
              <w:rPr>
                <w:sz w:val="20"/>
                <w:szCs w:val="20"/>
                <w:color w:val="auto"/>
              </w:rPr>
            </w:pPr>
            <w:r>
              <w:rPr>
                <w:rFonts w:ascii="Arial" w:cs="Arial" w:eastAsia="Arial" w:hAnsi="Arial"/>
                <w:sz w:val="16"/>
                <w:szCs w:val="16"/>
                <w:b w:val="1"/>
                <w:bCs w:val="1"/>
                <w:color w:val="auto"/>
                <w:w w:val="92"/>
              </w:rPr>
              <w:t>December 31,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350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Research and development, net</w:t>
            </w:r>
          </w:p>
        </w:tc>
        <w:tc>
          <w:tcPr>
            <w:tcW w:w="250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483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80" w:type="dxa"/>
            <w:vAlign w:val="bottom"/>
          </w:tcPr>
          <w:p>
            <w:pPr>
              <w:spacing w:after="0"/>
              <w:rPr>
                <w:sz w:val="17"/>
                <w:szCs w:val="17"/>
                <w:color w:val="auto"/>
              </w:rPr>
            </w:pPr>
          </w:p>
        </w:tc>
        <w:tc>
          <w:tcPr>
            <w:tcW w:w="350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 expenses</w:t>
            </w: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84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1,535</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1,736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260" w:type="dxa"/>
            <w:vAlign w:val="bottom"/>
            <w:tcBorders>
              <w:top w:val="single" w:sz="8" w:color="CCFFCC"/>
            </w:tcBorders>
            <w:shd w:val="clear" w:color="auto" w:fill="CCFFCC"/>
          </w:tcPr>
          <w:p>
            <w:pPr>
              <w:spacing w:after="0"/>
              <w:rPr>
                <w:sz w:val="16"/>
                <w:szCs w:val="16"/>
                <w:color w:val="auto"/>
              </w:rPr>
            </w:pPr>
          </w:p>
        </w:tc>
        <w:tc>
          <w:tcPr>
            <w:tcW w:w="3240" w:type="dxa"/>
            <w:vAlign w:val="bottom"/>
            <w:tcBorders>
              <w:top w:val="single" w:sz="8" w:color="CCFFCC"/>
            </w:tcBorders>
            <w:shd w:val="clear" w:color="auto" w:fill="CCFFCC"/>
          </w:tcPr>
          <w:p>
            <w:pPr>
              <w:spacing w:after="0"/>
              <w:rPr>
                <w:sz w:val="16"/>
                <w:szCs w:val="16"/>
                <w:color w:val="auto"/>
              </w:rPr>
            </w:pPr>
          </w:p>
        </w:tc>
        <w:tc>
          <w:tcPr>
            <w:tcW w:w="166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80" w:type="dxa"/>
            <w:vAlign w:val="bottom"/>
            <w:tcBorders>
              <w:top w:val="single" w:sz="8" w:color="auto"/>
            </w:tcBorders>
            <w:shd w:val="clear" w:color="auto" w:fill="CCFFCC"/>
          </w:tcPr>
          <w:p>
            <w:pPr>
              <w:spacing w:after="0"/>
              <w:rPr>
                <w:sz w:val="16"/>
                <w:szCs w:val="16"/>
                <w:color w:val="auto"/>
              </w:rPr>
            </w:pPr>
          </w:p>
        </w:tc>
        <w:tc>
          <w:tcPr>
            <w:tcW w:w="13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1,553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2,219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3240" w:type="dxa"/>
            <w:vAlign w:val="bottom"/>
            <w:vMerge w:val="restart"/>
          </w:tcPr>
          <w:p>
            <w:pPr>
              <w:ind w:left="160"/>
              <w:spacing w:after="0"/>
              <w:rPr>
                <w:sz w:val="20"/>
                <w:szCs w:val="20"/>
                <w:color w:val="auto"/>
              </w:rPr>
            </w:pPr>
            <w:r>
              <w:rPr>
                <w:rFonts w:ascii="Arial" w:cs="Arial" w:eastAsia="Arial" w:hAnsi="Arial"/>
                <w:sz w:val="16"/>
                <w:szCs w:val="16"/>
                <w:color w:val="auto"/>
              </w:rPr>
              <w:t>Represents an amount lower than $ 1.</w:t>
            </w:r>
          </w:p>
        </w:tc>
        <w:tc>
          <w:tcPr>
            <w:tcW w:w="1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1640" w:type="dxa"/>
            <w:vAlign w:val="bottom"/>
            <w:gridSpan w:val="2"/>
            <w:vMerge w:val="continue"/>
          </w:tcPr>
          <w:p>
            <w:pPr>
              <w:spacing w:after="0"/>
              <w:rPr>
                <w:sz w:val="24"/>
                <w:szCs w:val="24"/>
                <w:color w:val="auto"/>
              </w:rPr>
            </w:pPr>
          </w:p>
        </w:tc>
        <w:tc>
          <w:tcPr>
            <w:tcW w:w="324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440"/>
              <w:spacing w:after="0"/>
              <w:rPr>
                <w:sz w:val="20"/>
                <w:szCs w:val="20"/>
                <w:color w:val="auto"/>
              </w:rPr>
            </w:pPr>
            <w:r>
              <w:rPr>
                <w:rFonts w:ascii="Arial" w:cs="Arial" w:eastAsia="Arial" w:hAnsi="Arial"/>
                <w:sz w:val="16"/>
                <w:szCs w:val="16"/>
                <w:color w:val="auto"/>
              </w:rPr>
              <w:t>F-21</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0" w:right="2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jc w:val="center"/>
        <w:ind w:right="6700"/>
        <w:spacing w:after="0"/>
        <w:rPr>
          <w:sz w:val="20"/>
          <w:szCs w:val="20"/>
          <w:color w:val="auto"/>
        </w:rPr>
      </w:pPr>
      <w:r>
        <w:rPr>
          <w:rFonts w:ascii="Arial" w:cs="Arial" w:eastAsia="Arial" w:hAnsi="Arial"/>
          <w:sz w:val="15"/>
          <w:szCs w:val="15"/>
          <w:b w:val="1"/>
          <w:bCs w:val="1"/>
          <w:color w:val="auto"/>
        </w:rPr>
        <w:t>NOTE 10:- RELATED PARTY BALANCES AND TRANSACTIONS</w:t>
      </w:r>
    </w:p>
    <w:p>
      <w:pPr>
        <w:spacing w:after="0" w:line="21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Balances with related parties: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6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Convertible Notes (e)</w:t>
            </w:r>
          </w:p>
        </w:tc>
        <w:tc>
          <w:tcPr>
            <w:tcW w:w="1420" w:type="dxa"/>
            <w:vAlign w:val="bottom"/>
            <w:shd w:val="clear" w:color="auto" w:fill="CCFFCC"/>
          </w:tcPr>
          <w:p>
            <w:pPr>
              <w:jc w:val="center"/>
              <w:ind w:right="126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610</w:t>
            </w:r>
          </w:p>
        </w:tc>
        <w:tc>
          <w:tcPr>
            <w:tcW w:w="620" w:type="dxa"/>
            <w:vAlign w:val="bottom"/>
            <w:shd w:val="clear" w:color="auto" w:fill="CCFFCC"/>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FFCC"/>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Other accounts payable (c)</w:t>
            </w:r>
          </w:p>
        </w:tc>
        <w:tc>
          <w:tcPr>
            <w:tcW w:w="1420" w:type="dxa"/>
            <w:vAlign w:val="bottom"/>
            <w:shd w:val="clear" w:color="auto" w:fill="CCFFCC"/>
          </w:tcPr>
          <w:p>
            <w:pPr>
              <w:jc w:val="center"/>
              <w:ind w:right="126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21</w:t>
            </w:r>
          </w:p>
        </w:tc>
        <w:tc>
          <w:tcPr>
            <w:tcW w:w="620" w:type="dxa"/>
            <w:vAlign w:val="bottom"/>
            <w:shd w:val="clear" w:color="auto" w:fill="CCFFCC"/>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FFCC"/>
              <w:bottom w:val="single" w:sz="8" w:color="CCFFCC"/>
            </w:tcBorders>
            <w:gridSpan w:val="2"/>
            <w:vMerge w:val="restart"/>
          </w:tcPr>
          <w:p>
            <w:pPr>
              <w:ind w:left="100"/>
              <w:spacing w:after="0"/>
              <w:rPr>
                <w:sz w:val="20"/>
                <w:szCs w:val="20"/>
                <w:color w:val="auto"/>
              </w:rPr>
            </w:pPr>
            <w:r>
              <w:rPr>
                <w:rFonts w:ascii="Arial" w:cs="Arial" w:eastAsia="Arial" w:hAnsi="Arial"/>
                <w:sz w:val="16"/>
                <w:szCs w:val="16"/>
                <w:color w:val="auto"/>
              </w:rPr>
              <w:t>Related parties' expenses:</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536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60" w:type="dxa"/>
            <w:vAlign w:val="bottom"/>
            <w:gridSpan w:val="2"/>
            <w:vMerge w:val="restart"/>
          </w:tcPr>
          <w:p>
            <w:pPr>
              <w:ind w:left="40"/>
              <w:spacing w:after="0"/>
              <w:rPr>
                <w:sz w:val="20"/>
                <w:szCs w:val="20"/>
                <w:color w:val="auto"/>
              </w:rPr>
            </w:pPr>
            <w:r>
              <w:rPr>
                <w:rFonts w:ascii="Arial" w:cs="Arial" w:eastAsia="Arial" w:hAnsi="Arial"/>
                <w:sz w:val="16"/>
                <w:szCs w:val="16"/>
                <w:color w:val="auto"/>
              </w:rPr>
              <w:t>Amounts charged to: *)</w:t>
            </w: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36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FFCC"/>
          </w:tcPr>
          <w:p>
            <w:pPr>
              <w:spacing w:after="0"/>
              <w:rPr>
                <w:sz w:val="16"/>
                <w:szCs w:val="16"/>
                <w:color w:val="auto"/>
              </w:rPr>
            </w:pPr>
          </w:p>
        </w:tc>
        <w:tc>
          <w:tcPr>
            <w:tcW w:w="1420" w:type="dxa"/>
            <w:vAlign w:val="bottom"/>
            <w:shd w:val="clear" w:color="auto" w:fill="CCFFCC"/>
          </w:tcPr>
          <w:p>
            <w:pPr>
              <w:spacing w:after="0"/>
              <w:rPr>
                <w:sz w:val="16"/>
                <w:szCs w:val="16"/>
                <w:color w:val="auto"/>
              </w:rPr>
            </w:pPr>
          </w:p>
        </w:tc>
        <w:tc>
          <w:tcPr>
            <w:tcW w:w="800" w:type="dxa"/>
            <w:vAlign w:val="bottom"/>
            <w:gridSpan w:val="2"/>
            <w:shd w:val="clear" w:color="auto" w:fill="CCFFCC"/>
          </w:tcPr>
          <w:p>
            <w:pPr>
              <w:spacing w:after="0"/>
              <w:rPr>
                <w:sz w:val="16"/>
                <w:szCs w:val="16"/>
                <w:color w:val="auto"/>
              </w:rPr>
            </w:pPr>
          </w:p>
        </w:tc>
        <w:tc>
          <w:tcPr>
            <w:tcW w:w="620" w:type="dxa"/>
            <w:vAlign w:val="bottom"/>
            <w:shd w:val="clear" w:color="auto" w:fill="CCFFCC"/>
          </w:tcPr>
          <w:p>
            <w:pPr>
              <w:spacing w:after="0"/>
              <w:rPr>
                <w:sz w:val="16"/>
                <w:szCs w:val="16"/>
                <w:color w:val="auto"/>
              </w:rPr>
            </w:pPr>
          </w:p>
        </w:tc>
        <w:tc>
          <w:tcPr>
            <w:tcW w:w="1520" w:type="dxa"/>
            <w:vAlign w:val="bottom"/>
            <w:gridSpan w:val="2"/>
            <w:shd w:val="clear" w:color="auto" w:fill="CCFFCC"/>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 expense (a) (b) (c) (d)</w:t>
            </w:r>
          </w:p>
        </w:tc>
        <w:tc>
          <w:tcPr>
            <w:tcW w:w="1420" w:type="dxa"/>
            <w:vAlign w:val="bottom"/>
          </w:tcPr>
          <w:p>
            <w:pPr>
              <w:jc w:val="center"/>
              <w:ind w:right="12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401</w:t>
            </w:r>
          </w:p>
        </w:tc>
        <w:tc>
          <w:tcPr>
            <w:tcW w:w="180" w:type="dxa"/>
            <w:vAlign w:val="bottom"/>
          </w:tcPr>
          <w:p>
            <w:pPr>
              <w:spacing w:after="0"/>
              <w:rPr>
                <w:sz w:val="22"/>
                <w:szCs w:val="22"/>
                <w:color w:val="auto"/>
              </w:rPr>
            </w:pPr>
          </w:p>
        </w:tc>
        <w:tc>
          <w:tcPr>
            <w:tcW w:w="620" w:type="dxa"/>
            <w:vAlign w:val="bottom"/>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1,786</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40" w:type="dxa"/>
            <w:vAlign w:val="bottom"/>
            <w:tcBorders>
              <w:top w:val="single" w:sz="8" w:color="CCFFCC"/>
            </w:tcBorders>
            <w:shd w:val="clear" w:color="auto" w:fill="CCFFCC"/>
          </w:tcPr>
          <w:p>
            <w:pPr>
              <w:spacing w:after="0"/>
              <w:rPr>
                <w:sz w:val="14"/>
                <w:szCs w:val="14"/>
                <w:color w:val="auto"/>
              </w:rPr>
            </w:pPr>
          </w:p>
        </w:tc>
        <w:tc>
          <w:tcPr>
            <w:tcW w:w="4720" w:type="dxa"/>
            <w:vAlign w:val="bottom"/>
            <w:tcBorders>
              <w:top w:val="single" w:sz="8" w:color="CCFFCC"/>
            </w:tcBorders>
            <w:shd w:val="clear" w:color="auto" w:fill="CCFFCC"/>
          </w:tcPr>
          <w:p>
            <w:pPr>
              <w:spacing w:after="0"/>
              <w:rPr>
                <w:sz w:val="14"/>
                <w:szCs w:val="14"/>
                <w:color w:val="auto"/>
              </w:rPr>
            </w:pPr>
          </w:p>
        </w:tc>
        <w:tc>
          <w:tcPr>
            <w:tcW w:w="1420" w:type="dxa"/>
            <w:vAlign w:val="bottom"/>
            <w:tcBorders>
              <w:top w:val="single" w:sz="8" w:color="auto"/>
            </w:tcBorders>
            <w:shd w:val="clear" w:color="auto" w:fill="CCFFCC"/>
          </w:tcPr>
          <w:p>
            <w:pPr>
              <w:spacing w:after="0"/>
              <w:rPr>
                <w:sz w:val="14"/>
                <w:szCs w:val="14"/>
                <w:color w:val="auto"/>
              </w:rPr>
            </w:pPr>
          </w:p>
        </w:tc>
        <w:tc>
          <w:tcPr>
            <w:tcW w:w="6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620" w:type="dxa"/>
            <w:vAlign w:val="bottom"/>
            <w:tcBorders>
              <w:top w:val="single" w:sz="8" w:color="auto"/>
            </w:tcBorders>
            <w:shd w:val="clear" w:color="auto" w:fill="CCFFCC"/>
          </w:tcPr>
          <w:p>
            <w:pPr>
              <w:spacing w:after="0"/>
              <w:rPr>
                <w:sz w:val="14"/>
                <w:szCs w:val="14"/>
                <w:color w:val="auto"/>
              </w:rPr>
            </w:pPr>
          </w:p>
        </w:tc>
        <w:tc>
          <w:tcPr>
            <w:tcW w:w="142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Financial expense (e)</w:t>
            </w:r>
          </w:p>
        </w:tc>
        <w:tc>
          <w:tcPr>
            <w:tcW w:w="1420" w:type="dxa"/>
            <w:vAlign w:val="bottom"/>
          </w:tcPr>
          <w:p>
            <w:pPr>
              <w:jc w:val="center"/>
              <w:ind w:right="12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620" w:type="dxa"/>
            <w:vAlign w:val="bottom"/>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40" w:type="dxa"/>
            <w:vAlign w:val="bottom"/>
          </w:tcPr>
          <w:p>
            <w:pPr>
              <w:ind w:left="340"/>
              <w:spacing w:after="0"/>
              <w:rPr>
                <w:sz w:val="20"/>
                <w:szCs w:val="20"/>
                <w:color w:val="auto"/>
              </w:rPr>
            </w:pPr>
            <w:r>
              <w:rPr>
                <w:rFonts w:ascii="Arial" w:cs="Arial" w:eastAsia="Arial" w:hAnsi="Arial"/>
                <w:sz w:val="16"/>
                <w:szCs w:val="16"/>
                <w:color w:val="auto"/>
              </w:rPr>
              <w:t>*)</w:t>
            </w:r>
          </w:p>
        </w:tc>
        <w:tc>
          <w:tcPr>
            <w:tcW w:w="9400" w:type="dxa"/>
            <w:vAlign w:val="bottom"/>
            <w:gridSpan w:val="8"/>
          </w:tcPr>
          <w:p>
            <w:pPr>
              <w:jc w:val="center"/>
              <w:ind w:left="80"/>
              <w:spacing w:after="0"/>
              <w:rPr>
                <w:sz w:val="20"/>
                <w:szCs w:val="20"/>
                <w:color w:val="auto"/>
              </w:rPr>
            </w:pPr>
            <w:r>
              <w:rPr>
                <w:rFonts w:ascii="Arial" w:cs="Arial" w:eastAsia="Arial" w:hAnsi="Arial"/>
                <w:sz w:val="16"/>
                <w:szCs w:val="16"/>
                <w:color w:val="auto"/>
                <w:w w:val="97"/>
              </w:rPr>
              <w:t>Including share based compensation expenses for the years ended December 31, 2012 and 2011 in the amounts of $ 26 and $ 1,394,</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720" w:type="dxa"/>
            <w:vAlign w:val="bottom"/>
          </w:tcPr>
          <w:p>
            <w:pPr>
              <w:ind w:left="160"/>
              <w:spacing w:after="0"/>
              <w:rPr>
                <w:sz w:val="20"/>
                <w:szCs w:val="20"/>
                <w:color w:val="auto"/>
              </w:rPr>
            </w:pPr>
            <w:r>
              <w:rPr>
                <w:rFonts w:ascii="Arial" w:cs="Arial" w:eastAsia="Arial" w:hAnsi="Arial"/>
                <w:sz w:val="16"/>
                <w:szCs w:val="16"/>
                <w:color w:val="auto"/>
              </w:rPr>
              <w:t>respectively.</w:t>
            </w: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340" w:right="20" w:hanging="443"/>
        <w:spacing w:after="0" w:line="277" w:lineRule="auto"/>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On March 1, 2008, the Company signed an agreement with a consultant, who is also one of the Company's shareholders and directors, as a contractor to render management, finance and operation services. The Company pays the consultant an amount of $ 7 per month.</w:t>
      </w:r>
    </w:p>
    <w:p>
      <w:pPr>
        <w:spacing w:after="0" w:line="151" w:lineRule="exact"/>
        <w:rPr>
          <w:rFonts w:ascii="Arial" w:cs="Arial" w:eastAsia="Arial" w:hAnsi="Arial"/>
          <w:sz w:val="16"/>
          <w:szCs w:val="16"/>
          <w:color w:val="auto"/>
        </w:rPr>
      </w:pPr>
    </w:p>
    <w:p>
      <w:pPr>
        <w:jc w:val="both"/>
        <w:ind w:left="1340" w:right="20" w:hanging="443"/>
        <w:spacing w:after="0" w:line="264" w:lineRule="auto"/>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61" w:lineRule="exact"/>
        <w:rPr>
          <w:rFonts w:ascii="Arial" w:cs="Arial" w:eastAsia="Arial" w:hAnsi="Arial"/>
          <w:sz w:val="16"/>
          <w:szCs w:val="16"/>
          <w:color w:val="auto"/>
        </w:rPr>
      </w:pPr>
    </w:p>
    <w:p>
      <w:pPr>
        <w:ind w:left="1340" w:right="20" w:hanging="443"/>
        <w:spacing w:after="0" w:line="277" w:lineRule="auto"/>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 agreement was signed on June 2, 2011 between the Company and one its shareholders, as a contractor to render services related to pre clinical, clinical, regulatory and intellectual property issues, for an amount of approximately $ 3 per month.</w:t>
      </w:r>
    </w:p>
    <w:p>
      <w:pPr>
        <w:spacing w:after="0" w:line="151" w:lineRule="exact"/>
        <w:rPr>
          <w:rFonts w:ascii="Arial" w:cs="Arial" w:eastAsia="Arial" w:hAnsi="Arial"/>
          <w:sz w:val="16"/>
          <w:szCs w:val="16"/>
          <w:color w:val="auto"/>
        </w:rPr>
      </w:pPr>
    </w:p>
    <w:p>
      <w:pPr>
        <w:jc w:val="both"/>
        <w:ind w:left="1340" w:right="20" w:hanging="443"/>
        <w:spacing w:after="0" w:line="319" w:lineRule="auto"/>
        <w:tabs>
          <w:tab w:leader="none" w:pos="1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cellular telephone.</w:t>
      </w:r>
    </w:p>
    <w:p>
      <w:pPr>
        <w:spacing w:after="0" w:line="126" w:lineRule="exact"/>
        <w:rPr>
          <w:rFonts w:ascii="Arial" w:cs="Arial" w:eastAsia="Arial" w:hAnsi="Arial"/>
          <w:sz w:val="14"/>
          <w:szCs w:val="14"/>
          <w:color w:val="auto"/>
        </w:rPr>
      </w:pPr>
    </w:p>
    <w:p>
      <w:pPr>
        <w:ind w:left="1340" w:hanging="443"/>
        <w:spacing w:after="0"/>
        <w:tabs>
          <w:tab w:leader="none" w:pos="134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One of the Company’s shareholders invested as part of the Company’s issuance of the Convertible Notes with terms as described in Note 6(b).</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gridSpan w:val="7"/>
          </w:tcPr>
          <w:p>
            <w:pPr>
              <w:jc w:val="right"/>
              <w:spacing w:after="0"/>
              <w:rPr>
                <w:sz w:val="20"/>
                <w:szCs w:val="20"/>
                <w:color w:val="auto"/>
              </w:rPr>
            </w:pPr>
            <w:r>
              <w:rPr>
                <w:rFonts w:ascii="Arial" w:cs="Arial" w:eastAsia="Arial" w:hAnsi="Arial"/>
                <w:sz w:val="16"/>
                <w:szCs w:val="16"/>
                <w:b w:val="1"/>
                <w:bCs w:val="1"/>
                <w:color w:val="auto"/>
                <w:w w:val="99"/>
              </w:rPr>
              <w:t>(A development stage company)</w:t>
            </w:r>
          </w:p>
        </w:tc>
        <w:tc>
          <w:tcPr>
            <w:tcW w:w="0" w:type="dxa"/>
            <w:vAlign w:val="bottom"/>
          </w:tcPr>
          <w:p>
            <w:pPr>
              <w:spacing w:after="0"/>
              <w:rPr>
                <w:sz w:val="1"/>
                <w:szCs w:val="1"/>
                <w:color w:val="auto"/>
              </w:rPr>
            </w:pPr>
          </w:p>
        </w:tc>
      </w:tr>
      <w:tr>
        <w:trPr>
          <w:trHeight w:val="384"/>
        </w:trPr>
        <w:tc>
          <w:tcPr>
            <w:tcW w:w="6260" w:type="dxa"/>
            <w:vAlign w:val="bottom"/>
            <w:gridSpan w:val="2"/>
          </w:tcPr>
          <w:p>
            <w:pPr>
              <w:spacing w:after="0"/>
              <w:rPr>
                <w:sz w:val="20"/>
                <w:szCs w:val="20"/>
                <w:color w:val="auto"/>
              </w:rPr>
            </w:pPr>
            <w:r>
              <w:rPr>
                <w:rFonts w:ascii="Arial" w:cs="Arial" w:eastAsia="Arial" w:hAnsi="Arial"/>
                <w:sz w:val="16"/>
                <w:szCs w:val="16"/>
                <w:b w:val="1"/>
                <w:bCs w:val="1"/>
                <w:color w:val="auto"/>
              </w:rPr>
              <w:t>NOTE 11:- FINANCIAL EXPENSES, NET</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3"/>
              </w:rPr>
              <w:t>February 7, 2008</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3"/>
          </w:tcPr>
          <w:p>
            <w:pPr>
              <w:jc w:val="right"/>
              <w:ind w:right="743"/>
              <w:spacing w:after="0"/>
              <w:rPr>
                <w:sz w:val="20"/>
                <w:szCs w:val="20"/>
                <w:color w:val="auto"/>
              </w:rPr>
            </w:pPr>
            <w:r>
              <w:rPr>
                <w:rFonts w:ascii="Arial" w:cs="Arial" w:eastAsia="Arial" w:hAnsi="Arial"/>
                <w:sz w:val="16"/>
                <w:szCs w:val="16"/>
                <w:b w:val="1"/>
                <w:bCs w:val="1"/>
                <w:color w:val="auto"/>
              </w:rPr>
              <w:t>Year ended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0"/>
              </w:rPr>
              <w:t>(date of inception)</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6"/>
                <w:szCs w:val="16"/>
                <w:b w:val="1"/>
                <w:bCs w:val="1"/>
                <w:color w:val="auto"/>
                <w:w w:val="97"/>
              </w:rPr>
              <w:t>December 31,</w:t>
            </w:r>
          </w:p>
        </w:tc>
        <w:tc>
          <w:tcPr>
            <w:tcW w:w="3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88"/>
              </w:rPr>
              <w:t>to December 31,</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bottom w:val="single" w:sz="8" w:color="CCFFCC"/>
            </w:tcBorders>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CCFFCC"/>
            </w:tcBorders>
          </w:tcPr>
          <w:p>
            <w:pPr>
              <w:spacing w:after="0"/>
              <w:rPr>
                <w:sz w:val="16"/>
                <w:szCs w:val="16"/>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2011</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Borders>
              <w:bottom w:val="single" w:sz="8" w:color="CCFFCC"/>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expenses:</w:t>
            </w:r>
          </w:p>
        </w:tc>
        <w:tc>
          <w:tcPr>
            <w:tcW w:w="96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13</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Exchange rate</w:t>
            </w:r>
          </w:p>
        </w:tc>
        <w:tc>
          <w:tcPr>
            <w:tcW w:w="96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w:t>
            </w:r>
          </w:p>
        </w:tc>
        <w:tc>
          <w:tcPr>
            <w:tcW w:w="1000" w:type="dxa"/>
            <w:vAlign w:val="bottom"/>
            <w:shd w:val="clear" w:color="auto" w:fill="CCFFCC"/>
          </w:tcPr>
          <w:p>
            <w:pPr>
              <w:spacing w:after="0"/>
              <w:rPr>
                <w:sz w:val="16"/>
                <w:szCs w:val="16"/>
                <w:color w:val="auto"/>
              </w:rPr>
            </w:pPr>
          </w:p>
        </w:tc>
        <w:tc>
          <w:tcPr>
            <w:tcW w:w="50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41</w:t>
            </w: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Interest on convertible notes</w:t>
            </w: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52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107</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80</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222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rPr>
              <w:t>Financial income:</w:t>
            </w: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78</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196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12:- BASIC AND DILUTED NET LOSS PER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2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the computation of the Company's basic and diluted net loss per share of Ordinary share:</w:t>
      </w:r>
    </w:p>
    <w:p>
      <w:pPr>
        <w:spacing w:after="0" w:line="38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Net loss attributable to Ordinary shares as reported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(1,579)</w:t>
            </w:r>
          </w:p>
        </w:tc>
        <w:tc>
          <w:tcPr>
            <w:tcW w:w="54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Shares used in computing net loss per share of Ordinary shares, basic and diluted</w:t>
            </w:r>
          </w:p>
        </w:tc>
        <w:tc>
          <w:tcPr>
            <w:tcW w:w="3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7,791,932</w:t>
            </w:r>
          </w:p>
        </w:tc>
        <w:tc>
          <w:tcPr>
            <w:tcW w:w="14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7,843,388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Net loss per share of Ordinary share, basic and diluted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(0.2)</w:t>
            </w:r>
          </w:p>
        </w:tc>
        <w:tc>
          <w:tcPr>
            <w:tcW w:w="54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580" w:right="240"/>
        <w:spacing w:after="0" w:line="277" w:lineRule="auto"/>
        <w:rPr>
          <w:sz w:val="20"/>
          <w:szCs w:val="20"/>
          <w:color w:val="auto"/>
        </w:rPr>
      </w:pPr>
      <w:r>
        <w:rPr>
          <w:rFonts w:ascii="Arial" w:cs="Arial" w:eastAsia="Arial" w:hAnsi="Arial"/>
          <w:sz w:val="16"/>
          <w:szCs w:val="16"/>
          <w:color w:val="auto"/>
        </w:rPr>
        <w:t>For the years ended December 31, 2012 and 2011, all outstanding options and warrants have been excluded from the calculation of the diluted net loss per share since their effect was anti-dilutive.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SUBSEQUENT EVENTS</w:t>
      </w:r>
    </w:p>
    <w:p>
      <w:pPr>
        <w:spacing w:after="0" w:line="204" w:lineRule="exact"/>
        <w:rPr>
          <w:sz w:val="20"/>
          <w:szCs w:val="20"/>
          <w:color w:val="auto"/>
        </w:rPr>
      </w:pPr>
    </w:p>
    <w:p>
      <w:pPr>
        <w:ind w:left="1180" w:right="20" w:hanging="283"/>
        <w:spacing w:after="0" w:line="312" w:lineRule="auto"/>
        <w:tabs>
          <w:tab w:leader="none" w:pos="118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During March 2013, the Company’s shareholders resolved to amend the vesting term of 88,050 options granted to an employee in 2010, such that the options will also vest immediately prior to and subject to the completion of an initial public offering of the Company’s Ordinary shares. See also Note 9.</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t>NOTE 13:- SUBSEQUENT EVENTS (Cont.)</w:t>
      </w:r>
    </w:p>
    <w:p>
      <w:pPr>
        <w:spacing w:after="0" w:line="204" w:lineRule="exact"/>
        <w:rPr>
          <w:sz w:val="20"/>
          <w:szCs w:val="20"/>
          <w:color w:val="auto"/>
        </w:rPr>
      </w:pPr>
    </w:p>
    <w:p>
      <w:pPr>
        <w:ind w:left="1180" w:hanging="283"/>
        <w:spacing w:after="0" w:line="277"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During February 2013, the Company issued convertible promissory notes to certain investors for a total amount of $ 115. The terms of the convertible promissory notes are the same as the terms of the convertible promissory notes issued in 2012. For the terms see Note 6 (b).</w:t>
      </w:r>
    </w:p>
    <w:p>
      <w:pPr>
        <w:spacing w:after="0" w:line="151" w:lineRule="exact"/>
        <w:rPr>
          <w:rFonts w:ascii="Arial" w:cs="Arial" w:eastAsia="Arial" w:hAnsi="Arial"/>
          <w:sz w:val="16"/>
          <w:szCs w:val="16"/>
          <w:color w:val="auto"/>
        </w:rPr>
      </w:pPr>
    </w:p>
    <w:p>
      <w:pPr>
        <w:jc w:val="both"/>
        <w:ind w:left="1180" w:hanging="283"/>
        <w:spacing w:after="0" w:line="264"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During March 2013, the Company increased the monthly fee to be payable for its consultant who is also one of the Company's shareholders and directors to an amount of $ 12 (see also Note 10 (a)), and the monthly fee for its contractor who is also one of the Company's shareholders to an amount of $ 5 (see also Note 10 (c)). These amendments are subject to and effective upon the closing of initial public offering.</w:t>
      </w:r>
    </w:p>
    <w:p>
      <w:pPr>
        <w:spacing w:after="0" w:line="161" w:lineRule="exact"/>
        <w:rPr>
          <w:rFonts w:ascii="Arial" w:cs="Arial" w:eastAsia="Arial" w:hAnsi="Arial"/>
          <w:sz w:val="16"/>
          <w:szCs w:val="16"/>
          <w:color w:val="auto"/>
        </w:rPr>
      </w:pPr>
    </w:p>
    <w:p>
      <w:pPr>
        <w:ind w:left="1180" w:hanging="283"/>
        <w:spacing w:after="0"/>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During March 2013, the Company's general meeting resolved to increase the Company’s authorized shares to 50,000,000 Ordinary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118" w:name="page119"/>
    <w:bookmarkEnd w:id="118"/>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2,275,000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1489710</wp:posOffset>
            </wp:positionV>
            <wp:extent cx="181546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15465" cy="762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650875</wp:posOffset>
            </wp:positionV>
            <wp:extent cx="1365250" cy="442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65250" cy="44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173355</wp:posOffset>
            </wp:positionV>
            <wp:extent cx="181546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Aegis Capital Corp</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Sunrise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638810</wp:posOffset>
            </wp:positionV>
            <wp:extent cx="7261860" cy="22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1050290</wp:posOffset>
            </wp:positionV>
            <wp:extent cx="726186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6"/>
          <w:szCs w:val="16"/>
          <w:b w:val="1"/>
          <w:bCs w:val="1"/>
          <w:color w:val="auto"/>
        </w:rPr>
        <w:t>PART II</w:t>
      </w:r>
    </w:p>
    <w:p>
      <w:pPr>
        <w:spacing w:after="0" w:line="200"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Indemnification of Directors, Officers and Employees</w:t>
      </w:r>
    </w:p>
    <w:p>
      <w:pPr>
        <w:spacing w:after="0" w:line="204" w:lineRule="exact"/>
        <w:rPr>
          <w:sz w:val="20"/>
          <w:szCs w:val="20"/>
          <w:color w:val="auto"/>
        </w:rPr>
      </w:pPr>
    </w:p>
    <w:p>
      <w:pPr>
        <w:ind w:firstLine="360"/>
        <w:spacing w:after="0" w:line="256" w:lineRule="auto"/>
        <w:rPr>
          <w:sz w:val="20"/>
          <w:szCs w:val="20"/>
          <w:color w:val="auto"/>
        </w:rPr>
      </w:pPr>
      <w:r>
        <w:rPr>
          <w:rFonts w:ascii="Arial" w:cs="Arial" w:eastAsia="Arial" w:hAnsi="Arial"/>
          <w:sz w:val="16"/>
          <w:szCs w:val="16"/>
          <w:color w:val="auto"/>
        </w:rPr>
        <w:t>An Israeli company may indemnify an office holder in respect of certain liabilities either in advance of an event or following an event provided that a provision authorizing such indemnification is inserted in its articles of association. Our amended and restated articles of association contain such a provision.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 criteria determined by the board of directors as reasonable under the circumstances, and such undertaking must detail the abovementioned events and amount or criteria.</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a company may indemnify an office holder against the following liabilities incurred for acts performed as an office holder:</w:t>
      </w:r>
    </w:p>
    <w:p>
      <w:pPr>
        <w:spacing w:after="0" w:line="200" w:lineRule="exact"/>
        <w:rPr>
          <w:sz w:val="20"/>
          <w:szCs w:val="20"/>
          <w:color w:val="auto"/>
        </w:rPr>
      </w:pPr>
    </w:p>
    <w:p>
      <w:pPr>
        <w:ind w:left="580" w:right="140" w:hanging="296"/>
        <w:spacing w:after="0" w:line="257" w:lineRule="auto"/>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68" w:lineRule="exact"/>
        <w:rPr>
          <w:rFonts w:ascii="Arial" w:cs="Arial" w:eastAsia="Arial" w:hAnsi="Arial"/>
          <w:sz w:val="16"/>
          <w:szCs w:val="16"/>
          <w:color w:val="A6A6A6"/>
        </w:rPr>
      </w:pPr>
    </w:p>
    <w:p>
      <w:pPr>
        <w:jc w:val="both"/>
        <w:ind w:left="580" w:hanging="296"/>
        <w:spacing w:after="0" w:line="264" w:lineRule="auto"/>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 crime that does not require proof of criminal intent.</w:t>
      </w:r>
    </w:p>
    <w:p>
      <w:pPr>
        <w:spacing w:after="0" w:line="161" w:lineRule="exact"/>
        <w:rPr>
          <w:rFonts w:ascii="Arial" w:cs="Arial" w:eastAsia="Arial" w:hAnsi="Arial"/>
          <w:sz w:val="16"/>
          <w:szCs w:val="16"/>
          <w:color w:val="A6A6A6"/>
        </w:rPr>
      </w:pPr>
    </w:p>
    <w:p>
      <w:pPr>
        <w:ind w:left="580" w:hanging="296"/>
        <w:spacing w:after="0"/>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An Israeli company may insure a director or officer against the following liabilities incurred for acts performed as a director or officer: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a breach of duty of care to the Company or to a third party, including a breach arising out of the negligent conduct of an office holder;</w:t>
      </w:r>
    </w:p>
    <w:p>
      <w:pPr>
        <w:spacing w:after="0" w:line="200" w:lineRule="exact"/>
        <w:rPr>
          <w:rFonts w:ascii="Arial" w:cs="Arial" w:eastAsia="Arial" w:hAnsi="Arial"/>
          <w:sz w:val="16"/>
          <w:szCs w:val="16"/>
          <w:color w:val="A6A6A6"/>
        </w:rPr>
      </w:pPr>
    </w:p>
    <w:p>
      <w:pPr>
        <w:ind w:left="580" w:right="100" w:hanging="296"/>
        <w:spacing w:after="0" w:line="277" w:lineRule="auto"/>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a breach of duty of loyalty to the Company, provided the director or officer acted in good faith and had a reasonable basis to believe that the act would not prejudice the interests of the Company; and</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Financial liabilities imposed on the office holder for the benefit of a third party.</w:t>
      </w:r>
    </w:p>
    <w:p>
      <w:pPr>
        <w:spacing w:after="0" w:line="3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 Israeli company may not, however, indemnify or insure an office holder against any of the following:</w:t>
      </w:r>
    </w:p>
    <w:p>
      <w:pPr>
        <w:spacing w:after="0" w:line="200" w:lineRule="exact"/>
        <w:rPr>
          <w:sz w:val="20"/>
          <w:szCs w:val="20"/>
          <w:color w:val="auto"/>
        </w:rPr>
      </w:pPr>
    </w:p>
    <w:p>
      <w:pPr>
        <w:ind w:left="580" w:right="520" w:hanging="296"/>
        <w:spacing w:after="0" w:line="277" w:lineRule="auto"/>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 breach of duty of loyalty, except to the extent that the office holder acted in good faith and had a reasonable basis to believe that the act would not prejudice the Company;</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an act or omission committed with intent to derive unlawful personal benefit;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 fine, monetary sanction, penalty or forfeit levied against the office holder.</w:t>
      </w:r>
    </w:p>
    <w:p>
      <w:pPr>
        <w:spacing w:after="0" w:line="200" w:lineRule="exact"/>
        <w:rPr>
          <w:sz w:val="20"/>
          <w:szCs w:val="20"/>
          <w:color w:val="auto"/>
        </w:rPr>
      </w:pPr>
    </w:p>
    <w:p>
      <w:pPr>
        <w:ind w:right="40" w:firstLine="360"/>
        <w:spacing w:after="0" w:line="276" w:lineRule="auto"/>
        <w:rPr>
          <w:sz w:val="20"/>
          <w:szCs w:val="20"/>
          <w:color w:val="auto"/>
        </w:rPr>
      </w:pPr>
      <w:r>
        <w:rPr>
          <w:rFonts w:ascii="Arial" w:cs="Arial" w:eastAsia="Arial" w:hAnsi="Arial"/>
          <w:sz w:val="15"/>
          <w:szCs w:val="15"/>
          <w:color w:val="auto"/>
        </w:rPr>
        <w:t>Under the Israeli Companies Law, indemnification and insurance of office holders must be approved by our compensation committee, our Board of Directors and, in certain circumstances, by our shareholders. We have obtained directors' and officers' liability insurance for the benefit of our office holders and intend to continue to maintain such coverage and pay all premiums thereunder to the fullest extent permitted by the Israeli Companies Law. In addition, we have entered into indemnification agreements with each of our directors and officers providing them with indemnification for liabilities or expenses incurred as a result of acts performed by them in their capacity as our, or our subsidiaries', directors and officers. This indemnification is limited both in terms of amount and coverage. In the opinion of the SEC, however, indemnification of directors and office holders for liabilities arising under the Securities Act is against public policy and therefore unenforceable.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120" w:name="page121"/>
    <w:bookmarkEnd w:id="120"/>
    <w:p>
      <w:pPr>
        <w:spacing w:after="0"/>
        <w:tabs>
          <w:tab w:leader="none" w:pos="6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Recent Sales of Unregistered Securities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Set forth below are the sales of all securities by the Company since January 1, 2010.</w:t>
      </w:r>
    </w:p>
    <w:p>
      <w:pPr>
        <w:spacing w:after="0" w:line="200" w:lineRule="exact"/>
        <w:rPr>
          <w:sz w:val="20"/>
          <w:szCs w:val="20"/>
          <w:color w:val="auto"/>
        </w:rPr>
      </w:pPr>
    </w:p>
    <w:p>
      <w:pPr>
        <w:ind w:left="580" w:right="20" w:hanging="296"/>
        <w:spacing w:after="0" w:line="277" w:lineRule="auto"/>
        <w:tabs>
          <w:tab w:leader="none" w:pos="580" w:val="left"/>
        </w:tabs>
        <w:numPr>
          <w:ilvl w:val="0"/>
          <w:numId w:val="111"/>
        </w:numPr>
        <w:rPr>
          <w:rFonts w:ascii="Arial" w:cs="Arial" w:eastAsia="Arial" w:hAnsi="Arial"/>
          <w:sz w:val="16"/>
          <w:szCs w:val="16"/>
          <w:color w:val="A6A6A6"/>
        </w:rPr>
      </w:pPr>
      <w:r>
        <w:rPr>
          <w:rFonts w:ascii="Arial" w:cs="Arial" w:eastAsia="Arial" w:hAnsi="Arial"/>
          <w:sz w:val="16"/>
          <w:szCs w:val="16"/>
          <w:color w:val="auto"/>
        </w:rPr>
        <w:t>In February and August 2010 we issued an aggregate of 397,699 Series B1 preferred shares, convertible into ordinary shares on a one-for-one basis. The price per Series B1 preferred share was approximately $2.18 and the aggregate consideration received was approximately $869,000.</w:t>
      </w:r>
    </w:p>
    <w:p>
      <w:pPr>
        <w:spacing w:after="0" w:line="151" w:lineRule="exact"/>
        <w:rPr>
          <w:rFonts w:ascii="Arial" w:cs="Arial" w:eastAsia="Arial" w:hAnsi="Arial"/>
          <w:sz w:val="16"/>
          <w:szCs w:val="16"/>
          <w:color w:val="A6A6A6"/>
        </w:rPr>
      </w:pPr>
    </w:p>
    <w:p>
      <w:pPr>
        <w:ind w:left="560" w:right="140"/>
        <w:spacing w:after="0" w:line="277" w:lineRule="auto"/>
        <w:rPr>
          <w:rFonts w:ascii="Arial" w:cs="Arial" w:eastAsia="Arial" w:hAnsi="Arial"/>
          <w:sz w:val="16"/>
          <w:szCs w:val="16"/>
          <w:color w:val="A6A6A6"/>
        </w:rPr>
      </w:pPr>
      <w:r>
        <w:rPr>
          <w:rFonts w:ascii="Arial" w:cs="Arial" w:eastAsia="Arial" w:hAnsi="Arial"/>
          <w:sz w:val="16"/>
          <w:szCs w:val="16"/>
          <w:color w:val="auto"/>
        </w:rPr>
        <w:t>Additionally, in February 2010 we issued 128,512 Series B2 preferred shares, convertible into ordinary shares on a one-for-one basis. The price per Series B2 preferred share was approximately $1.75 and the aggregate consideration received was approximately $224,000.</w:t>
      </w:r>
    </w:p>
    <w:p>
      <w:pPr>
        <w:spacing w:after="0" w:line="151" w:lineRule="exact"/>
        <w:rPr>
          <w:rFonts w:ascii="Arial" w:cs="Arial" w:eastAsia="Arial" w:hAnsi="Arial"/>
          <w:sz w:val="16"/>
          <w:szCs w:val="16"/>
          <w:color w:val="A6A6A6"/>
        </w:rPr>
      </w:pPr>
    </w:p>
    <w:p>
      <w:pPr>
        <w:ind w:left="560" w:right="40"/>
        <w:spacing w:after="0" w:line="264" w:lineRule="auto"/>
        <w:rPr>
          <w:rFonts w:ascii="Arial" w:cs="Arial" w:eastAsia="Arial" w:hAnsi="Arial"/>
          <w:sz w:val="16"/>
          <w:szCs w:val="16"/>
          <w:color w:val="A6A6A6"/>
        </w:rPr>
      </w:pPr>
      <w:r>
        <w:rPr>
          <w:rFonts w:ascii="Arial" w:cs="Arial" w:eastAsia="Arial" w:hAnsi="Arial"/>
          <w:sz w:val="16"/>
          <w:szCs w:val="16"/>
          <w:color w:val="auto"/>
        </w:rPr>
        <w:t>In connection with the issuance of Series B1 preferred shares and Series B2 preferred shares, in February and August 2010 we issued warrants to purchase up to 129,257 Series B3 preferred shares, convertible into ordinary shares on a one-for-one basis, at an exercise price of $2.73 per share. As of the date of this registration statement, none of the warrants have been exercised.</w:t>
      </w:r>
    </w:p>
    <w:p>
      <w:pPr>
        <w:spacing w:after="0" w:line="161" w:lineRule="exact"/>
        <w:rPr>
          <w:rFonts w:ascii="Arial" w:cs="Arial" w:eastAsia="Arial" w:hAnsi="Arial"/>
          <w:sz w:val="16"/>
          <w:szCs w:val="16"/>
          <w:color w:val="A6A6A6"/>
        </w:rPr>
      </w:pPr>
    </w:p>
    <w:p>
      <w:pPr>
        <w:ind w:left="580" w:hanging="296"/>
        <w:spacing w:after="0"/>
        <w:tabs>
          <w:tab w:leader="none" w:pos="580" w:val="left"/>
        </w:tabs>
        <w:numPr>
          <w:ilvl w:val="0"/>
          <w:numId w:val="111"/>
        </w:numPr>
        <w:rPr>
          <w:rFonts w:ascii="Arial" w:cs="Arial" w:eastAsia="Arial" w:hAnsi="Arial"/>
          <w:sz w:val="15"/>
          <w:szCs w:val="15"/>
          <w:color w:val="A6A6A6"/>
        </w:rPr>
      </w:pPr>
      <w:r>
        <w:rPr>
          <w:rFonts w:ascii="Arial" w:cs="Arial" w:eastAsia="Arial" w:hAnsi="Arial"/>
          <w:sz w:val="15"/>
          <w:szCs w:val="15"/>
          <w:color w:val="auto"/>
        </w:rPr>
        <w:t>In March 2011 we issued 304,324 ordinary shares, at a price per share of approximately $11.5 and an aggregate consideration of approximately $3.5 million.</w:t>
      </w:r>
    </w:p>
    <w:p>
      <w:pPr>
        <w:spacing w:after="0" w:line="211" w:lineRule="exact"/>
        <w:rPr>
          <w:rFonts w:ascii="Arial" w:cs="Arial" w:eastAsia="Arial" w:hAnsi="Arial"/>
          <w:sz w:val="15"/>
          <w:szCs w:val="15"/>
          <w:color w:val="A6A6A6"/>
        </w:rPr>
      </w:pPr>
    </w:p>
    <w:p>
      <w:pPr>
        <w:jc w:val="both"/>
        <w:ind w:left="580" w:right="20" w:hanging="296"/>
        <w:spacing w:after="0" w:line="259" w:lineRule="auto"/>
        <w:tabs>
          <w:tab w:leader="none" w:pos="580" w:val="left"/>
        </w:tabs>
        <w:numPr>
          <w:ilvl w:val="0"/>
          <w:numId w:val="111"/>
        </w:numPr>
        <w:rPr>
          <w:rFonts w:ascii="Arial" w:cs="Arial" w:eastAsia="Arial" w:hAnsi="Arial"/>
          <w:sz w:val="16"/>
          <w:szCs w:val="16"/>
          <w:color w:val="A6A6A6"/>
        </w:rPr>
      </w:pPr>
      <w:r>
        <w:rPr>
          <w:rFonts w:ascii="Arial" w:cs="Arial" w:eastAsia="Arial" w:hAnsi="Arial"/>
          <w:sz w:val="16"/>
          <w:szCs w:val="16"/>
          <w:color w:val="auto"/>
        </w:rPr>
        <w:t>In July through November 2012 we issued convertible notes for an aggregate principal amount of $600,000. In February 2013 we issued to certain of our existing shareholders additional convertible notes for an aggregate principal amount of $115,000. According to the terms of the convertible notes, the total amount, bearing an annual interest rate of 6% shall be automatically converted into ordinary shares as of immediately following the closing of this offering, at a 25% discount from the initial public offering price.</w:t>
      </w:r>
    </w:p>
    <w:p>
      <w:pPr>
        <w:spacing w:after="0" w:line="167" w:lineRule="exact"/>
        <w:rPr>
          <w:sz w:val="20"/>
          <w:szCs w:val="20"/>
          <w:color w:val="auto"/>
        </w:rPr>
      </w:pPr>
    </w:p>
    <w:p>
      <w:pPr>
        <w:jc w:val="both"/>
        <w:ind w:right="160" w:firstLine="577"/>
        <w:spacing w:after="0" w:line="264" w:lineRule="auto"/>
        <w:rPr>
          <w:sz w:val="20"/>
          <w:szCs w:val="20"/>
          <w:color w:val="auto"/>
        </w:rPr>
      </w:pPr>
      <w:r>
        <w:rPr>
          <w:rFonts w:ascii="Arial" w:cs="Arial" w:eastAsia="Arial" w:hAnsi="Arial"/>
          <w:sz w:val="16"/>
          <w:szCs w:val="16"/>
          <w:color w:val="auto"/>
        </w:rPr>
        <w:t>The issuance of the above-referenced securities was exempt from registration under the Securities Act because it was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162" w:lineRule="exact"/>
        <w:rPr>
          <w:sz w:val="20"/>
          <w:szCs w:val="20"/>
          <w:color w:val="auto"/>
        </w:rPr>
      </w:pPr>
    </w:p>
    <w:p>
      <w:pPr>
        <w:jc w:val="both"/>
        <w:ind w:left="580" w:right="20" w:hanging="296"/>
        <w:spacing w:after="0" w:line="289" w:lineRule="auto"/>
        <w:tabs>
          <w:tab w:leader="none" w:pos="580" w:val="left"/>
        </w:tabs>
        <w:numPr>
          <w:ilvl w:val="0"/>
          <w:numId w:val="112"/>
        </w:numPr>
        <w:rPr>
          <w:rFonts w:ascii="Arial" w:cs="Arial" w:eastAsia="Arial" w:hAnsi="Arial"/>
          <w:sz w:val="15"/>
          <w:szCs w:val="15"/>
          <w:color w:val="A6A6A6"/>
        </w:rPr>
      </w:pPr>
      <w:r>
        <w:rPr>
          <w:rFonts w:ascii="Arial" w:cs="Arial" w:eastAsia="Arial" w:hAnsi="Arial"/>
          <w:sz w:val="15"/>
          <w:szCs w:val="15"/>
          <w:color w:val="auto"/>
        </w:rPr>
        <w:t>We granted options to employees, directors and consultants under our equity incentive plan covering an aggregate of 1,345,909 ordinary shares, with exercise prices ranging from $0.0005 to the initial public offering price per share. As of the date of this registration statement, 292,531 ordinary shares have been issued upon the exercise of these options; an additional amount of 288,933 options have been forfeited and cancelled without being exercised.</w:t>
      </w:r>
    </w:p>
    <w:p>
      <w:pPr>
        <w:spacing w:after="0" w:line="146" w:lineRule="exact"/>
        <w:rPr>
          <w:sz w:val="20"/>
          <w:szCs w:val="20"/>
          <w:color w:val="auto"/>
        </w:rPr>
      </w:pPr>
    </w:p>
    <w:p>
      <w:pPr>
        <w:ind w:right="460" w:firstLine="577"/>
        <w:spacing w:after="0" w:line="264" w:lineRule="auto"/>
        <w:rPr>
          <w:sz w:val="20"/>
          <w:szCs w:val="20"/>
          <w:color w:val="auto"/>
        </w:rPr>
      </w:pPr>
      <w:r>
        <w:rPr>
          <w:rFonts w:ascii="Arial" w:cs="Arial" w:eastAsia="Arial" w:hAnsi="Arial"/>
          <w:sz w:val="16"/>
          <w:szCs w:val="16"/>
          <w:color w:val="auto"/>
        </w:rPr>
        <w:t>The grant of such options, and the issuance of shares pursuant to exercise thereof, were exempt from registration under the Securities Act because they were made pursuant to Regulation S thereunder or pursuant to exemptions from registration provided under Section 4(a)(2) of the Securities Act and/or Rule 701 and the regulations promulgated thereunder.</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 underwriters were employed in connection with any of the securities issuances set forth in this Item 7.</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Exhibits and Financial Statement Schedules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2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8920" w:type="dxa"/>
            <w:vAlign w:val="bottom"/>
          </w:tcPr>
          <w:p>
            <w:pPr>
              <w:spacing w:after="0"/>
              <w:rPr>
                <w:sz w:val="18"/>
                <w:szCs w:val="18"/>
                <w:color w:val="auto"/>
              </w:rPr>
            </w:pPr>
          </w:p>
        </w:tc>
      </w:tr>
      <w:tr>
        <w:trPr>
          <w:trHeight w:val="368"/>
        </w:trPr>
        <w:tc>
          <w:tcPr>
            <w:tcW w:w="2520" w:type="dxa"/>
            <w:vAlign w:val="bottom"/>
            <w:gridSpan w:val="2"/>
          </w:tcPr>
          <w:p>
            <w:pPr>
              <w:ind w:left="580"/>
              <w:spacing w:after="0"/>
              <w:rPr>
                <w:sz w:val="20"/>
                <w:szCs w:val="20"/>
                <w:color w:val="auto"/>
              </w:rPr>
            </w:pPr>
            <w:r>
              <w:rPr>
                <w:rFonts w:ascii="Arial" w:cs="Arial" w:eastAsia="Arial" w:hAnsi="Arial"/>
                <w:sz w:val="16"/>
                <w:szCs w:val="16"/>
                <w:b w:val="1"/>
                <w:bCs w:val="1"/>
                <w:color w:val="auto"/>
              </w:rPr>
              <w:t>Exhibit</w:t>
            </w:r>
          </w:p>
        </w:tc>
        <w:tc>
          <w:tcPr>
            <w:tcW w:w="8920" w:type="dxa"/>
            <w:vAlign w:val="bottom"/>
          </w:tcPr>
          <w:p>
            <w:pPr>
              <w:spacing w:after="0"/>
              <w:rPr>
                <w:sz w:val="24"/>
                <w:szCs w:val="24"/>
                <w:color w:val="auto"/>
              </w:rPr>
            </w:pPr>
          </w:p>
        </w:tc>
      </w:tr>
      <w:tr>
        <w:trPr>
          <w:trHeight w:val="209"/>
        </w:trPr>
        <w:tc>
          <w:tcPr>
            <w:tcW w:w="2520" w:type="dxa"/>
            <w:vAlign w:val="bottom"/>
            <w:gridSpan w:val="2"/>
          </w:tcPr>
          <w:p>
            <w:pPr>
              <w:ind w:left="580"/>
              <w:spacing w:after="0"/>
              <w:rPr>
                <w:sz w:val="20"/>
                <w:szCs w:val="20"/>
                <w:color w:val="auto"/>
              </w:rPr>
            </w:pPr>
            <w:r>
              <w:rPr>
                <w:rFonts w:ascii="Arial" w:cs="Arial" w:eastAsia="Arial" w:hAnsi="Arial"/>
                <w:sz w:val="16"/>
                <w:szCs w:val="16"/>
                <w:b w:val="1"/>
                <w:bCs w:val="1"/>
                <w:color w:val="auto"/>
              </w:rPr>
              <w:t>Number</w:t>
            </w:r>
          </w:p>
        </w:tc>
        <w:tc>
          <w:tcPr>
            <w:tcW w:w="8920" w:type="dxa"/>
            <w:vAlign w:val="bottom"/>
          </w:tcPr>
          <w:p>
            <w:pPr>
              <w:ind w:left="3780"/>
              <w:spacing w:after="0"/>
              <w:rPr>
                <w:sz w:val="20"/>
                <w:szCs w:val="20"/>
                <w:color w:val="auto"/>
              </w:rPr>
            </w:pPr>
            <w:r>
              <w:rPr>
                <w:rFonts w:ascii="Arial" w:cs="Arial" w:eastAsia="Arial" w:hAnsi="Arial"/>
                <w:sz w:val="16"/>
                <w:szCs w:val="16"/>
                <w:b w:val="1"/>
                <w:bCs w:val="1"/>
                <w:color w:val="auto"/>
              </w:rPr>
              <w:t>Exhibit Description</w:t>
            </w:r>
          </w:p>
        </w:tc>
      </w:tr>
      <w:tr>
        <w:trPr>
          <w:trHeight w:val="376"/>
        </w:trPr>
        <w:tc>
          <w:tcPr>
            <w:tcW w:w="1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1.1*</w:t>
            </w:r>
          </w:p>
        </w:tc>
        <w:tc>
          <w:tcPr>
            <w:tcW w:w="800" w:type="dxa"/>
            <w:vAlign w:val="bottom"/>
          </w:tcPr>
          <w:p>
            <w:pPr>
              <w:spacing w:after="0"/>
              <w:rPr>
                <w:sz w:val="24"/>
                <w:szCs w:val="24"/>
                <w:color w:val="auto"/>
              </w:rPr>
            </w:pPr>
          </w:p>
        </w:tc>
        <w:tc>
          <w:tcPr>
            <w:tcW w:w="89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Form of Underwriting Agreement by and among the Company and the underwriters named therein.</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Amended and Restated Articles of Association of the Company, as currently in effect.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Articles of Association of the Company, to be in effect upon completion of this offering.</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Form of a Convertible Note.</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Form of Representative’s Warrant.</w:t>
            </w:r>
          </w:p>
        </w:tc>
      </w:tr>
      <w:tr>
        <w:trPr>
          <w:trHeight w:val="372"/>
        </w:trPr>
        <w:tc>
          <w:tcPr>
            <w:tcW w:w="1720" w:type="dxa"/>
            <w:vAlign w:val="bottom"/>
          </w:tcPr>
          <w:p>
            <w:pPr>
              <w:jc w:val="center"/>
              <w:spacing w:after="0"/>
              <w:rPr>
                <w:sz w:val="20"/>
                <w:szCs w:val="20"/>
                <w:color w:val="auto"/>
              </w:rPr>
            </w:pPr>
            <w:r>
              <w:rPr>
                <w:rFonts w:ascii="Arial" w:cs="Arial" w:eastAsia="Arial" w:hAnsi="Arial"/>
                <w:sz w:val="16"/>
                <w:szCs w:val="16"/>
                <w:color w:val="auto"/>
                <w:w w:val="98"/>
              </w:rPr>
              <w:t>5.1*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w w:val="98"/>
              </w:rPr>
              <w:t>Opinion of Zysman, Aharoni, Gayer &amp; Co., Israeli counsel to the Company, as to the validity of the ordinary shares being offered</w:t>
            </w:r>
          </w:p>
        </w:tc>
      </w:tr>
      <w:tr>
        <w:trPr>
          <w:trHeight w:val="205"/>
        </w:trPr>
        <w:tc>
          <w:tcPr>
            <w:tcW w:w="1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(including consent).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Consulting Agreement between the Company and Adler Consulting LLC, dated November 2010.</w:t>
            </w:r>
          </w:p>
        </w:tc>
      </w:tr>
      <w:tr>
        <w:trPr>
          <w:trHeight w:val="372"/>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w w:val="94"/>
              </w:rPr>
              <w:t>Addendum to Services Agreement between the Company and Top-Notch Consulting 2009 Ltd., dated June 1, 2010, and as an exhibit</w:t>
            </w:r>
          </w:p>
        </w:tc>
      </w:tr>
      <w:tr>
        <w:trPr>
          <w:trHeight w:val="205"/>
        </w:trPr>
        <w:tc>
          <w:tcPr>
            <w:tcW w:w="1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thereto, Services Agreement between the Company and Top-Notch Finance (2003) Ltd., dated March 1, 2008.</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Alcobra Ltd. 2010 Incentive Option Plan.</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Form of Indemnification Agreement.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Services Agreement between the Company and Ehud Gilboa, dated March 1, 2008.</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Addendum I to Services Agreement between the Company and Ehud Gilboa, dated March 14, 2013.</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Services Agreement between the Company and Dalia Megiddo, dated June 2, 2011.</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Addendum I to Services Agreement between the Company and Dalia Megiddo, dated March 14, 2013.</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Employment agreement between the Company and Yaron Daniely, dated March 4, 2010.</w:t>
            </w:r>
          </w:p>
        </w:tc>
      </w:tr>
      <w:tr>
        <w:trPr>
          <w:trHeight w:val="384"/>
        </w:trPr>
        <w:tc>
          <w:tcPr>
            <w:tcW w:w="2520" w:type="dxa"/>
            <w:vAlign w:val="bottom"/>
            <w:gridSpan w:val="2"/>
          </w:tcPr>
          <w:p>
            <w:pPr>
              <w:jc w:val="center"/>
              <w:ind w:right="800"/>
              <w:spacing w:after="0"/>
              <w:rPr>
                <w:sz w:val="20"/>
                <w:szCs w:val="20"/>
                <w:color w:val="auto"/>
              </w:rPr>
            </w:pPr>
            <w:r>
              <w:rPr>
                <w:rFonts w:ascii="Arial" w:cs="Arial" w:eastAsia="Arial" w:hAnsi="Arial"/>
                <w:sz w:val="16"/>
                <w:szCs w:val="16"/>
                <w:color w:val="auto"/>
                <w:w w:val="96"/>
              </w:rPr>
              <w:t>10.10* ∞</w:t>
            </w:r>
          </w:p>
        </w:tc>
        <w:tc>
          <w:tcPr>
            <w:tcW w:w="8920" w:type="dxa"/>
            <w:vAlign w:val="bottom"/>
          </w:tcPr>
          <w:p>
            <w:pPr>
              <w:spacing w:after="0"/>
              <w:rPr>
                <w:sz w:val="20"/>
                <w:szCs w:val="20"/>
                <w:color w:val="auto"/>
              </w:rPr>
            </w:pPr>
            <w:r>
              <w:rPr>
                <w:rFonts w:ascii="Arial" w:cs="Arial" w:eastAsia="Arial" w:hAnsi="Arial"/>
                <w:sz w:val="16"/>
                <w:szCs w:val="16"/>
                <w:color w:val="auto"/>
              </w:rPr>
              <w:t>Letter of Approval from the Office of Chief Scientist.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89"/>
              </w:rPr>
              <w:t>23.1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Consent of Kost Forer Gabbay &amp; Kasierer (a Member of Ernst &amp; Young Global).</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23.2*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Consent of Zysman, Aharoni, Gayer, &amp; Co. (included in Exhibit 5.1).</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24.1*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Power of Attorney (included on the signature page of the Registration Statement).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99.1*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Consent of Daniel E. Geffken (Director Nominee)</w:t>
            </w:r>
          </w:p>
        </w:tc>
      </w:tr>
    </w:tbl>
    <w:p>
      <w:pPr>
        <w:sectPr>
          <w:pgSz w:w="11900" w:h="16838" w:orient="portrait"/>
          <w:cols w:equalWidth="0" w:num="1">
            <w:col w:w="11440"/>
          </w:cols>
          <w:pgMar w:left="240" w:top="628" w:right="219" w:bottom="0" w:gutter="0" w:footer="0" w:header="0"/>
        </w:sectPr>
      </w:pPr>
    </w:p>
    <w:bookmarkStart w:id="121" w:name="page122"/>
    <w:bookmarkEnd w:id="121"/>
    <w:p>
      <w:pPr>
        <w:ind w:left="260"/>
        <w:spacing w:after="0"/>
        <w:tabs>
          <w:tab w:leader="none" w:pos="208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Consent of Howard B. Rosen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165735</wp:posOffset>
            </wp:positionV>
            <wp:extent cx="181546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 Previously filed.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English translation of original Hebrew document.</w:t>
      </w:r>
    </w:p>
    <w:p>
      <w:pPr>
        <w:spacing w:after="0" w:line="380"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20955</wp:posOffset>
            </wp:positionV>
            <wp:extent cx="726186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799"/>
          </w:cols>
          <w:pgMar w:left="660" w:top="319" w:right="1440"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color w:val="auto"/>
        </w:rPr>
        <w:t>Financial Statement Schedules:</w:t>
      </w:r>
    </w:p>
    <w:p>
      <w:pPr>
        <w:spacing w:after="0" w:line="204" w:lineRule="exact"/>
        <w:rPr>
          <w:sz w:val="20"/>
          <w:szCs w:val="20"/>
          <w:color w:val="auto"/>
        </w:rPr>
      </w:pPr>
    </w:p>
    <w:p>
      <w:pPr>
        <w:ind w:right="100" w:firstLine="360"/>
        <w:spacing w:after="0" w:line="277" w:lineRule="auto"/>
        <w:rPr>
          <w:sz w:val="20"/>
          <w:szCs w:val="20"/>
          <w:color w:val="auto"/>
        </w:rPr>
      </w:pPr>
      <w:r>
        <w:rPr>
          <w:rFonts w:ascii="Arial" w:cs="Arial" w:eastAsia="Arial" w:hAnsi="Arial"/>
          <w:sz w:val="16"/>
          <w:szCs w:val="16"/>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Undertakings</w:t>
      </w:r>
    </w:p>
    <w:p>
      <w:pPr>
        <w:spacing w:after="0" w:line="204" w:lineRule="exact"/>
        <w:rPr>
          <w:sz w:val="20"/>
          <w:szCs w:val="20"/>
          <w:color w:val="auto"/>
        </w:rPr>
      </w:pPr>
    </w:p>
    <w:p>
      <w:pPr>
        <w:ind w:right="120" w:firstLine="356"/>
        <w:spacing w:after="0" w:line="277" w:lineRule="auto"/>
        <w:tabs>
          <w:tab w:leader="none" w:pos="57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51" w:lineRule="exact"/>
        <w:rPr>
          <w:rFonts w:ascii="Arial" w:cs="Arial" w:eastAsia="Arial" w:hAnsi="Arial"/>
          <w:sz w:val="16"/>
          <w:szCs w:val="16"/>
          <w:color w:val="auto"/>
        </w:rPr>
      </w:pPr>
    </w:p>
    <w:p>
      <w:pPr>
        <w:ind w:firstLine="356"/>
        <w:spacing w:after="0" w:line="255" w:lineRule="auto"/>
        <w:tabs>
          <w:tab w:leader="none" w:pos="58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9" w:lineRule="exact"/>
        <w:rPr>
          <w:rFonts w:ascii="Arial" w:cs="Arial" w:eastAsia="Arial" w:hAnsi="Arial"/>
          <w:sz w:val="16"/>
          <w:szCs w:val="16"/>
          <w:color w:val="auto"/>
        </w:rPr>
      </w:pPr>
    </w:p>
    <w:p>
      <w:pPr>
        <w:ind w:left="580" w:hanging="224"/>
        <w:spacing w:after="0"/>
        <w:tabs>
          <w:tab w:leader="none" w:pos="5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undersigned registrant hereby undertakes that:</w:t>
      </w:r>
    </w:p>
    <w:p>
      <w:pPr>
        <w:spacing w:after="0" w:line="200" w:lineRule="exact"/>
        <w:rPr>
          <w:sz w:val="20"/>
          <w:szCs w:val="20"/>
          <w:color w:val="auto"/>
        </w:rPr>
      </w:pPr>
    </w:p>
    <w:p>
      <w:pPr>
        <w:jc w:val="both"/>
        <w:ind w:left="360" w:right="260" w:hanging="4"/>
        <w:spacing w:after="0" w:line="264" w:lineRule="auto"/>
        <w:tabs>
          <w:tab w:leader="none" w:pos="58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1" w:lineRule="exact"/>
        <w:rPr>
          <w:rFonts w:ascii="Arial" w:cs="Arial" w:eastAsia="Arial" w:hAnsi="Arial"/>
          <w:sz w:val="16"/>
          <w:szCs w:val="16"/>
          <w:color w:val="auto"/>
        </w:rPr>
      </w:pPr>
    </w:p>
    <w:p>
      <w:pPr>
        <w:ind w:left="360" w:right="60" w:hanging="4"/>
        <w:spacing w:after="0" w:line="264" w:lineRule="auto"/>
        <w:tabs>
          <w:tab w:leader="none" w:pos="58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160" w:firstLine="360"/>
        <w:spacing w:after="0" w:line="264"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amendment to the registration statement on Form F-1 to be signed on its behalf by the undersigned, thereunto duly authorized, in Tel Aviv, Israel on May 2, 2013.</w:t>
      </w:r>
    </w:p>
    <w:p>
      <w:pPr>
        <w:spacing w:after="0" w:line="162"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ALCOBRA LTD.</w:t>
      </w:r>
    </w:p>
    <w:p>
      <w:pPr>
        <w:spacing w:after="0" w:line="200" w:lineRule="exact"/>
        <w:rPr>
          <w:sz w:val="20"/>
          <w:szCs w:val="20"/>
          <w:color w:val="auto"/>
        </w:rPr>
      </w:pPr>
    </w:p>
    <w:p>
      <w:pPr>
        <w:ind w:left="5760"/>
        <w:spacing w:after="0"/>
        <w:rPr>
          <w:sz w:val="20"/>
          <w:szCs w:val="20"/>
          <w:color w:val="auto"/>
        </w:rPr>
      </w:pPr>
      <w:r>
        <w:rPr>
          <w:rFonts w:ascii="Arial" w:cs="Arial" w:eastAsia="Arial" w:hAnsi="Arial"/>
          <w:sz w:val="16"/>
          <w:szCs w:val="16"/>
          <w:u w:val="single" w:color="auto"/>
          <w:color w:val="auto"/>
        </w:rPr>
        <w:t>By: /s/ Dr. Yaron Daniely</w:t>
      </w:r>
      <w:r>
        <w:rPr>
          <w:rFonts w:ascii="Arial" w:cs="Arial" w:eastAsia="Arial" w:hAnsi="Arial"/>
          <w:sz w:val="16"/>
          <w:szCs w:val="16"/>
          <w:color w:val="auto"/>
        </w:rPr>
        <w:t>_________</w:t>
      </w:r>
    </w:p>
    <w:p>
      <w:pPr>
        <w:spacing w:after="0" w:line="21"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Yaron Daniely</w:t>
      </w:r>
    </w:p>
    <w:p>
      <w:pPr>
        <w:spacing w:after="0" w:line="8"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Chief Executive Officer and President</w:t>
      </w:r>
    </w:p>
    <w:p>
      <w:pPr>
        <w:spacing w:after="0" w:line="188" w:lineRule="exact"/>
        <w:rPr>
          <w:sz w:val="20"/>
          <w:szCs w:val="20"/>
          <w:color w:val="auto"/>
        </w:rPr>
      </w:pPr>
    </w:p>
    <w:p>
      <w:pPr>
        <w:ind w:right="520" w:firstLine="360"/>
        <w:spacing w:after="0" w:line="277" w:lineRule="auto"/>
        <w:rPr>
          <w:sz w:val="20"/>
          <w:szCs w:val="20"/>
          <w:color w:val="auto"/>
        </w:rPr>
      </w:pPr>
      <w:r>
        <w:rPr>
          <w:rFonts w:ascii="Arial" w:cs="Arial" w:eastAsia="Arial" w:hAnsi="Arial"/>
          <w:sz w:val="16"/>
          <w:szCs w:val="16"/>
          <w:color w:val="auto"/>
        </w:rPr>
        <w:t>Pursuant to the requirements of the Securities Act of 1933, this amendment to the registration statement on Form F-1 has been signed by the following persons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Borders>
              <w:bottom w:val="single" w:sz="8" w:color="auto"/>
            </w:tcBorders>
          </w:tcPr>
          <w:p>
            <w:pPr>
              <w:ind w:left="1560"/>
              <w:spacing w:after="0"/>
              <w:rPr>
                <w:sz w:val="20"/>
                <w:szCs w:val="20"/>
                <w:color w:val="auto"/>
              </w:rPr>
            </w:pPr>
            <w:r>
              <w:rPr>
                <w:rFonts w:ascii="Arial" w:cs="Arial" w:eastAsia="Arial" w:hAnsi="Arial"/>
                <w:sz w:val="16"/>
                <w:szCs w:val="16"/>
                <w:b w:val="1"/>
                <w:bCs w:val="1"/>
                <w:color w:val="auto"/>
              </w:rPr>
              <w:t>Signature</w:t>
            </w:r>
          </w:p>
        </w:tc>
        <w:tc>
          <w:tcPr>
            <w:tcW w:w="240" w:type="dxa"/>
            <w:vAlign w:val="bottom"/>
          </w:tcPr>
          <w:p>
            <w:pPr>
              <w:spacing w:after="0"/>
              <w:rPr>
                <w:sz w:val="18"/>
                <w:szCs w:val="18"/>
                <w:color w:val="auto"/>
              </w:rPr>
            </w:pPr>
          </w:p>
        </w:tc>
        <w:tc>
          <w:tcPr>
            <w:tcW w:w="5140" w:type="dxa"/>
            <w:vAlign w:val="bottom"/>
            <w:tcBorders>
              <w:bottom w:val="single" w:sz="8" w:color="auto"/>
            </w:tcBorders>
          </w:tcPr>
          <w:p>
            <w:pPr>
              <w:ind w:left="2420"/>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8"/>
                <w:szCs w:val="18"/>
                <w:color w:val="auto"/>
              </w:rPr>
            </w:pPr>
          </w:p>
        </w:tc>
        <w:tc>
          <w:tcPr>
            <w:tcW w:w="218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Date</w:t>
            </w:r>
          </w:p>
        </w:tc>
      </w:tr>
      <w:tr>
        <w:trPr>
          <w:trHeight w:val="581"/>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Dr. Yaron Daniely</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Chief Executive Officer and President</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May 2, 2013</w:t>
            </w:r>
          </w:p>
        </w:tc>
      </w:tr>
      <w:tr>
        <w:trPr>
          <w:trHeight w:val="197"/>
        </w:trPr>
        <w:tc>
          <w:tcPr>
            <w:tcW w:w="3780" w:type="dxa"/>
            <w:vAlign w:val="bottom"/>
          </w:tcPr>
          <w:p>
            <w:pPr>
              <w:spacing w:after="0"/>
              <w:rPr>
                <w:sz w:val="20"/>
                <w:szCs w:val="20"/>
                <w:color w:val="auto"/>
              </w:rPr>
            </w:pPr>
            <w:r>
              <w:rPr>
                <w:rFonts w:ascii="Arial" w:cs="Arial" w:eastAsia="Arial" w:hAnsi="Arial"/>
                <w:sz w:val="16"/>
                <w:szCs w:val="16"/>
                <w:color w:val="auto"/>
              </w:rPr>
              <w:t>Yaron Daniely</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(Principal Executive Officer) and Director</w:t>
            </w: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84"/>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Udi Gilboa*</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Chief Financial Officer (Principal Financial</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May 2, 2013</w:t>
            </w:r>
          </w:p>
        </w:tc>
      </w:tr>
      <w:tr>
        <w:trPr>
          <w:trHeight w:val="197"/>
        </w:trPr>
        <w:tc>
          <w:tcPr>
            <w:tcW w:w="3780" w:type="dxa"/>
            <w:vAlign w:val="bottom"/>
          </w:tcPr>
          <w:p>
            <w:pPr>
              <w:spacing w:after="0"/>
              <w:rPr>
                <w:sz w:val="20"/>
                <w:szCs w:val="20"/>
                <w:color w:val="auto"/>
              </w:rPr>
            </w:pPr>
            <w:r>
              <w:rPr>
                <w:rFonts w:ascii="Arial" w:cs="Arial" w:eastAsia="Arial" w:hAnsi="Arial"/>
                <w:sz w:val="16"/>
                <w:szCs w:val="16"/>
                <w:color w:val="auto"/>
              </w:rPr>
              <w:t>Udi Gilboa</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and Accounting Officer) and Director</w:t>
            </w: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84"/>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Dr. Aharon Schwartz*</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Director, Chairman of the Board of Directors</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May 2, 2013</w:t>
            </w:r>
          </w:p>
        </w:tc>
      </w:tr>
      <w:tr>
        <w:trPr>
          <w:trHeight w:val="197"/>
        </w:trPr>
        <w:tc>
          <w:tcPr>
            <w:tcW w:w="3780" w:type="dxa"/>
            <w:vAlign w:val="bottom"/>
          </w:tcPr>
          <w:p>
            <w:pPr>
              <w:spacing w:after="0"/>
              <w:rPr>
                <w:sz w:val="20"/>
                <w:szCs w:val="20"/>
                <w:color w:val="auto"/>
              </w:rPr>
            </w:pPr>
            <w:r>
              <w:rPr>
                <w:rFonts w:ascii="Arial" w:cs="Arial" w:eastAsia="Arial" w:hAnsi="Arial"/>
                <w:sz w:val="16"/>
                <w:szCs w:val="16"/>
                <w:color w:val="auto"/>
              </w:rPr>
              <w:t>Dr. Aharon Schwartz</w:t>
            </w: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84"/>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Dr. Dalia Megiddo*</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Director</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May 2, 2013</w:t>
            </w:r>
          </w:p>
        </w:tc>
      </w:tr>
      <w:tr>
        <w:trPr>
          <w:trHeight w:val="197"/>
        </w:trPr>
        <w:tc>
          <w:tcPr>
            <w:tcW w:w="3780" w:type="dxa"/>
            <w:vAlign w:val="bottom"/>
          </w:tcPr>
          <w:p>
            <w:pPr>
              <w:spacing w:after="0"/>
              <w:rPr>
                <w:sz w:val="20"/>
                <w:szCs w:val="20"/>
                <w:color w:val="auto"/>
              </w:rPr>
            </w:pPr>
            <w:r>
              <w:rPr>
                <w:rFonts w:ascii="Arial" w:cs="Arial" w:eastAsia="Arial" w:hAnsi="Arial"/>
                <w:sz w:val="16"/>
                <w:szCs w:val="16"/>
                <w:color w:val="auto"/>
              </w:rPr>
              <w:t>Dalia Megiddo</w:t>
            </w: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bl>
    <w:p>
      <w:pPr>
        <w:spacing w:after="0" w:line="167"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By:  /s/ Yaron Daniely</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Yaron Daniely,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-116205</wp:posOffset>
            </wp:positionV>
            <wp:extent cx="202882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28825" cy="762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24" w:name="page125"/>
    <w:bookmarkEnd w:id="124"/>
    <w:p>
      <w:pPr>
        <w:jc w:val="center"/>
        <w:ind w:right="-79"/>
        <w:spacing w:after="0"/>
        <w:rPr>
          <w:sz w:val="20"/>
          <w:szCs w:val="20"/>
          <w:color w:val="auto"/>
        </w:rPr>
      </w:pPr>
      <w:r>
        <w:rPr>
          <w:rFonts w:ascii="Arial" w:cs="Arial" w:eastAsia="Arial" w:hAnsi="Arial"/>
          <w:sz w:val="16"/>
          <w:szCs w:val="16"/>
          <w:b w:val="1"/>
          <w:bCs w:val="1"/>
          <w:color w:val="auto"/>
        </w:rPr>
        <w:t>SIGNATURE OF AUTHORIZED REPRESENTATIVE IN THE UNITED STATES</w:t>
      </w:r>
    </w:p>
    <w:p>
      <w:pPr>
        <w:spacing w:after="0" w:line="204" w:lineRule="exact"/>
        <w:rPr>
          <w:sz w:val="20"/>
          <w:szCs w:val="20"/>
          <w:color w:val="auto"/>
        </w:rPr>
      </w:pPr>
    </w:p>
    <w:p>
      <w:pPr>
        <w:ind w:firstLine="288"/>
        <w:spacing w:after="0" w:line="277" w:lineRule="auto"/>
        <w:rPr>
          <w:sz w:val="20"/>
          <w:szCs w:val="20"/>
          <w:color w:val="auto"/>
        </w:rPr>
      </w:pPr>
      <w:r>
        <w:rPr>
          <w:rFonts w:ascii="Arial" w:cs="Arial" w:eastAsia="Arial" w:hAnsi="Arial"/>
          <w:sz w:val="16"/>
          <w:szCs w:val="16"/>
          <w:color w:val="auto"/>
        </w:rPr>
        <w:t>Pursuant to the Securities Act of 1933, as amended, the undersigned, Zysman, Aharoni, Gayer &amp; Sullivan &amp; Worcester LLP, the duly authorized representative in the United States of Alcobra Ltd., has signed this registration statement on May 2, 2013.</w:t>
      </w:r>
    </w:p>
    <w:p>
      <w:pPr>
        <w:spacing w:after="0" w:line="15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ZYSMAN, AHARONI, GAYER AND</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SULLIVAN &amp; WORCESTER LLP</w:t>
      </w:r>
    </w:p>
    <w:p>
      <w:pPr>
        <w:spacing w:after="0" w:line="380"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6"/>
          <w:szCs w:val="16"/>
          <w:color w:val="auto"/>
        </w:rPr>
        <w:t>By:</w:t>
        <w:tab/>
        <w:t>/s/ Edwin L.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-8890</wp:posOffset>
            </wp:positionV>
            <wp:extent cx="153352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33525" cy="7620"/>
                    </a:xfrm>
                    <a:prstGeom prst="rect">
                      <a:avLst/>
                    </a:prstGeom>
                    <a:noFill/>
                  </pic:spPr>
                </pic:pic>
              </a:graphicData>
            </a:graphic>
          </wp:anchor>
        </w:drawing>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40"/>
          </w:cols>
          <w:pgMar w:left="240" w:top="820" w:right="3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January 14, 2013 (Except for Note 9.a and Note 13 to which the date is XX, 2013) with respect to the financial statements of Alcobra Ltd. Included in Amendment No. 7 to the Registration Statement on Form F-1 and related Prospectus of Alcobra Ltd., dated May 2, 2013.</w:t>
      </w:r>
    </w:p>
    <w:p>
      <w:pPr>
        <w:spacing w:after="0" w:line="162"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KOST, FORER, GABBAY &amp; KASIERER</w:t>
      </w:r>
    </w:p>
    <w:p>
      <w:pPr>
        <w:spacing w:after="0" w:line="200"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A member of Ernst &amp; Young Global</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report is in the form that will be signed upon completion of the bonus shares described in Note 9(a) to the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20"/>
                <w:szCs w:val="20"/>
                <w:color w:val="auto"/>
              </w:rPr>
            </w:pPr>
            <w:r>
              <w:rPr>
                <w:rFonts w:ascii="Arial" w:cs="Arial" w:eastAsia="Arial" w:hAnsi="Arial"/>
                <w:sz w:val="16"/>
                <w:szCs w:val="16"/>
                <w:color w:val="auto"/>
              </w:rPr>
              <w:t>Tel-Aviv, Israel</w:t>
            </w:r>
          </w:p>
        </w:tc>
        <w:tc>
          <w:tcPr>
            <w:tcW w:w="7120" w:type="dxa"/>
            <w:vAlign w:val="bottom"/>
          </w:tcPr>
          <w:p>
            <w:pPr>
              <w:jc w:val="center"/>
              <w:ind w:left="2340"/>
              <w:spacing w:after="0"/>
              <w:rPr>
                <w:sz w:val="20"/>
                <w:szCs w:val="20"/>
                <w:color w:val="auto"/>
              </w:rPr>
            </w:pPr>
            <w:r>
              <w:rPr>
                <w:rFonts w:ascii="Arial" w:cs="Arial" w:eastAsia="Arial" w:hAnsi="Arial"/>
                <w:sz w:val="16"/>
                <w:szCs w:val="16"/>
                <w:color w:val="auto"/>
                <w:w w:val="96"/>
              </w:rPr>
              <w:t>/s/ KOST FORER GABBAY &amp; KASIERER</w:t>
            </w:r>
          </w:p>
        </w:tc>
      </w:tr>
      <w:tr>
        <w:trPr>
          <w:trHeight w:val="384"/>
        </w:trPr>
        <w:tc>
          <w:tcPr>
            <w:tcW w:w="4320" w:type="dxa"/>
            <w:vAlign w:val="bottom"/>
          </w:tcPr>
          <w:p>
            <w:pPr>
              <w:spacing w:after="0"/>
              <w:rPr>
                <w:sz w:val="24"/>
                <w:szCs w:val="24"/>
                <w:color w:val="auto"/>
              </w:rPr>
            </w:pPr>
          </w:p>
        </w:tc>
        <w:tc>
          <w:tcPr>
            <w:tcW w:w="7120" w:type="dxa"/>
            <w:vAlign w:val="bottom"/>
          </w:tcPr>
          <w:p>
            <w:pPr>
              <w:jc w:val="center"/>
              <w:ind w:left="2340"/>
              <w:spacing w:after="0"/>
              <w:rPr>
                <w:sz w:val="20"/>
                <w:szCs w:val="20"/>
                <w:color w:val="auto"/>
              </w:rPr>
            </w:pPr>
            <w:r>
              <w:rPr>
                <w:rFonts w:ascii="Arial" w:cs="Arial" w:eastAsia="Arial" w:hAnsi="Arial"/>
                <w:sz w:val="16"/>
                <w:szCs w:val="16"/>
                <w:color w:val="auto"/>
                <w:w w:val="96"/>
              </w:rPr>
              <w:t>KOST FORER GABBAY &amp; KASIERER</w:t>
            </w:r>
          </w:p>
        </w:tc>
      </w:tr>
      <w:tr>
        <w:trPr>
          <w:trHeight w:val="384"/>
        </w:trPr>
        <w:tc>
          <w:tcPr>
            <w:tcW w:w="4320" w:type="dxa"/>
            <w:vAlign w:val="bottom"/>
          </w:tcPr>
          <w:p>
            <w:pPr>
              <w:spacing w:after="0"/>
              <w:rPr>
                <w:sz w:val="20"/>
                <w:szCs w:val="20"/>
                <w:color w:val="auto"/>
              </w:rPr>
            </w:pPr>
            <w:r>
              <w:rPr>
                <w:rFonts w:ascii="Arial" w:cs="Arial" w:eastAsia="Arial" w:hAnsi="Arial"/>
                <w:sz w:val="16"/>
                <w:szCs w:val="16"/>
                <w:color w:val="auto"/>
              </w:rPr>
              <w:t>May 2, 2013</w:t>
            </w:r>
          </w:p>
        </w:tc>
        <w:tc>
          <w:tcPr>
            <w:tcW w:w="7120" w:type="dxa"/>
            <w:vAlign w:val="bottom"/>
          </w:tcPr>
          <w:p>
            <w:pPr>
              <w:jc w:val="center"/>
              <w:ind w:left="2340"/>
              <w:spacing w:after="0"/>
              <w:rPr>
                <w:sz w:val="20"/>
                <w:szCs w:val="20"/>
                <w:color w:val="auto"/>
              </w:rPr>
            </w:pPr>
            <w:r>
              <w:rPr>
                <w:rFonts w:ascii="Arial" w:cs="Arial" w:eastAsia="Arial" w:hAnsi="Arial"/>
                <w:sz w:val="16"/>
                <w:szCs w:val="16"/>
                <w:color w:val="auto"/>
                <w:w w:val="93"/>
              </w:rPr>
              <w:t>A Member of Ernst &amp; Young Global</w:t>
            </w:r>
          </w:p>
        </w:tc>
      </w:tr>
      <w:tr>
        <w:trPr>
          <w:trHeight w:val="577"/>
        </w:trPr>
        <w:tc>
          <w:tcPr>
            <w:tcW w:w="43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33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1)"/>
      <w:numFmt w:val="decimal"/>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
      <w:numFmt w:val="bullet"/>
      <w:start w:val="1"/>
    </w:lvl>
    <w:lvl w:ilvl="1">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1)"/>
      <w:numFmt w:val="decimal"/>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1)"/>
      <w:numFmt w:val="lowerRoman"/>
      <w:start w:val="2"/>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lowerRoman"/>
      <w:start w:val="2"/>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1)"/>
      <w:numFmt w:val="decimal"/>
      <w:start w:val="2"/>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1)"/>
      <w:numFmt w:val="decimal"/>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1)"/>
      <w:numFmt w:val="lowerRoman"/>
      <w:start w:val="1"/>
    </w:lvl>
  </w:abstractNum>
  <w:abstractNum w:abstractNumId="75">
    <w:nsid w:val="7F01579B"/>
    <w:multiLevelType w:val="hybridMultilevel"/>
    <w:lvl w:ilvl="0">
      <w:lvlJc w:val="left"/>
      <w:lvlText w:val="(%1)"/>
      <w:numFmt w:val="decimal"/>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1."/>
      <w:numFmt w:val="lowerLetter"/>
      <w:start w:val="1"/>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lowerLetter"/>
      <w:start w:val="2"/>
    </w:lvl>
  </w:abstractNum>
  <w:abstractNum w:abstractNumId="90">
    <w:nsid w:val="555C55B5"/>
    <w:multiLevelType w:val="hybridMultilevel"/>
    <w:lvl w:ilvl="0">
      <w:lvlJc w:val="left"/>
      <w:lvlText w:val="%1."/>
      <w:numFmt w:val="lowerLetter"/>
      <w:start w:val="7"/>
    </w:lvl>
  </w:abstractNum>
  <w:abstractNum w:abstractNumId="91">
    <w:nsid w:val="3FA62ACA"/>
    <w:multiLevelType w:val="hybridMultilevel"/>
    <w:lvl w:ilvl="0">
      <w:lvlJc w:val="left"/>
      <w:lvlText w:val="%1."/>
      <w:numFmt w:val="lowerLetter"/>
      <w:start w:val="10"/>
    </w:lvl>
  </w:abstractNum>
  <w:abstractNum w:abstractNumId="92">
    <w:nsid w:val="14FCE74E"/>
    <w:multiLevelType w:val="hybridMultilevel"/>
    <w:lvl w:ilvl="0">
      <w:lvlJc w:val="left"/>
      <w:lvlText w:val="%1."/>
      <w:numFmt w:val="lowerLetter"/>
      <w:start w:val="13"/>
    </w:lvl>
  </w:abstractNum>
  <w:abstractNum w:abstractNumId="93">
    <w:nsid w:val="6A3DD3E8"/>
    <w:multiLevelType w:val="hybridMultilevel"/>
    <w:lvl w:ilvl="0">
      <w:lvlJc w:val="left"/>
      <w:lvlText w:val="%1."/>
      <w:numFmt w:val="lowerLetter"/>
      <w:start w:val="14"/>
    </w:lvl>
  </w:abstractNum>
  <w:abstractNum w:abstractNumId="94">
    <w:nsid w:val="71C91298"/>
    <w:multiLevelType w:val="hybridMultilevel"/>
    <w:lvl w:ilvl="0">
      <w:lvlJc w:val="left"/>
      <w:lvlText w:val="%1."/>
      <w:numFmt w:val="lowerLetter"/>
      <w:start w:val="1"/>
    </w:lvl>
  </w:abstractNum>
  <w:abstractNum w:abstractNumId="95">
    <w:nsid w:val="9DAF632"/>
    <w:multiLevelType w:val="hybridMultilevel"/>
    <w:lvl w:ilvl="0">
      <w:lvlJc w:val="left"/>
      <w:lvlText w:val="$"/>
      <w:numFmt w:val="bullet"/>
      <w:start w:val="1"/>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4"/>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1."/>
      <w:numFmt w:val="lowerLetter"/>
      <w:start w:val="3"/>
    </w:lvl>
  </w:abstractNum>
  <w:abstractNum w:abstractNumId="100">
    <w:nsid w:val="59ADEA3D"/>
    <w:multiLevelType w:val="hybridMultilevel"/>
    <w:lvl w:ilvl="0">
      <w:lvlJc w:val="left"/>
      <w:lvlText w:val="%1."/>
      <w:numFmt w:val="lowerLetter"/>
      <w:start w:val="1"/>
    </w:lvl>
    <w:lvl w:ilvl="1">
      <w:lvlJc w:val="left"/>
      <w:lvlText w:val="%2."/>
      <w:numFmt w:val="decimal"/>
      <w:start w:val="1"/>
    </w:lvl>
  </w:abstractNum>
  <w:abstractNum w:abstractNumId="101">
    <w:nsid w:val="288F1A34"/>
    <w:multiLevelType w:val="hybridMultilevel"/>
    <w:lvl w:ilvl="0">
      <w:lvlJc w:val="left"/>
      <w:lvlText w:val="%1."/>
      <w:numFmt w:val="decimal"/>
      <w:start w:val="3"/>
    </w:lvl>
  </w:abstractNum>
  <w:abstractNum w:abstractNumId="102">
    <w:nsid w:val="2A155DBC"/>
    <w:multiLevelType w:val="hybridMultilevel"/>
    <w:lvl w:ilvl="0">
      <w:lvlJc w:val="left"/>
      <w:lvlText w:val="%1."/>
      <w:numFmt w:val="lowerLetter"/>
      <w:start w:val="3"/>
    </w:lvl>
    <w:lvl w:ilvl="1">
      <w:lvlJc w:val="left"/>
      <w:lvlText w:val="$"/>
      <w:numFmt w:val="bullet"/>
      <w:start w:val="1"/>
    </w:lvl>
  </w:abstractNum>
  <w:abstractNum w:abstractNumId="103">
    <w:nsid w:val="1D9F6E5F"/>
    <w:multiLevelType w:val="hybridMultilevel"/>
    <w:lvl w:ilvl="0">
      <w:lvlJc w:val="left"/>
      <w:lvlText w:val="%1."/>
      <w:numFmt w:val="lowerLetter"/>
      <w:start w:val="5"/>
    </w:lvl>
  </w:abstractNum>
  <w:abstractNum w:abstractNumId="104">
    <w:nsid w:val="97E1B4E"/>
    <w:multiLevelType w:val="hybridMultilevel"/>
    <w:lvl w:ilvl="0">
      <w:lvlJc w:val="left"/>
      <w:lvlText w:val="%1."/>
      <w:numFmt w:val="lowerLetter"/>
      <w:start w:val="6"/>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Letter"/>
      <w:start w:val="1"/>
    </w:lvl>
  </w:abstractNum>
  <w:abstractNum w:abstractNumId="107">
    <w:nsid w:val="53584BCB"/>
    <w:multiLevelType w:val="hybridMultilevel"/>
    <w:lvl w:ilvl="0">
      <w:lvlJc w:val="left"/>
      <w:lvlText w:val="%1."/>
      <w:numFmt w:val="lowerLetter"/>
      <w:start w:val="2"/>
    </w:lvl>
  </w:abstractNum>
  <w:abstractNum w:abstractNumId="108">
    <w:nsid w:val="415E286C"/>
    <w:multiLevelType w:val="hybridMultilevel"/>
    <w:lvl w:ilvl="0">
      <w:lvlJc w:val="left"/>
      <w:lvlText w:val="·"/>
      <w:numFmt w:val="bullet"/>
      <w:start w:val="1"/>
    </w:lvl>
  </w:abstractNum>
  <w:abstractNum w:abstractNumId="109">
    <w:nsid w:val="7C58FD05"/>
    <w:multiLevelType w:val="hybridMultilevel"/>
    <w:lvl w:ilvl="0">
      <w:lvlJc w:val="left"/>
      <w:lvlText w:val="·"/>
      <w:numFmt w:val="bullet"/>
      <w:start w:val="1"/>
    </w:lvl>
  </w:abstractNum>
  <w:abstractNum w:abstractNumId="110">
    <w:nsid w:val="23D86AAC"/>
    <w:multiLevelType w:val="hybridMultilevel"/>
    <w:lvl w:ilvl="0">
      <w:lvlJc w:val="left"/>
      <w:lvlText w:val="·"/>
      <w:numFmt w:val="bullet"/>
      <w:start w:val="1"/>
    </w:lvl>
  </w:abstractNum>
  <w:abstractNum w:abstractNumId="111">
    <w:nsid w:val="45E6D486"/>
    <w:multiLevelType w:val="hybridMultilevel"/>
    <w:lvl w:ilvl="0">
      <w:lvlJc w:val="left"/>
      <w:lvlText w:val="·"/>
      <w:numFmt w:val="bullet"/>
      <w:start w:val="1"/>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2019-12-08T04:50:10Z</dcterms:created>
  <dcterms:modified xsi:type="dcterms:W3CDTF">2019-12-08T04:50:10Z</dcterms:modified>
</cp:coreProperties>
</file>