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30, 2022</w:t>
      </w:r>
    </w:p>
    <w:p>
      <w:pPr>
        <w:spacing w:after="0" w:line="225"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8"/>
              </w:rPr>
              <w:t>32-0595345</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62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2019 OMNIBUS EQUITY INCENTIVE PLAN, as amended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E. Payne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10628 Science Center Drive, Suite 250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900-2660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Dentons US LLP</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Jeffrey A. Baumel, Esq.</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Ilan Katz, Esq.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04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Arcturus Therapeutics Holdings Inc., a Delaware corporation (the “Registrant”) is filing this Registration Statement on Form S-8 for the purpose of registering an additional 3,750,000 shares of its common stock, issuable to eligible persons under the Amended and Restated 2019 Omnibus Equity Incentive Plan (as amended, the “2019 Plan”), which shares are in addition to the shares registered on the Registrant’s registration statement on Form S-8 filed with the Securities and Exchange Commission (the “Commission”) on </w:t>
      </w:r>
      <w:hyperlink r:id="rId16">
        <w:r>
          <w:rPr>
            <w:rFonts w:ascii="Times New Roman" w:cs="Times New Roman" w:eastAsia="Times New Roman" w:hAnsi="Times New Roman"/>
            <w:sz w:val="18"/>
            <w:szCs w:val="18"/>
            <w:u w:val="single" w:color="auto"/>
            <w:color w:val="0000EE"/>
          </w:rPr>
          <w:t>June 21,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333-232272) and registration statement on Form S-8 filed with the Commission on </w:t>
      </w:r>
      <w:hyperlink r:id="rId17">
        <w:r>
          <w:rPr>
            <w:rFonts w:ascii="Times New Roman" w:cs="Times New Roman" w:eastAsia="Times New Roman" w:hAnsi="Times New Roman"/>
            <w:sz w:val="18"/>
            <w:szCs w:val="18"/>
            <w:u w:val="single" w:color="auto"/>
            <w:color w:val="0000EE"/>
          </w:rPr>
          <w:t>August 5,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333-240397) (together, the “Prior Registration Statements”).</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(“General Instruction E”) to Form S-8 under the Securities Act of 1933, as amended, regarding Registration of Additional Securities. Pursuant to General Instruction E, the contents of the Prior Registration Statements, to the extent relating to the registration of common stock issuable under the 2019 Plan, are incorporated herein by reference and made part of this Registration Statement, except to the extent supplemented, amended and superseded by the information set forth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Documents</w:t>
            </w: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120" w:type="dxa"/>
            <w:vAlign w:val="bottom"/>
            <w:gridSpan w:val="11"/>
          </w:tcPr>
          <w:p>
            <w:pPr>
              <w:spacing w:after="0" w:line="169"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Certificate of Incorporation of Arcturus Therapeutics Holdings Inc. (incorporated by reference to Exhibit 3.1 to the Company’s Registration</w:t>
              </w:r>
            </w:hyperlink>
          </w:p>
        </w:tc>
      </w:tr>
      <w:tr>
        <w:trPr>
          <w:trHeight w:val="196"/>
        </w:trPr>
        <w:tc>
          <w:tcPr>
            <w:tcW w:w="1120" w:type="dxa"/>
            <w:vAlign w:val="bottom"/>
          </w:tcPr>
          <w:p>
            <w:pPr>
              <w:spacing w:after="0"/>
              <w:rPr>
                <w:sz w:val="17"/>
                <w:szCs w:val="17"/>
                <w:color w:val="auto"/>
              </w:rPr>
            </w:pPr>
          </w:p>
        </w:tc>
        <w:tc>
          <w:tcPr>
            <w:tcW w:w="100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Statement on Form S-3 (File No. 333-238139), filed with the SEC on May 8, 2020)</w:t>
              </w:r>
            </w:hyperlink>
          </w:p>
        </w:tc>
        <w:tc>
          <w:tcPr>
            <w:tcW w:w="6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120" w:type="dxa"/>
            <w:vAlign w:val="bottom"/>
            <w:gridSpan w:val="11"/>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Bylaws of Arcturus Therapeutics Holdings Inc. (incorporated by reference to Exhibit 3.2 to the Company’s Registration Statement on Form</w:t>
              </w:r>
            </w:hyperlink>
          </w:p>
        </w:tc>
      </w:tr>
      <w:tr>
        <w:trPr>
          <w:trHeight w:val="196"/>
        </w:trPr>
        <w:tc>
          <w:tcPr>
            <w:tcW w:w="11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S-3 (File No. 333-238139), filed with the SEC on May 8, 2020)</w:t>
              </w:r>
            </w:hyperlink>
          </w:p>
        </w:tc>
        <w:tc>
          <w:tcPr>
            <w:tcW w:w="8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53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Amended and Restated 2019 Omnibus Equity Incentive Plan, as amended</w:t>
            </w:r>
          </w:p>
        </w:tc>
        <w:tc>
          <w:tcPr>
            <w:tcW w:w="4800" w:type="dxa"/>
            <w:vAlign w:val="bottom"/>
            <w:gridSpan w:val="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1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Opinion of Dentons US LLP</w:t>
            </w:r>
          </w:p>
        </w:tc>
      </w:tr>
      <w:tr>
        <w:trPr>
          <w:trHeight w:val="20"/>
        </w:trPr>
        <w:tc>
          <w:tcPr>
            <w:tcW w:w="11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4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800" w:type="dxa"/>
            <w:vAlign w:val="bottom"/>
            <w:gridSpan w:val="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01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Consent of Dentons US LLP is contained in Exhibit 5.1 to this Registration Statement.</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6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is contained on the signature page.</w:t>
            </w:r>
          </w:p>
        </w:tc>
        <w:tc>
          <w:tcPr>
            <w:tcW w:w="3900" w:type="dxa"/>
            <w:vAlign w:val="bottom"/>
            <w:gridSpan w:val="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Filing Fee Table</w:t>
            </w:r>
          </w:p>
        </w:tc>
        <w:tc>
          <w:tcPr>
            <w:tcW w:w="2680" w:type="dxa"/>
            <w:vAlign w:val="bottom"/>
            <w:tcBorders>
              <w:top w:val="single" w:sz="8" w:color="0000EE"/>
            </w:tcBorders>
            <w:gridSpan w:val="2"/>
          </w:tcPr>
          <w:p>
            <w:pPr>
              <w:spacing w:after="0"/>
              <w:rPr>
                <w:sz w:val="17"/>
                <w:szCs w:val="17"/>
                <w:color w:val="auto"/>
              </w:rPr>
            </w:pPr>
          </w:p>
        </w:tc>
        <w:tc>
          <w:tcPr>
            <w:tcW w:w="6260" w:type="dxa"/>
            <w:vAlign w:val="bottom"/>
            <w:gridSpan w:val="8"/>
          </w:tcPr>
          <w:p>
            <w:pPr>
              <w:spacing w:after="0"/>
              <w:rPr>
                <w:sz w:val="17"/>
                <w:szCs w:val="17"/>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June 30, 2022.</w:t>
      </w:r>
    </w:p>
    <w:p>
      <w:pPr>
        <w:spacing w:after="0" w:line="38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900" w:type="dxa"/>
            <w:vAlign w:val="bottom"/>
          </w:tcPr>
          <w:p>
            <w:pPr>
              <w:spacing w:after="0"/>
              <w:rPr>
                <w:sz w:val="16"/>
                <w:szCs w:val="16"/>
                <w:color w:val="auto"/>
              </w:rPr>
            </w:pP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900" w:type="dxa"/>
            <w:vAlign w:val="bottom"/>
          </w:tcPr>
          <w:p>
            <w:pPr>
              <w:ind w:left="61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67"/>
        </w:trPr>
        <w:tc>
          <w:tcPr>
            <w:tcW w:w="69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the undersigned officers and directors of Arcturus Therapeutics Holdings Inc., hereby severally constitute and appoint Joseph E. Payne and Dr. Padmanabh Chivukula,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Securities and Exchange Commission,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698" w:right="339" w:bottom="1440" w:gutter="0" w:footer="0" w:header="0"/>
        </w:sectPr>
      </w:pPr>
    </w:p>
    <w:p>
      <w:pPr>
        <w:spacing w:after="0" w:line="37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 Payne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Padmanabh Chivukula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Padmanabh Chivukula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Peter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Peter Farrell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Andy Sassine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Sassine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Magda Marquet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Magda Marquet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Barlow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Edward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Edward Holmes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Dr. Jing L. Marantz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Jing L. Marantz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C. Kummerfeld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C. Kummerfeld</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19685</wp:posOffset>
            </wp:positionV>
            <wp:extent cx="2940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23"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39"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20"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Chief Scientific Officer</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Chief Operating Officer and Secretary</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0" w:lineRule="exact"/>
        <w:rPr>
          <w:sz w:val="20"/>
          <w:szCs w:val="20"/>
          <w:color w:val="auto"/>
        </w:rPr>
      </w:pPr>
    </w:p>
    <w:p>
      <w:pPr>
        <w:spacing w:after="0" w:line="255"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Chief Financial Officer, Director</w:t>
      </w:r>
    </w:p>
    <w:p>
      <w:pPr>
        <w:spacing w:after="0" w:line="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Director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of Finance and Corporate</w:t>
      </w:r>
    </w:p>
    <w:p>
      <w:pPr>
        <w:spacing w:after="0" w:line="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Controller</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19685</wp:posOffset>
            </wp:positionV>
            <wp:extent cx="1423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w:t>
      </w:r>
    </w:p>
    <w:p>
      <w:pPr>
        <w:sectPr>
          <w:pgSz w:w="11900" w:h="16838" w:orient="portrait"/>
          <w:cols w:equalWidth="0" w:num="3">
            <w:col w:w="4000" w:space="720"/>
            <w:col w:w="4180" w:space="720"/>
            <w:col w:w="1620"/>
          </w:cols>
          <w:pgMar w:left="320" w:top="698"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&amp; RESTATED 2019 OMNIBUS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(Originally Effective June 10, 2019; Amended &amp; Restated Effective June 5, 2020; Amended Effective June 21, 2022)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EFFECTIVE DATE, OBJECTIVES AND DURATION</w:t>
      </w:r>
    </w:p>
    <w:p>
      <w:pPr>
        <w:spacing w:after="0" w:line="207"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Effective Date of the Plan</w:t>
      </w:r>
      <w:r>
        <w:rPr>
          <w:rFonts w:ascii="Times New Roman" w:cs="Times New Roman" w:eastAsia="Times New Roman" w:hAnsi="Times New Roman"/>
          <w:sz w:val="18"/>
          <w:szCs w:val="18"/>
          <w:color w:val="auto"/>
        </w:rPr>
        <w:t>. The Board of Directors of ARCTURUS THERAPEUTICS HOLDINGS INC., a Delaware corporation (the “Company”), originally adopted the 2019 OMNIBUS EQUITY INCENTIVE PLAN, as amended and restated to date (the “Plan”) effective as of June 10, 2019. An amendment and restatement of the Plan was adopted by the Board on April 26, 2020 and became effective June 5, 2020 upon approval by the Company’s stockholders. The most recent amendment of the Plan was adopted by the Board on April 28, 2022 and became effective on June 21, 2022 upon approval by the Company’s stockholder (the “Effective Date”).</w:t>
      </w:r>
    </w:p>
    <w:p>
      <w:pPr>
        <w:spacing w:after="0" w:line="183" w:lineRule="exact"/>
        <w:rPr>
          <w:sz w:val="20"/>
          <w:szCs w:val="20"/>
          <w:color w:val="auto"/>
        </w:rPr>
      </w:pPr>
    </w:p>
    <w:p>
      <w:pPr>
        <w:ind w:right="160" w:firstLine="441"/>
        <w:spacing w:after="0" w:line="268"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Objectives of the Plan</w:t>
      </w:r>
      <w:r>
        <w:rPr>
          <w:rFonts w:ascii="Times New Roman" w:cs="Times New Roman" w:eastAsia="Times New Roman" w:hAnsi="Times New Roman"/>
          <w:sz w:val="17"/>
          <w:szCs w:val="17"/>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profitability and growth of the Company and its Affiliates through incentives which are consistent with the Company’s goals, (d) to provide Grantees with an incentive for excellence in individual performance, (e) to promote teamwork among employees, consultants and Non-Employee Directors, and (f) to attract and retain highly qualified persons to serve as Non-Employee Directors and to promote ownership by</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such Non-Employee Directors of a greater proprietary interest in the Company, thereby aligning such Non-Employee Directors’ interests more closely with the interests of the Company’s stockholders.</w:t>
      </w:r>
    </w:p>
    <w:p>
      <w:pPr>
        <w:spacing w:after="0" w:line="18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Duration of the Plan</w:t>
      </w:r>
      <w:r>
        <w:rPr>
          <w:rFonts w:ascii="Times New Roman" w:cs="Times New Roman" w:eastAsia="Times New Roman" w:hAnsi="Times New Roman"/>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 provided, however, in no event may an Incentive Stock Option be granted more than ten years after the earlier of (i) the date of the most recent adoption of the Plan by the Board or (ii) the Effective Date.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Whenever used in the Plan, the following terms shall have the meanings set forth below:</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80"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76"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 w:name="page6"/>
    <w:bookmarkEnd w:id="5"/>
    <w:p>
      <w:pPr>
        <w:ind w:left="44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Bonus Shares</w:t>
      </w:r>
      <w:r>
        <w:rPr>
          <w:rFonts w:ascii="Times New Roman" w:cs="Times New Roman" w:eastAsia="Times New Roman" w:hAnsi="Times New Roman"/>
          <w:sz w:val="18"/>
          <w:szCs w:val="18"/>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except as otherwise defined in an Award Agreement:</w:t>
      </w:r>
    </w:p>
    <w:p>
      <w:pPr>
        <w:spacing w:after="0" w:line="225" w:lineRule="exact"/>
        <w:rPr>
          <w:sz w:val="20"/>
          <w:szCs w:val="20"/>
          <w:color w:val="auto"/>
        </w:rPr>
      </w:pPr>
    </w:p>
    <w:p>
      <w:pPr>
        <w:ind w:left="1140" w:hanging="251"/>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of any act by a Grantee constituting a felony or crime of moral turpitude (or their equivalent in a non-United States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jurisdiction);</w:t>
      </w:r>
    </w:p>
    <w:p>
      <w:pPr>
        <w:spacing w:after="0" w:line="206"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fraud, intentional misrepresentation, or harassment which, as determined in good faith by the Committee, would:</w:t>
      </w:r>
    </w:p>
    <w:p>
      <w:pPr>
        <w:spacing w:after="0" w:line="27" w:lineRule="exact"/>
        <w:rPr>
          <w:rFonts w:ascii="Times New Roman" w:cs="Times New Roman" w:eastAsia="Times New Roman" w:hAnsi="Times New Roman"/>
          <w:sz w:val="18"/>
          <w:szCs w:val="18"/>
          <w:color w:val="auto"/>
        </w:rPr>
      </w:pPr>
    </w:p>
    <w:p>
      <w:pPr>
        <w:ind w:firstLine="8"/>
        <w:spacing w:after="0" w:line="255"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adversely affect the business or the reputation of the Company or any of its Affiliates with their respective current or prospective customers, suppliers, lenders and/or other third parties with whom such entity does or might do business; or (ii) expose the Company or any of its Affiliates to a risk of civil or criminal legal damages, liabilities or penalties;</w:t>
      </w:r>
    </w:p>
    <w:p>
      <w:pPr>
        <w:spacing w:after="0" w:line="18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in violation of the Company’s or an Affiliate’s written policies; or</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and deliberate non-performance of the Grantee’s duties in connection with the business affairs of the Company or its Affiliates;</w:t>
      </w:r>
    </w:p>
    <w:p>
      <w:pPr>
        <w:spacing w:after="0" w:line="223" w:lineRule="exact"/>
        <w:rPr>
          <w:sz w:val="20"/>
          <w:szCs w:val="20"/>
          <w:color w:val="auto"/>
        </w:rPr>
      </w:pPr>
    </w:p>
    <w:p>
      <w:pPr>
        <w:jc w:val="both"/>
        <w:ind w:right="6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Grantee has a written employment or consulting agreement with the Company or any of its Affiliates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participates in any severance plan established by the Company that includes a definition of “cause,” Cause shall have the meaning set forth in such employment or consulting agreement or severance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 means the Chief Executive Officer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have the meaning set forth in Section 16.4(e).</w:t>
      </w:r>
    </w:p>
    <w:p>
      <w:pPr>
        <w:spacing w:after="0" w:line="225"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Incentive Plan Committee</w:t>
      </w:r>
      <w:r>
        <w:rPr>
          <w:rFonts w:ascii="Times New Roman" w:cs="Times New Roman" w:eastAsia="Times New Roman" w:hAnsi="Times New Roman"/>
          <w:sz w:val="18"/>
          <w:szCs w:val="18"/>
          <w:color w:val="auto"/>
        </w:rPr>
        <w:t>” has the meaning set forth in Section 3.1(a).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$0.001 par value,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shall have the meaning set forth in Section 4.2(b).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Deferred Stock</w:t>
      </w:r>
      <w:r>
        <w:rPr>
          <w:rFonts w:ascii="Times New Roman" w:cs="Times New Roman" w:eastAsia="Times New Roman" w:hAnsi="Times New Roman"/>
          <w:sz w:val="18"/>
          <w:szCs w:val="18"/>
          <w:color w:val="auto"/>
        </w:rPr>
        <w:t>” means a right, granted under Article 10, to receive Shares at the end of a specified deferral period.</w:t>
      </w:r>
    </w:p>
    <w:p>
      <w:pPr>
        <w:spacing w:after="0" w:line="225"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unless otherwise defined in an Award Agreement, or as otherwise determined under procedures established by the Committee for purposes of the Plan:</w:t>
      </w:r>
    </w:p>
    <w:p>
      <w:pPr>
        <w:spacing w:after="0" w:line="162" w:lineRule="exact"/>
        <w:rPr>
          <w:sz w:val="20"/>
          <w:szCs w:val="20"/>
          <w:color w:val="auto"/>
        </w:rPr>
      </w:pPr>
    </w:p>
    <w:p>
      <w:pPr>
        <w:ind w:left="1140" w:hanging="251"/>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(b) below, a disability within the meaning of Section 22(e)(3) of the Code; and</w:t>
      </w:r>
    </w:p>
    <w:p>
      <w:pPr>
        <w:spacing w:after="0" w:line="225" w:lineRule="exact"/>
        <w:rPr>
          <w:rFonts w:ascii="Times New Roman" w:cs="Times New Roman" w:eastAsia="Times New Roman" w:hAnsi="Times New Roman"/>
          <w:sz w:val="18"/>
          <w:szCs w:val="18"/>
          <w:color w:val="auto"/>
        </w:rPr>
      </w:pPr>
    </w:p>
    <w:p>
      <w:pPr>
        <w:ind w:right="80" w:firstLine="889"/>
        <w:spacing w:after="0" w:line="282" w:lineRule="auto"/>
        <w:tabs>
          <w:tab w:leader="none" w:pos="11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61" w:lineRule="exact"/>
        <w:rPr>
          <w:rFonts w:ascii="Times New Roman" w:cs="Times New Roman" w:eastAsia="Times New Roman" w:hAnsi="Times New Roman"/>
          <w:sz w:val="18"/>
          <w:szCs w:val="18"/>
          <w:color w:val="auto"/>
        </w:rPr>
      </w:pPr>
    </w:p>
    <w:p>
      <w:pPr>
        <w:ind w:left="880" w:right="160" w:firstLine="450"/>
        <w:spacing w:after="0" w:line="282" w:lineRule="auto"/>
        <w:tabs>
          <w:tab w:leader="none" w:pos="15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161" w:lineRule="exact"/>
        <w:rPr>
          <w:rFonts w:ascii="Times New Roman" w:cs="Times New Roman" w:eastAsia="Times New Roman" w:hAnsi="Times New Roman"/>
          <w:sz w:val="18"/>
          <w:szCs w:val="18"/>
          <w:color w:val="auto"/>
        </w:rPr>
      </w:pPr>
    </w:p>
    <w:p>
      <w:pPr>
        <w:jc w:val="both"/>
        <w:ind w:left="880" w:right="180" w:firstLine="450"/>
        <w:spacing w:after="0" w:line="266" w:lineRule="auto"/>
        <w:tabs>
          <w:tab w:leader="none" w:pos="158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means a right to receive payments equal to dividends or property, if and when paid or distributed, on a specified number of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Section 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means any individual who is an employee (including any officer) of, a non-employee consultant to, or a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of, the Company or any Affiliate; provided, however, that solely with respect to the grant of an Incentive Stock Option, an Eligible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shall be any employee (including any officer) of the Company or any Subsidiary Corporation. Notwithstanding the foregoing, an Eligible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also include an individual who is expected to become an employee to, non-employee consultant of or Non-Employee Director of the Company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within a reasonable period of time after the grant of an Award (other than an Incentive Stock Option); provided that any Award granted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individual shall be automatically terminated and cancelled without consideration if the individual does not begin performing services for the Company</w:t>
      </w:r>
    </w:p>
    <w:p>
      <w:pPr>
        <w:spacing w:after="0" w:line="9" w:lineRule="exact"/>
        <w:rPr>
          <w:sz w:val="20"/>
          <w:szCs w:val="20"/>
          <w:color w:val="auto"/>
        </w:rPr>
      </w:pPr>
    </w:p>
    <w:p>
      <w:pPr>
        <w:ind w:right="720"/>
        <w:spacing w:after="0" w:line="255" w:lineRule="auto"/>
        <w:rPr>
          <w:sz w:val="20"/>
          <w:szCs w:val="20"/>
          <w:color w:val="auto"/>
        </w:rPr>
      </w:pPr>
      <w:r>
        <w:rPr>
          <w:rFonts w:ascii="Times New Roman" w:cs="Times New Roman" w:eastAsia="Times New Roman" w:hAnsi="Times New Roman"/>
          <w:sz w:val="18"/>
          <w:szCs w:val="18"/>
          <w:color w:val="auto"/>
        </w:rPr>
        <w:t>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References to a particular section of the Exchange Act include references to successor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(a) with respect to an Option, the price at which a Share may be purchased by a Grantee pursuant to such Option or</w:t>
      </w:r>
    </w:p>
    <w:p>
      <w:pPr>
        <w:spacing w:after="0" w:line="27" w:lineRule="exact"/>
        <w:rPr>
          <w:sz w:val="20"/>
          <w:szCs w:val="20"/>
          <w:color w:val="auto"/>
        </w:rPr>
      </w:pPr>
    </w:p>
    <w:p>
      <w:pPr>
        <w:ind w:right="18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means a person who has been granted an Award.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is intended to meet the requirements of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includes</w:t>
      </w:r>
      <w:r>
        <w:rPr>
          <w:rFonts w:ascii="Times New Roman" w:cs="Times New Roman" w:eastAsia="Times New Roman" w:hAnsi="Times New Roman"/>
          <w:sz w:val="18"/>
          <w:szCs w:val="18"/>
          <w:color w:val="auto"/>
        </w:rPr>
        <w:t>” means “including, without limitation,” or “includes, without limitation,” respectively.</w:t>
      </w:r>
    </w:p>
    <w:p>
      <w:pPr>
        <w:spacing w:after="0" w:line="225"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Lead Independent Director</w:t>
      </w:r>
      <w:r>
        <w:rPr>
          <w:rFonts w:ascii="Times New Roman" w:cs="Times New Roman" w:eastAsia="Times New Roman" w:hAnsi="Times New Roman"/>
          <w:sz w:val="18"/>
          <w:szCs w:val="18"/>
          <w:color w:val="auto"/>
        </w:rPr>
        <w:t>” means a Non-Employee Director who has been appointed as lead independent director by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u w:val="single" w:color="auto"/>
          <w:color w:val="auto"/>
        </w:rPr>
        <w:t>Management Committee</w:t>
      </w:r>
      <w:r>
        <w:rPr>
          <w:rFonts w:ascii="Times New Roman" w:cs="Times New Roman" w:eastAsia="Times New Roman" w:hAnsi="Times New Roman"/>
          <w:sz w:val="18"/>
          <w:szCs w:val="18"/>
          <w:color w:val="auto"/>
        </w:rPr>
        <w:t>” has the meaning set forth in Section 3.1(b).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is not an employee of the Company or any Affiliate.</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u w:val="single" w:color="auto"/>
          <w:color w:val="auto"/>
        </w:rPr>
        <w:t>Non-Employee Director Chair</w:t>
      </w:r>
      <w:r>
        <w:rPr>
          <w:rFonts w:ascii="Times New Roman" w:cs="Times New Roman" w:eastAsia="Times New Roman" w:hAnsi="Times New Roman"/>
          <w:sz w:val="18"/>
          <w:szCs w:val="18"/>
          <w:color w:val="auto"/>
        </w:rPr>
        <w:t>” means a Non-Employee Director who has been appointed to act as chair of one or more committees of the Board, in accord with the policies and procedures of the Company, the Board and the committees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granted under Article 6 of the Plan.</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Other Stock-Based Award</w:t>
      </w:r>
      <w:r>
        <w:rPr>
          <w:rFonts w:ascii="Times New Roman" w:cs="Times New Roman" w:eastAsia="Times New Roman" w:hAnsi="Times New Roman"/>
          <w:sz w:val="18"/>
          <w:szCs w:val="18"/>
          <w:color w:val="auto"/>
        </w:rPr>
        <w:t>” means a right, granted under Article 13 hereof, that relates to or is valued by reference to Shares or other Awards relating to Shares.</w:t>
      </w:r>
    </w:p>
    <w:p>
      <w:pPr>
        <w:spacing w:after="0" w:line="162" w:lineRule="exact"/>
        <w:rPr>
          <w:sz w:val="20"/>
          <w:szCs w:val="20"/>
          <w:color w:val="auto"/>
        </w:rPr>
      </w:pPr>
    </w:p>
    <w:p>
      <w:pPr>
        <w:ind w:right="540" w:firstLine="441"/>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with respect to an Award of Performance Shares or Performance Units, the period of time during which the performance vesting conditions applicable to such Award must be satisfied.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have the respective meanings set forth in Article 9.</w:t>
      </w:r>
    </w:p>
    <w:p>
      <w:pPr>
        <w:spacing w:after="0" w:line="225" w:lineRule="exact"/>
        <w:rPr>
          <w:sz w:val="20"/>
          <w:szCs w:val="20"/>
          <w:color w:val="auto"/>
        </w:rPr>
      </w:pPr>
    </w:p>
    <w:p>
      <w:pPr>
        <w:ind w:right="600" w:firstLine="441"/>
        <w:spacing w:after="0" w:line="282"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Restricted Shares are subject to forfeiture if the conditions specified in the Award Agreement are not satisfied.</w:t>
      </w:r>
    </w:p>
    <w:p>
      <w:pPr>
        <w:spacing w:after="0" w:line="162" w:lineRule="exact"/>
        <w:rPr>
          <w:sz w:val="20"/>
          <w:szCs w:val="20"/>
          <w:color w:val="auto"/>
        </w:rPr>
      </w:pPr>
    </w:p>
    <w:p>
      <w:pPr>
        <w:ind w:right="380" w:firstLine="441"/>
        <w:spacing w:after="0" w:line="312" w:lineRule="auto"/>
        <w:rPr>
          <w:sz w:val="20"/>
          <w:szCs w:val="20"/>
          <w:color w:val="auto"/>
        </w:rPr>
      </w:pPr>
      <w:r>
        <w:rPr>
          <w:rFonts w:ascii="Times New Roman" w:cs="Times New Roman" w:eastAsia="Times New Roman" w:hAnsi="Times New Roman"/>
          <w:sz w:val="17"/>
          <w:szCs w:val="17"/>
          <w:color w:val="auto"/>
        </w:rPr>
        <w:t>2.35 “</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40" w:lineRule="exact"/>
        <w:rPr>
          <w:sz w:val="20"/>
          <w:szCs w:val="20"/>
          <w:color w:val="auto"/>
        </w:rPr>
      </w:pPr>
    </w:p>
    <w:p>
      <w:pPr>
        <w:ind w:right="360" w:firstLine="441"/>
        <w:spacing w:after="0" w:line="282" w:lineRule="auto"/>
        <w:rPr>
          <w:sz w:val="20"/>
          <w:szCs w:val="20"/>
          <w:color w:val="auto"/>
        </w:rPr>
      </w:pPr>
      <w:r>
        <w:rPr>
          <w:rFonts w:ascii="Times New Roman" w:cs="Times New Roman" w:eastAsia="Times New Roman" w:hAnsi="Times New Roman"/>
          <w:sz w:val="18"/>
          <w:szCs w:val="18"/>
          <w:color w:val="auto"/>
        </w:rPr>
        <w:t>2.36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62"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are rights, granted under Article 10, to receive Shares (or cash in lieu thereof) if the Grantee satisfies the conditions specified in the Award Agreement applicable to such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by the SEC under the Exchange Act, as amended from time to time, together with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successor thereto.</w:t>
      </w:r>
    </w:p>
    <w:p>
      <w:pPr>
        <w:spacing w:after="0" w:line="225" w:lineRule="exact"/>
        <w:rPr>
          <w:sz w:val="20"/>
          <w:szCs w:val="20"/>
          <w:color w:val="auto"/>
        </w:rPr>
      </w:pPr>
    </w:p>
    <w:p>
      <w:pPr>
        <w:ind w:right="380" w:firstLine="441"/>
        <w:spacing w:after="0" w:line="282"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Section 16 Non-Employee Director</w:t>
      </w:r>
      <w:r>
        <w:rPr>
          <w:rFonts w:ascii="Times New Roman" w:cs="Times New Roman" w:eastAsia="Times New Roman" w:hAnsi="Times New Roman"/>
          <w:sz w:val="18"/>
          <w:szCs w:val="18"/>
          <w:color w:val="auto"/>
        </w:rPr>
        <w:t>” means a member of the Board who satisfies the requirements to qualify as a “non-employee director” under Rule 16b-3.</w:t>
      </w:r>
    </w:p>
    <w:p>
      <w:pPr>
        <w:spacing w:after="0" w:line="162"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Section 16 Person</w:t>
      </w:r>
      <w:r>
        <w:rPr>
          <w:rFonts w:ascii="Times New Roman" w:cs="Times New Roman" w:eastAsia="Times New Roman" w:hAnsi="Times New Roman"/>
          <w:sz w:val="18"/>
          <w:szCs w:val="18"/>
          <w:color w:val="auto"/>
        </w:rPr>
        <w:t>” means a person who is subject to potential liability under Section 16(b) of the Exchange Act with respect to transactions involving equity securities of the Company.</w:t>
      </w:r>
    </w:p>
    <w:p>
      <w:pPr>
        <w:spacing w:after="0" w:line="162"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92"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and such other securities of the Company, as may be substituted or resubstituted for Shares pursuant to Section 4.2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an Award granted under Article 7 of the Plan.</w:t>
      </w:r>
    </w:p>
    <w:p>
      <w:pPr>
        <w:spacing w:after="0" w:line="225"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Subsidiary Corporation</w:t>
      </w:r>
      <w:r>
        <w:rPr>
          <w:rFonts w:ascii="Times New Roman" w:cs="Times New Roman" w:eastAsia="Times New Roman" w:hAnsi="Times New Roman"/>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76"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2.46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2.47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62"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Termination of Affiliation</w:t>
      </w:r>
      <w:r>
        <w:rPr>
          <w:rFonts w:ascii="Times New Roman" w:cs="Times New Roman" w:eastAsia="Times New Roman" w:hAnsi="Times New Roman"/>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6" w:lineRule="auto"/>
        <w:tabs>
          <w:tab w:leader="none" w:pos="11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187" w:lineRule="exact"/>
        <w:rPr>
          <w:rFonts w:ascii="Times New Roman" w:cs="Times New Roman" w:eastAsia="Times New Roman" w:hAnsi="Times New Roman"/>
          <w:sz w:val="18"/>
          <w:szCs w:val="18"/>
          <w:color w:val="auto"/>
        </w:rPr>
      </w:pPr>
    </w:p>
    <w:p>
      <w:pPr>
        <w:ind w:right="240" w:firstLine="889"/>
        <w:spacing w:after="0" w:line="266" w:lineRule="auto"/>
        <w:tabs>
          <w:tab w:leader="none" w:pos="11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175" w:lineRule="exact"/>
        <w:rPr>
          <w:rFonts w:ascii="Times New Roman" w:cs="Times New Roman" w:eastAsia="Times New Roman" w:hAnsi="Times New Roman"/>
          <w:sz w:val="18"/>
          <w:szCs w:val="18"/>
          <w:color w:val="auto"/>
        </w:rPr>
      </w:pPr>
    </w:p>
    <w:p>
      <w:pPr>
        <w:ind w:right="60" w:firstLine="889"/>
        <w:spacing w:after="0" w:line="256" w:lineRule="auto"/>
        <w:tabs>
          <w:tab w:leader="none" w:pos="11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87"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Powers of Committee</w:t>
      </w:r>
      <w:r>
        <w:rPr>
          <w:rFonts w:ascii="Times New Roman" w:cs="Times New Roman" w:eastAsia="Times New Roman" w:hAnsi="Times New Roman"/>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180" w:lineRule="exact"/>
        <w:rPr>
          <w:sz w:val="20"/>
          <w:szCs w:val="20"/>
          <w:color w:val="auto"/>
        </w:rPr>
      </w:pPr>
    </w:p>
    <w:p>
      <w:pPr>
        <w:ind w:left="1140" w:hanging="251"/>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to whom and in what types and amounts Awards should be granted;</w:t>
      </w:r>
    </w:p>
    <w:p>
      <w:pPr>
        <w:spacing w:after="0" w:line="225" w:lineRule="exact"/>
        <w:rPr>
          <w:rFonts w:ascii="Times New Roman" w:cs="Times New Roman" w:eastAsia="Times New Roman" w:hAnsi="Times New Roman"/>
          <w:sz w:val="18"/>
          <w:szCs w:val="18"/>
          <w:color w:val="auto"/>
        </w:rPr>
      </w:pPr>
    </w:p>
    <w:p>
      <w:pPr>
        <w:ind w:right="100" w:firstLine="889"/>
        <w:spacing w:after="0" w:line="258" w:lineRule="auto"/>
        <w:tabs>
          <w:tab w:leader="none" w:pos="11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ind w:right="80" w:firstLine="889"/>
        <w:spacing w:after="0" w:line="282" w:lineRule="auto"/>
        <w:tabs>
          <w:tab w:leader="none" w:pos="112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161" w:lineRule="exact"/>
        <w:rPr>
          <w:rFonts w:ascii="Times New Roman" w:cs="Times New Roman" w:eastAsia="Times New Roman" w:hAnsi="Times New Roman"/>
          <w:sz w:val="18"/>
          <w:szCs w:val="18"/>
          <w:color w:val="auto"/>
        </w:rPr>
      </w:pPr>
    </w:p>
    <w:p>
      <w:pPr>
        <w:ind w:right="400" w:firstLine="889"/>
        <w:spacing w:after="0" w:line="282" w:lineRule="auto"/>
        <w:tabs>
          <w:tab w:leader="none" w:pos="11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 of any Option or SAR;</w:t>
      </w:r>
    </w:p>
    <w:p>
      <w:pPr>
        <w:spacing w:after="0" w:line="225" w:lineRule="exact"/>
        <w:rPr>
          <w:rFonts w:ascii="Times New Roman" w:cs="Times New Roman" w:eastAsia="Times New Roman" w:hAnsi="Times New Roman"/>
          <w:sz w:val="18"/>
          <w:szCs w:val="18"/>
          <w:color w:val="auto"/>
        </w:rPr>
      </w:pPr>
    </w:p>
    <w:p>
      <w:pPr>
        <w:ind w:right="120" w:firstLine="889"/>
        <w:spacing w:after="0" w:line="266" w:lineRule="auto"/>
        <w:tabs>
          <w:tab w:leader="none" w:pos="11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175" w:lineRule="exact"/>
        <w:rPr>
          <w:rFonts w:ascii="Times New Roman" w:cs="Times New Roman" w:eastAsia="Times New Roman" w:hAnsi="Times New Roman"/>
          <w:sz w:val="18"/>
          <w:szCs w:val="18"/>
          <w:color w:val="auto"/>
        </w:rPr>
      </w:pPr>
    </w:p>
    <w:p>
      <w:pPr>
        <w:ind w:right="80" w:firstLine="889"/>
        <w:spacing w:after="0" w:line="261" w:lineRule="auto"/>
        <w:tabs>
          <w:tab w:leader="none" w:pos="11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17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offer to exchange or buy out any previously granted Award for a payment in cash, Shares or other Award;</w:t>
      </w:r>
    </w:p>
    <w:p>
      <w:pPr>
        <w:spacing w:after="0" w:line="225" w:lineRule="exact"/>
        <w:rPr>
          <w:rFonts w:ascii="Times New Roman" w:cs="Times New Roman" w:eastAsia="Times New Roman" w:hAnsi="Times New Roman"/>
          <w:sz w:val="18"/>
          <w:szCs w:val="18"/>
          <w:color w:val="auto"/>
        </w:rPr>
      </w:pPr>
    </w:p>
    <w:p>
      <w:pPr>
        <w:ind w:right="840" w:firstLine="889"/>
        <w:spacing w:after="0" w:line="282" w:lineRule="auto"/>
        <w:tabs>
          <w:tab w:leader="none" w:pos="10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Plan and to make all determinations, including factual determinations, necessary or advisable for the administration of the Plan;</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amend, suspend, waive and rescind rules and regulations relating to the Plan;</w:t>
      </w:r>
    </w:p>
    <w:p>
      <w:pPr>
        <w:spacing w:after="0" w:line="225" w:lineRule="exact"/>
        <w:rPr>
          <w:rFonts w:ascii="Times New Roman" w:cs="Times New Roman" w:eastAsia="Times New Roman" w:hAnsi="Times New Roman"/>
          <w:sz w:val="18"/>
          <w:szCs w:val="18"/>
          <w:color w:val="auto"/>
        </w:rPr>
      </w:pPr>
    </w:p>
    <w:p>
      <w:pPr>
        <w:ind w:left="1100" w:hanging="211"/>
        <w:spacing w:after="0"/>
        <w:tabs>
          <w:tab w:leader="none" w:pos="11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as the Committee may deem necessary or advisable to administer the Plan;</w:t>
      </w:r>
    </w:p>
    <w:p>
      <w:pPr>
        <w:spacing w:after="0" w:line="225" w:lineRule="exact"/>
        <w:rPr>
          <w:rFonts w:ascii="Times New Roman" w:cs="Times New Roman" w:eastAsia="Times New Roman" w:hAnsi="Times New Roman"/>
          <w:sz w:val="18"/>
          <w:szCs w:val="18"/>
          <w:color w:val="auto"/>
        </w:rPr>
      </w:pPr>
    </w:p>
    <w:p>
      <w:pPr>
        <w:ind w:right="40" w:firstLine="889"/>
        <w:spacing w:after="0" w:line="272" w:lineRule="auto"/>
        <w:tabs>
          <w:tab w:leader="none" w:pos="1186"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w:t>
      </w:r>
    </w:p>
    <w:p>
      <w:pPr>
        <w:spacing w:after="0" w:line="1" w:lineRule="exact"/>
        <w:rPr>
          <w:rFonts w:ascii="Times New Roman" w:cs="Times New Roman" w:eastAsia="Times New Roman" w:hAnsi="Times New Roman"/>
          <w:sz w:val="17"/>
          <w:szCs w:val="17"/>
          <w:color w:val="auto"/>
        </w:rPr>
      </w:pPr>
    </w:p>
    <w:p>
      <w:pPr>
        <w:ind w:right="20" w:firstLine="8"/>
        <w:spacing w:after="0" w:line="260"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18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with the consent of the Grantee, outstanding Awards and to grant new Awards in substitution therefor;</w:t>
      </w:r>
    </w:p>
    <w:p>
      <w:pPr>
        <w:spacing w:after="0" w:line="225" w:lineRule="exact"/>
        <w:rPr>
          <w:rFonts w:ascii="Times New Roman" w:cs="Times New Roman" w:eastAsia="Times New Roman" w:hAnsi="Times New Roman"/>
          <w:sz w:val="18"/>
          <w:szCs w:val="18"/>
          <w:color w:val="auto"/>
        </w:rPr>
      </w:pPr>
    </w:p>
    <w:p>
      <w:pPr>
        <w:ind w:right="20" w:firstLine="889"/>
        <w:spacing w:after="0" w:line="312" w:lineRule="auto"/>
        <w:tabs>
          <w:tab w:leader="none" w:pos="113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139" w:lineRule="exact"/>
        <w:rPr>
          <w:rFonts w:ascii="Times New Roman" w:cs="Times New Roman" w:eastAsia="Times New Roman" w:hAnsi="Times New Roman"/>
          <w:sz w:val="17"/>
          <w:szCs w:val="17"/>
          <w:color w:val="auto"/>
        </w:rPr>
      </w:pPr>
    </w:p>
    <w:p>
      <w:pPr>
        <w:jc w:val="both"/>
        <w:ind w:right="80" w:firstLine="889"/>
        <w:spacing w:after="0" w:line="266"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75" w:lineRule="exact"/>
        <w:rPr>
          <w:rFonts w:ascii="Times New Roman" w:cs="Times New Roman" w:eastAsia="Times New Roman" w:hAnsi="Times New Roman"/>
          <w:sz w:val="18"/>
          <w:szCs w:val="18"/>
          <w:color w:val="auto"/>
        </w:rPr>
      </w:pPr>
    </w:p>
    <w:p>
      <w:pPr>
        <w:ind w:firstLine="889"/>
        <w:spacing w:after="0" w:line="282"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ind w:right="320" w:firstLine="889"/>
        <w:spacing w:after="0" w:line="282" w:lineRule="auto"/>
        <w:tabs>
          <w:tab w:leader="none" w:pos="11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62"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 Repricings</w:t>
      </w:r>
      <w:r>
        <w:rPr>
          <w:rFonts w:ascii="Times New Roman" w:cs="Times New Roman" w:eastAsia="Times New Roman" w:hAnsi="Times New Roman"/>
          <w:sz w:val="18"/>
          <w:szCs w:val="18"/>
          <w:color w:val="auto"/>
        </w:rPr>
        <w:t>. Notwithstanding any provision in Section 3.2 to the contrary, the terms of any outstanding Option or SAR may not be amended:</w:t>
      </w:r>
    </w:p>
    <w:p>
      <w:pPr>
        <w:spacing w:after="0" w:line="27" w:lineRule="exact"/>
        <w:rPr>
          <w:sz w:val="20"/>
          <w:szCs w:val="20"/>
          <w:color w:val="auto"/>
        </w:rPr>
      </w:pPr>
    </w:p>
    <w:p>
      <w:pPr>
        <w:ind w:right="40" w:firstLine="8"/>
        <w:spacing w:after="0" w:line="252" w:lineRule="auto"/>
        <w:tabs>
          <w:tab w:leader="none" w:pos="2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the Exercise Price of such Option or SAR, (ii)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or (iii) take any other action with respect to an Option or SAR that would be treated as a repricing under the rules and regulations on the principal securities exchange on which the Shares are traded, in each case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07"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Number of Shares Available for Grants</w:t>
      </w:r>
      <w:r>
        <w:rPr>
          <w:rFonts w:ascii="Times New Roman" w:cs="Times New Roman" w:eastAsia="Times New Roman" w:hAnsi="Times New Roman"/>
          <w:sz w:val="18"/>
          <w:szCs w:val="18"/>
          <w:color w:val="auto"/>
        </w:rPr>
        <w:t>. Subject to adjustment as provided in Section 4.2 and the share counting provisions in this Section 4.1, and except as provided in Section 5.6(b), as of the Effective Date, the maximum number of Shares hereby reserved for delivery pursuant to Awards granted under the Plan shall be 8,750,000 Shares. Up to a maximum of 8,750,000 Shares may be delivered pursuant to the exercise of Incentive Stock Options granted hereunder.</w:t>
      </w:r>
    </w:p>
    <w:p>
      <w:pPr>
        <w:spacing w:after="0" w:line="18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If any Shares subject to an Award granted hereunder (other than a Substitute Award granted pursuant to Section 5.6(b)) are forfeited or such Award otherwise terminates without payment or delivery of all or a portion of such Shares (including on payment in Shares on exercise of a SAR), the Shares subject to such Award, to the extent of any such forfeiture or termination, shall again be available for grant under the Plan. In the event that any Shares subject to an Award granted hereunder are withheld or applied as payment (either actually or by attestation) in connection with the exercise of an Award or the withholding or payment of taxes related thereto (“Returned Shares”), such Returned Shares will not be treated as having been delivered for purposes of determining the maximum number of Shares available for grant under the Plan and shall again be treated as available for grant under the Plan.</w:t>
      </w:r>
    </w:p>
    <w:p>
      <w:pPr>
        <w:spacing w:after="0" w:line="187"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Shares delivered pursuant to the Plan may be, in whole or in part, authorized and unissued Shares, or treasury Shares, including Shares repurchased by the Company for purposes of the Plan.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Adjustments in Authorized Shares and Awards; Corporate Transaction, Liquidation or Dissolution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in Authorized Shares and Awards</w:t>
      </w:r>
      <w:r>
        <w:rPr>
          <w:rFonts w:ascii="Times New Roman" w:cs="Times New Roman" w:eastAsia="Times New Roman" w:hAnsi="Times New Roman"/>
          <w:sz w:val="18"/>
          <w:szCs w:val="18"/>
          <w:color w:val="auto"/>
        </w:rPr>
        <w:t xml:space="preserve">.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 (iv) 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number of Shares subject to any Award denominated in Shares shall always be a whole number.</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ind w:firstLine="889"/>
        <w:spacing w:after="0" w:line="253" w:lineRule="auto"/>
        <w:tabs>
          <w:tab w:leader="none" w:pos="11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Consolidation or Similar Corporate Transaction</w:t>
      </w:r>
      <w:r>
        <w:rPr>
          <w:rFonts w:ascii="Times New Roman" w:cs="Times New Roman" w:eastAsia="Times New Roman" w:hAnsi="Times New Roman"/>
          <w:sz w:val="18"/>
          <w:szCs w:val="18"/>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187" w:lineRule="exact"/>
        <w:rPr>
          <w:rFonts w:ascii="Times New Roman" w:cs="Times New Roman" w:eastAsia="Times New Roman" w:hAnsi="Times New Roman"/>
          <w:sz w:val="18"/>
          <w:szCs w:val="18"/>
          <w:color w:val="auto"/>
        </w:rPr>
      </w:pPr>
    </w:p>
    <w:p>
      <w:pPr>
        <w:ind w:right="60" w:firstLine="889"/>
        <w:spacing w:after="0" w:line="256" w:lineRule="auto"/>
        <w:tabs>
          <w:tab w:leader="none" w:pos="112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or Dissolution of the Company</w:t>
      </w:r>
      <w:r>
        <w:rPr>
          <w:rFonts w:ascii="Times New Roman" w:cs="Times New Roman" w:eastAsia="Times New Roman" w:hAnsi="Times New Roman"/>
          <w:sz w:val="18"/>
          <w:szCs w:val="18"/>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87" w:lineRule="exact"/>
        <w:rPr>
          <w:rFonts w:ascii="Times New Roman" w:cs="Times New Roman" w:eastAsia="Times New Roman" w:hAnsi="Times New Roman"/>
          <w:sz w:val="18"/>
          <w:szCs w:val="18"/>
          <w:color w:val="auto"/>
        </w:rPr>
      </w:pPr>
    </w:p>
    <w:p>
      <w:pPr>
        <w:ind w:right="60" w:firstLine="889"/>
        <w:spacing w:after="0" w:line="266" w:lineRule="auto"/>
        <w:tabs>
          <w:tab w:leader="none" w:pos="11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Compensation</w:t>
      </w:r>
      <w:r>
        <w:rPr>
          <w:rFonts w:ascii="Times New Roman" w:cs="Times New Roman" w:eastAsia="Times New Roman" w:hAnsi="Times New Roman"/>
          <w:sz w:val="18"/>
          <w:szCs w:val="18"/>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ELIGIBILITY AND GENERAL CONDITIONS OF AWARDS</w:t>
      </w:r>
    </w:p>
    <w:p>
      <w:pPr>
        <w:spacing w:after="0" w:line="207"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To the extent not set forth in the Plan, the terms and conditions of each Award shall be set forth in an Award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 w:name="page13"/>
    <w:bookmarkEnd w:id="12"/>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General Terms and Termination of Affiliation</w:t>
      </w:r>
      <w:r>
        <w:rPr>
          <w:rFonts w:ascii="Times New Roman" w:cs="Times New Roman" w:eastAsia="Times New Roman" w:hAnsi="Times New Roman"/>
          <w:sz w:val="18"/>
          <w:szCs w:val="18"/>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and (b) all outstanding Options and SARs not previously exercised shall expire three months after the Grantee’s Termination of Affiliation.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889"/>
        <w:spacing w:after="0" w:line="266" w:lineRule="auto"/>
        <w:tabs>
          <w:tab w:leader="none" w:pos="11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175" w:lineRule="exact"/>
        <w:rPr>
          <w:rFonts w:ascii="Times New Roman" w:cs="Times New Roman" w:eastAsia="Times New Roman" w:hAnsi="Times New Roman"/>
          <w:sz w:val="18"/>
          <w:szCs w:val="18"/>
          <w:color w:val="auto"/>
        </w:rPr>
      </w:pPr>
    </w:p>
    <w:p>
      <w:pPr>
        <w:jc w:val="both"/>
        <w:ind w:right="40" w:firstLine="889"/>
        <w:spacing w:after="0" w:line="258" w:lineRule="auto"/>
        <w:tabs>
          <w:tab w:leader="none" w:pos="11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183" w:lineRule="exact"/>
        <w:rPr>
          <w:rFonts w:ascii="Times New Roman" w:cs="Times New Roman" w:eastAsia="Times New Roman" w:hAnsi="Times New Roman"/>
          <w:sz w:val="18"/>
          <w:szCs w:val="18"/>
          <w:color w:val="auto"/>
        </w:rPr>
      </w:pPr>
    </w:p>
    <w:p>
      <w:pPr>
        <w:ind w:right="20" w:firstLine="889"/>
        <w:spacing w:after="0" w:line="253" w:lineRule="auto"/>
        <w:tabs>
          <w:tab w:leader="none" w:pos="112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89"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as requiring the Committee to honor a QDRO except to the extent required under applicable law.</w:t>
      </w:r>
    </w:p>
    <w:p>
      <w:pPr>
        <w:spacing w:after="0" w:line="225"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Cancellation and Rescission of Awards</w:t>
      </w:r>
      <w:r>
        <w:rPr>
          <w:rFonts w:ascii="Times New Roman" w:cs="Times New Roman" w:eastAsia="Times New Roman" w:hAnsi="Times New Roman"/>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Stand-Alone, Tandem and Substitute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69" w:lineRule="auto"/>
        <w:tabs>
          <w:tab w:leader="none" w:pos="112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w:t>
      </w:r>
    </w:p>
    <w:p>
      <w:pPr>
        <w:spacing w:after="0" w:line="2" w:lineRule="exact"/>
        <w:rPr>
          <w:rFonts w:ascii="Times New Roman" w:cs="Times New Roman" w:eastAsia="Times New Roman" w:hAnsi="Times New Roman"/>
          <w:sz w:val="17"/>
          <w:szCs w:val="17"/>
          <w:color w:val="auto"/>
        </w:rPr>
      </w:pPr>
    </w:p>
    <w:p>
      <w:pPr>
        <w:ind w:right="26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3" w:name="page14"/>
    <w:bookmarkEnd w:id="13"/>
    <w:p>
      <w:pPr>
        <w:ind w:right="100" w:firstLine="889"/>
        <w:spacing w:after="0" w:line="254" w:lineRule="auto"/>
        <w:tabs>
          <w:tab w:leader="none" w:pos="11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9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Compliance with Rule 16b-3</w:t>
      </w:r>
      <w:r>
        <w:rPr>
          <w:rFonts w:ascii="Times New Roman" w:cs="Times New Roman" w:eastAsia="Times New Roman" w:hAnsi="Times New Roman"/>
          <w:sz w:val="18"/>
          <w:szCs w:val="18"/>
          <w:color w:val="auto"/>
        </w:rPr>
        <w:t>. The provisions of this Section 5.7will not apply unless and until the Company has a class of stock that is registered under Section 12 of the Exchange Act.</w:t>
      </w:r>
    </w:p>
    <w:p>
      <w:pPr>
        <w:spacing w:after="0" w:line="162" w:lineRule="exact"/>
        <w:rPr>
          <w:sz w:val="20"/>
          <w:szCs w:val="20"/>
          <w:color w:val="auto"/>
        </w:rPr>
      </w:pPr>
    </w:p>
    <w:p>
      <w:pPr>
        <w:ind w:right="200" w:firstLine="889"/>
        <w:spacing w:after="0" w:line="256" w:lineRule="auto"/>
        <w:tabs>
          <w:tab w:leader="none" w:pos="112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Six-Month Holding Period Advice</w:t>
      </w:r>
      <w:r>
        <w:rPr>
          <w:rFonts w:ascii="Times New Roman" w:cs="Times New Roman" w:eastAsia="Times New Roman" w:hAnsi="Times New Roman"/>
          <w:sz w:val="18"/>
          <w:szCs w:val="18"/>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187" w:lineRule="exact"/>
        <w:rPr>
          <w:rFonts w:ascii="Times New Roman" w:cs="Times New Roman" w:eastAsia="Times New Roman" w:hAnsi="Times New Roman"/>
          <w:sz w:val="18"/>
          <w:szCs w:val="18"/>
          <w:color w:val="auto"/>
        </w:rPr>
      </w:pPr>
    </w:p>
    <w:p>
      <w:pPr>
        <w:ind w:firstLine="889"/>
        <w:spacing w:after="0" w:line="258" w:lineRule="auto"/>
        <w:tabs>
          <w:tab w:leader="none" w:pos="11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Reformation to Comply with Exchange Act Rules</w:t>
      </w:r>
      <w:r>
        <w:rPr>
          <w:rFonts w:ascii="Times New Roman" w:cs="Times New Roman" w:eastAsia="Times New Roman" w:hAnsi="Times New Roman"/>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183" w:lineRule="exact"/>
        <w:rPr>
          <w:rFonts w:ascii="Times New Roman" w:cs="Times New Roman" w:eastAsia="Times New Roman" w:hAnsi="Times New Roman"/>
          <w:sz w:val="18"/>
          <w:szCs w:val="18"/>
          <w:color w:val="auto"/>
        </w:rPr>
      </w:pPr>
    </w:p>
    <w:p>
      <w:pPr>
        <w:ind w:right="120" w:firstLine="889"/>
        <w:spacing w:after="0" w:line="277" w:lineRule="auto"/>
        <w:tabs>
          <w:tab w:leader="none" w:pos="112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Rule 16b-3 Administration</w:t>
      </w:r>
      <w:r>
        <w:rPr>
          <w:rFonts w:ascii="Times New Roman" w:cs="Times New Roman" w:eastAsia="Times New Roman" w:hAnsi="Times New Roman"/>
          <w:sz w:val="17"/>
          <w:szCs w:val="17"/>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68" w:lineRule="exact"/>
        <w:rPr>
          <w:sz w:val="20"/>
          <w:szCs w:val="20"/>
          <w:color w:val="auto"/>
        </w:rPr>
      </w:pPr>
    </w:p>
    <w:p>
      <w:pPr>
        <w:ind w:right="40" w:firstLine="441"/>
        <w:spacing w:after="0" w:line="254"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Deferral of Award Payouts</w:t>
      </w:r>
      <w:r>
        <w:rPr>
          <w:rFonts w:ascii="Times New Roman" w:cs="Times New Roman" w:eastAsia="Times New Roman" w:hAnsi="Times New Roman"/>
          <w:sz w:val="18"/>
          <w:szCs w:val="18"/>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7"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62"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76"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Option Exercise Price</w:t>
      </w:r>
      <w:r>
        <w:rPr>
          <w:rFonts w:ascii="Times New Roman" w:cs="Times New Roman" w:eastAsia="Times New Roman" w:hAnsi="Times New Roman"/>
          <w:sz w:val="18"/>
          <w:szCs w:val="18"/>
          <w:color w:val="auto"/>
        </w:rPr>
        <w:t>. The Exercise Price of an Option under this Plan shall be determined in the sole discretion of the Committee but may not be less than 100% of the Fair Market Value of a Share on the Grant Date (other than in the case of Substitute Awards).</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Grant of Incentive Stock Options</w:t>
      </w:r>
      <w:r>
        <w:rPr>
          <w:rFonts w:ascii="Times New Roman" w:cs="Times New Roman" w:eastAsia="Times New Roman" w:hAnsi="Times New Roman"/>
          <w:sz w:val="18"/>
          <w:szCs w:val="18"/>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2" w:lineRule="exact"/>
        <w:rPr>
          <w:sz w:val="20"/>
          <w:szCs w:val="20"/>
          <w:color w:val="auto"/>
        </w:rPr>
      </w:pPr>
    </w:p>
    <w:p>
      <w:pPr>
        <w:ind w:left="1140" w:hanging="25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granted only to an employee of the Company or a Subsidiary Corporation;</w:t>
      </w:r>
    </w:p>
    <w:p>
      <w:pPr>
        <w:spacing w:after="0" w:line="225" w:lineRule="exact"/>
        <w:rPr>
          <w:rFonts w:ascii="Times New Roman" w:cs="Times New Roman" w:eastAsia="Times New Roman" w:hAnsi="Times New Roman"/>
          <w:sz w:val="18"/>
          <w:szCs w:val="18"/>
          <w:color w:val="auto"/>
        </w:rPr>
      </w:pPr>
    </w:p>
    <w:p>
      <w:pPr>
        <w:jc w:val="both"/>
        <w:ind w:right="180" w:firstLine="889"/>
        <w:spacing w:after="0" w:line="261"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179" w:lineRule="exact"/>
        <w:rPr>
          <w:rFonts w:ascii="Times New Roman" w:cs="Times New Roman" w:eastAsia="Times New Roman" w:hAnsi="Times New Roman"/>
          <w:sz w:val="18"/>
          <w:szCs w:val="18"/>
          <w:color w:val="auto"/>
        </w:rPr>
      </w:pPr>
    </w:p>
    <w:p>
      <w:pPr>
        <w:ind w:right="420" w:firstLine="889"/>
        <w:spacing w:after="0" w:line="282" w:lineRule="auto"/>
        <w:tabs>
          <w:tab w:leader="none" w:pos="1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161"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179"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79" w:lineRule="exact"/>
        <w:rPr>
          <w:rFonts w:ascii="Times New Roman" w:cs="Times New Roman" w:eastAsia="Times New Roman" w:hAnsi="Times New Roman"/>
          <w:sz w:val="18"/>
          <w:szCs w:val="18"/>
          <w:color w:val="auto"/>
        </w:rPr>
      </w:pPr>
    </w:p>
    <w:p>
      <w:pPr>
        <w:ind w:right="60" w:firstLine="889"/>
        <w:spacing w:after="0" w:line="266" w:lineRule="auto"/>
        <w:tabs>
          <w:tab w:leader="none" w:pos="110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175" w:lineRule="exact"/>
        <w:rPr>
          <w:rFonts w:ascii="Times New Roman" w:cs="Times New Roman" w:eastAsia="Times New Roman" w:hAnsi="Times New Roman"/>
          <w:sz w:val="18"/>
          <w:szCs w:val="18"/>
          <w:color w:val="auto"/>
        </w:rPr>
      </w:pPr>
    </w:p>
    <w:p>
      <w:pPr>
        <w:ind w:right="220" w:firstLine="889"/>
        <w:spacing w:after="0" w:line="266"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175" w:lineRule="exact"/>
        <w:rPr>
          <w:rFonts w:ascii="Times New Roman" w:cs="Times New Roman" w:eastAsia="Times New Roman" w:hAnsi="Times New Roman"/>
          <w:sz w:val="18"/>
          <w:szCs w:val="18"/>
          <w:color w:val="auto"/>
        </w:rPr>
      </w:pPr>
    </w:p>
    <w:p>
      <w:pPr>
        <w:jc w:val="both"/>
        <w:ind w:firstLine="889"/>
        <w:spacing w:after="0" w:line="266" w:lineRule="auto"/>
        <w:tabs>
          <w:tab w:leader="none" w:pos="11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76"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62"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of Exercise Price</w:t>
      </w:r>
      <w:r>
        <w:rPr>
          <w:rFonts w:ascii="Times New Roman" w:cs="Times New Roman" w:eastAsia="Times New Roman" w:hAnsi="Times New Roman"/>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ind w:left="1140" w:hanging="25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personal check or wire transfer;</w:t>
      </w:r>
    </w:p>
    <w:p>
      <w:pPr>
        <w:spacing w:after="0" w:line="225" w:lineRule="exact"/>
        <w:rPr>
          <w:rFonts w:ascii="Times New Roman" w:cs="Times New Roman" w:eastAsia="Times New Roman" w:hAnsi="Times New Roman"/>
          <w:sz w:val="18"/>
          <w:szCs w:val="18"/>
          <w:color w:val="auto"/>
        </w:rPr>
      </w:pPr>
    </w:p>
    <w:p>
      <w:pPr>
        <w:ind w:right="40" w:firstLine="889"/>
        <w:spacing w:after="0" w:line="282" w:lineRule="auto"/>
        <w:tabs>
          <w:tab w:leader="none" w:pos="11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delivery of Common Stock owned by the Grantee prior to exercise, valued at Fair Market Value on the date of exercise;</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Shares acquired upon the exercise of such Option, such Shares valued at Fair Market Value on the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exercise;</w:t>
      </w:r>
    </w:p>
    <w:p>
      <w:pPr>
        <w:spacing w:after="0" w:line="206" w:lineRule="exact"/>
        <w:rPr>
          <w:rFonts w:ascii="Times New Roman" w:cs="Times New Roman" w:eastAsia="Times New Roman" w:hAnsi="Times New Roman"/>
          <w:sz w:val="18"/>
          <w:szCs w:val="18"/>
          <w:color w:val="auto"/>
        </w:rPr>
      </w:pPr>
    </w:p>
    <w:p>
      <w:pPr>
        <w:ind w:right="120" w:firstLine="889"/>
        <w:spacing w:after="0" w:line="282" w:lineRule="auto"/>
        <w:tabs>
          <w:tab w:leader="none" w:pos="11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the Committee, Restricted Shares held by the Grantee prior to the exercise of the Option, valued at Fair Market Value on the date of exercise; or</w:t>
      </w:r>
    </w:p>
    <w:p>
      <w:pPr>
        <w:spacing w:after="0" w:line="161" w:lineRule="exact"/>
        <w:rPr>
          <w:rFonts w:ascii="Times New Roman" w:cs="Times New Roman" w:eastAsia="Times New Roman" w:hAnsi="Times New Roman"/>
          <w:sz w:val="18"/>
          <w:szCs w:val="18"/>
          <w:color w:val="auto"/>
        </w:rPr>
      </w:pPr>
    </w:p>
    <w:p>
      <w:pPr>
        <w:ind w:right="60" w:firstLine="889"/>
        <w:spacing w:after="0" w:line="261" w:lineRule="auto"/>
        <w:tabs>
          <w:tab w:leader="none" w:pos="11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80"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color w:val="auto"/>
        </w:rPr>
        <w:t>The Committee may in its discretion specify that, if any Restricted Shares (“Tendered Restricted Shares”) are used to pay the Exercise Price, (x) 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07" w:lineRule="exact"/>
        <w:rPr>
          <w:sz w:val="20"/>
          <w:szCs w:val="20"/>
          <w:color w:val="auto"/>
        </w:rPr>
      </w:pPr>
    </w:p>
    <w:p>
      <w:pPr>
        <w:ind w:right="160" w:firstLine="441"/>
        <w:spacing w:after="0" w:line="289"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58"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Award Agreements</w:t>
      </w:r>
      <w:r>
        <w:rPr>
          <w:rFonts w:ascii="Times New Roman" w:cs="Times New Roman" w:eastAsia="Times New Roman" w:hAnsi="Times New Roman"/>
          <w:sz w:val="18"/>
          <w:szCs w:val="18"/>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62"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SAR Exercise Price</w:t>
      </w:r>
      <w:r>
        <w:rPr>
          <w:rFonts w:ascii="Times New Roman" w:cs="Times New Roman" w:eastAsia="Times New Roman" w:hAnsi="Times New Roman"/>
          <w:sz w:val="18"/>
          <w:szCs w:val="18"/>
          <w:color w:val="auto"/>
        </w:rPr>
        <w:t>. The Exercise Price of a SAR shall be determined by the Committee in its sole discretion; provided that the Exercise Price shall not be less than 100% of the Fair Market Value of a Share on the date of the grant of the SAR (other than in the case of Substitute Awards).</w:t>
      </w:r>
    </w:p>
    <w:p>
      <w:pPr>
        <w:spacing w:after="0" w:line="162"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Upon the exercise of an SAR, a Grantee shall be entitled to receive payment from the Company in an amount determined by multiplying:</w:t>
      </w:r>
    </w:p>
    <w:p>
      <w:pPr>
        <w:spacing w:after="0" w:line="162" w:lineRule="exact"/>
        <w:rPr>
          <w:sz w:val="20"/>
          <w:szCs w:val="20"/>
          <w:color w:val="auto"/>
        </w:rPr>
      </w:pPr>
    </w:p>
    <w:p>
      <w:pPr>
        <w:ind w:left="1140" w:hanging="25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Exercise Price; by</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25"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207"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Consideration for Restricted Shares</w:t>
      </w:r>
      <w:r>
        <w:rPr>
          <w:rFonts w:ascii="Times New Roman" w:cs="Times New Roman" w:eastAsia="Times New Roman" w:hAnsi="Times New Roman"/>
          <w:sz w:val="18"/>
          <w:szCs w:val="18"/>
          <w:color w:val="auto"/>
        </w:rPr>
        <w:t>. The Committee shall determine the amount, if any, that a Grantee shall pay for Restricted Shares.</w:t>
      </w:r>
    </w:p>
    <w:p>
      <w:pPr>
        <w:spacing w:after="0" w:line="225"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Effect of Forfeiture</w:t>
      </w:r>
      <w:r>
        <w:rPr>
          <w:rFonts w:ascii="Times New Roman" w:cs="Times New Roman" w:eastAsia="Times New Roman" w:hAnsi="Times New Roman"/>
          <w:sz w:val="18"/>
          <w:szCs w:val="18"/>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87" w:lineRule="exact"/>
        <w:rPr>
          <w:sz w:val="20"/>
          <w:szCs w:val="20"/>
          <w:color w:val="auto"/>
        </w:rPr>
      </w:pPr>
    </w:p>
    <w:p>
      <w:pPr>
        <w:ind w:right="280" w:firstLine="441"/>
        <w:spacing w:after="0" w:line="276"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Escrow; Legends</w:t>
      </w:r>
      <w:r>
        <w:rPr>
          <w:rFonts w:ascii="Times New Roman" w:cs="Times New Roman" w:eastAsia="Times New Roman" w:hAnsi="Times New Roman"/>
          <w:sz w:val="17"/>
          <w:szCs w:val="17"/>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spacing w:after="0" w:line="1" w:lineRule="exact"/>
        <w:rPr>
          <w:sz w:val="20"/>
          <w:szCs w:val="20"/>
          <w:color w:val="auto"/>
        </w:rPr>
      </w:pPr>
    </w:p>
    <w:p>
      <w:pPr>
        <w:ind w:right="280" w:firstLine="8"/>
        <w:spacing w:after="0" w:line="260"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PERFORMANCE UNITS AND PERFORMANCE SHARES</w:t>
      </w:r>
    </w:p>
    <w:p>
      <w:pPr>
        <w:spacing w:after="0" w:line="207" w:lineRule="exact"/>
        <w:rPr>
          <w:sz w:val="20"/>
          <w:szCs w:val="20"/>
          <w:color w:val="auto"/>
        </w:rPr>
      </w:pPr>
    </w:p>
    <w:p>
      <w:pPr>
        <w:ind w:right="5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Grant of Performance Units and Performance Shares</w:t>
      </w:r>
      <w:r>
        <w:rPr>
          <w:rFonts w:ascii="Times New Roman" w:cs="Times New Roman" w:eastAsia="Times New Roman" w:hAnsi="Times New Roman"/>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76"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Value/Performance Goals</w:t>
      </w:r>
      <w:r>
        <w:rPr>
          <w:rFonts w:ascii="Times New Roman" w:cs="Times New Roman" w:eastAsia="Times New Roman" w:hAnsi="Times New Roman"/>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162" w:lineRule="exact"/>
        <w:rPr>
          <w:sz w:val="20"/>
          <w:szCs w:val="20"/>
          <w:color w:val="auto"/>
        </w:rPr>
      </w:pPr>
    </w:p>
    <w:p>
      <w:pPr>
        <w:ind w:left="1140" w:hanging="25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Each Performance Unit shall have an initial value that is established by the Committee at the time of grant.</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Each Performance Share shall have an initial value equal to the Fair Market Value of a Share on the date of grant.</w:t>
      </w:r>
    </w:p>
    <w:p>
      <w:pPr>
        <w:spacing w:after="0" w:line="225"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Earning of Performance Units and Performance Shares</w:t>
      </w:r>
      <w:r>
        <w:rPr>
          <w:rFonts w:ascii="Times New Roman" w:cs="Times New Roman" w:eastAsia="Times New Roman" w:hAnsi="Times New Roman"/>
          <w:sz w:val="18"/>
          <w:szCs w:val="18"/>
          <w:color w:val="auto"/>
        </w:rPr>
        <w:t>. After the applicable Performance Period has ended, the holder of Performance Units or Performance Shares shall be entitled to payment based on the level of achievement of performance goals set by the Committee. At the discretion of the Committee, the settlement of Performance Units or Performance Shares may be in cash, Shares of equivalent value, or in some combination thereof, as set forth in the Award Agreement.</w:t>
      </w:r>
    </w:p>
    <w:p>
      <w:pPr>
        <w:spacing w:after="0" w:line="180"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Subject to Article 11 and Section 18.6, 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DEFERRED STOCK AND RESTRICTED STOCK UNITS</w:t>
      </w:r>
    </w:p>
    <w:p>
      <w:pPr>
        <w:spacing w:after="0" w:line="207"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Grant of Deferred Stock and Restricted Stock Units</w:t>
      </w:r>
      <w:r>
        <w:rPr>
          <w:rFonts w:ascii="Times New Roman" w:cs="Times New Roman" w:eastAsia="Times New Roman" w:hAnsi="Times New Roman"/>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Vesting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889"/>
        <w:spacing w:after="0" w:line="254" w:lineRule="auto"/>
        <w:tabs>
          <w:tab w:leader="none" w:pos="11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Deferred Stock</w:t>
      </w:r>
      <w:r>
        <w:rPr>
          <w:rFonts w:ascii="Times New Roman" w:cs="Times New Roman" w:eastAsia="Times New Roman" w:hAnsi="Times New Roman"/>
          <w:sz w:val="18"/>
          <w:szCs w:val="18"/>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with Respect to Restricted Stock Units</w:t>
      </w:r>
      <w:r>
        <w:rPr>
          <w:rFonts w:ascii="Times New Roman" w:cs="Times New Roman" w:eastAsia="Times New Roman" w:hAnsi="Times New Roman"/>
          <w:sz w:val="18"/>
          <w:szCs w:val="18"/>
          <w:color w:val="auto"/>
        </w:rPr>
        <w:t>. Delivery of Shares subject to a grant of Restricted Stock Units shall occur no later than the</w:t>
      </w:r>
    </w:p>
    <w:p>
      <w:pPr>
        <w:spacing w:after="0" w:line="27"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200"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Voting and Dividend Equivalent Rights Attributable to Deferred Stock and Restricted Stock Units</w:t>
      </w:r>
      <w:r>
        <w:rPr>
          <w:rFonts w:ascii="Times New Roman" w:cs="Times New Roman" w:eastAsia="Times New Roman" w:hAnsi="Times New Roman"/>
          <w:sz w:val="18"/>
          <w:szCs w:val="18"/>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EQUIVALENTS</w:t>
      </w:r>
    </w:p>
    <w:p>
      <w:pPr>
        <w:spacing w:after="0" w:line="207" w:lineRule="exact"/>
        <w:rPr>
          <w:sz w:val="20"/>
          <w:szCs w:val="20"/>
          <w:color w:val="auto"/>
        </w:rPr>
      </w:pPr>
    </w:p>
    <w:p>
      <w:pPr>
        <w:ind w:right="140" w:firstLine="441"/>
        <w:spacing w:after="0" w:line="256" w:lineRule="auto"/>
        <w:rPr>
          <w:sz w:val="20"/>
          <w:szCs w:val="20"/>
          <w:color w:val="auto"/>
        </w:rPr>
      </w:pPr>
      <w:r>
        <w:rPr>
          <w:rFonts w:ascii="Times New Roman" w:cs="Times New Roman" w:eastAsia="Times New Roman" w:hAnsi="Times New Roman"/>
          <w:sz w:val="18"/>
          <w:szCs w:val="18"/>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no Dividend Equivalents shall be granted in conjunction with any Options or SARs. The timing of payment or distribution of Dividend Equivalents must comply with the requirements of Section 409A of the Code.</w:t>
      </w: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207"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0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07"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Non-Employee Director Awards</w:t>
      </w:r>
      <w:r>
        <w:rPr>
          <w:rFonts w:ascii="Times New Roman" w:cs="Times New Roman" w:eastAsia="Times New Roman" w:hAnsi="Times New Roman"/>
          <w:sz w:val="18"/>
          <w:szCs w:val="18"/>
          <w:color w:val="auto"/>
        </w:rPr>
        <w:t>. Subject to the terms of the Plan, the Board may grant Awards to any Non-Employee Director, in such amount and upon such terms and at any time and from time to time as shall be determined by the full Board in its sole discretion. Except as otherwise provided in Section 5.6(b) and in this Article 14, a Non-Employee Director may not be granted Awards for cash or Shares that together with any awards made outside of the Plan have a Fair Market Value (determined as of the date of grant) in excess of (i) $1,000,000 in a single calendar year or (ii) $2,000,000 in the calendar year during which the Non-Employee Director was appointed to the Board.</w:t>
      </w:r>
    </w:p>
    <w:p>
      <w:pPr>
        <w:spacing w:after="0" w:line="183"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Lead Independent Director and Non-Employee Director Chair Awards</w:t>
      </w:r>
      <w:r>
        <w:rPr>
          <w:rFonts w:ascii="Times New Roman" w:cs="Times New Roman" w:eastAsia="Times New Roman" w:hAnsi="Times New Roman"/>
          <w:sz w:val="18"/>
          <w:szCs w:val="18"/>
          <w:color w:val="auto"/>
        </w:rPr>
        <w:t>. Except as otherwise provided in Section 5.6(b), a Lead Independent Director or Non-Employee Director Chair may not be granted Awards for cash or Shares that together with any awards made outside of the Plan have a Fair Market Value (determined as of the date of grant) in excess of $2,000,000 in a single calendar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3"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WITH CODE SECTION 409A</w:t>
      </w:r>
    </w:p>
    <w:p>
      <w:pPr>
        <w:spacing w:after="0" w:line="207"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Awards Subject to Code Section 409A</w:t>
      </w:r>
      <w:r>
        <w:rPr>
          <w:rFonts w:ascii="Times New Roman" w:cs="Times New Roman" w:eastAsia="Times New Roman" w:hAnsi="Times New Roman"/>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76" w:lineRule="exact"/>
        <w:rPr>
          <w:sz w:val="20"/>
          <w:szCs w:val="20"/>
          <w:color w:val="auto"/>
        </w:rPr>
      </w:pPr>
    </w:p>
    <w:p>
      <w:pPr>
        <w:ind w:right="20" w:firstLine="441"/>
        <w:spacing w:after="0" w:line="276" w:lineRule="auto"/>
        <w:rPr>
          <w:sz w:val="20"/>
          <w:szCs w:val="20"/>
          <w:color w:val="auto"/>
        </w:rPr>
      </w:pPr>
      <w:r>
        <w:rPr>
          <w:rFonts w:ascii="Times New Roman" w:cs="Times New Roman" w:eastAsia="Times New Roman" w:hAnsi="Times New Roman"/>
          <w:sz w:val="17"/>
          <w:szCs w:val="17"/>
          <w:color w:val="auto"/>
        </w:rPr>
        <w:t xml:space="preserve">16.2 </w:t>
      </w:r>
      <w:r>
        <w:rPr>
          <w:rFonts w:ascii="Times New Roman" w:cs="Times New Roman" w:eastAsia="Times New Roman" w:hAnsi="Times New Roman"/>
          <w:sz w:val="17"/>
          <w:szCs w:val="17"/>
          <w:u w:val="single" w:color="auto"/>
          <w:color w:val="auto"/>
        </w:rPr>
        <w:t>Deferral and/or Distribution Elections</w:t>
      </w:r>
      <w:r>
        <w:rPr>
          <w:rFonts w:ascii="Times New Roman" w:cs="Times New Roman" w:eastAsia="Times New Roman" w:hAnsi="Times New Roman"/>
          <w:sz w:val="17"/>
          <w:szCs w:val="17"/>
          <w:color w:val="auto"/>
        </w:rPr>
        <w:t>. Except as otherwise permitted or required by Code Section 409A, the following rules shall apply to any deferral and/or elections as to the form or timing of distributions (each, an “Election”) that may be permitted or required by the Committee with respect to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w:t>
      </w:r>
    </w:p>
    <w:p>
      <w:pPr>
        <w:spacing w:after="0" w:line="207" w:lineRule="exact"/>
        <w:rPr>
          <w:sz w:val="20"/>
          <w:szCs w:val="20"/>
          <w:color w:val="auto"/>
        </w:rPr>
      </w:pPr>
    </w:p>
    <w:p>
      <w:pPr>
        <w:ind w:right="920" w:firstLine="889"/>
        <w:spacing w:after="0" w:line="312" w:lineRule="auto"/>
        <w:tabs>
          <w:tab w:leader="none" w:pos="112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39" w:lineRule="exact"/>
        <w:rPr>
          <w:rFonts w:ascii="Times New Roman" w:cs="Times New Roman" w:eastAsia="Times New Roman" w:hAnsi="Times New Roman"/>
          <w:sz w:val="17"/>
          <w:szCs w:val="17"/>
          <w:color w:val="auto"/>
        </w:rPr>
      </w:pPr>
    </w:p>
    <w:p>
      <w:pPr>
        <w:jc w:val="both"/>
        <w:ind w:firstLine="889"/>
        <w:spacing w:after="0" w:line="261" w:lineRule="auto"/>
        <w:tabs>
          <w:tab w:leader="none" w:pos="11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79" w:lineRule="exact"/>
        <w:rPr>
          <w:rFonts w:ascii="Times New Roman" w:cs="Times New Roman" w:eastAsia="Times New Roman" w:hAnsi="Times New Roman"/>
          <w:sz w:val="18"/>
          <w:szCs w:val="18"/>
          <w:color w:val="auto"/>
        </w:rPr>
      </w:pPr>
    </w:p>
    <w:p>
      <w:pPr>
        <w:ind w:right="100" w:firstLine="889"/>
        <w:spacing w:after="0" w:line="282" w:lineRule="auto"/>
        <w:tabs>
          <w:tab w:leader="none" w:pos="112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62" w:lineRule="exact"/>
        <w:rPr>
          <w:sz w:val="20"/>
          <w:szCs w:val="20"/>
          <w:color w:val="auto"/>
        </w:rPr>
      </w:pPr>
    </w:p>
    <w:p>
      <w:pPr>
        <w:ind w:right="10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Subsequent Elections</w:t>
      </w:r>
      <w:r>
        <w:rPr>
          <w:rFonts w:ascii="Times New Roman" w:cs="Times New Roman" w:eastAsia="Times New Roman" w:hAnsi="Times New Roman"/>
          <w:sz w:val="18"/>
          <w:szCs w:val="18"/>
          <w:color w:val="auto"/>
        </w:rPr>
        <w:t>. Except as otherwise permitted or required by Code Section 409A, any 409A Award which permits a subsequent Election to further defer the distribution or change the form of distribution shall comply with the following requirements:</w:t>
      </w:r>
    </w:p>
    <w:p>
      <w:pPr>
        <w:spacing w:after="0" w:line="162" w:lineRule="exact"/>
        <w:rPr>
          <w:sz w:val="20"/>
          <w:szCs w:val="20"/>
          <w:color w:val="auto"/>
        </w:rPr>
      </w:pPr>
    </w:p>
    <w:p>
      <w:pPr>
        <w:ind w:left="1140" w:hanging="251"/>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may take effect until at least twelve (12) months after the date on which the subsequent Election is made;</w:t>
      </w:r>
    </w:p>
    <w:p>
      <w:pPr>
        <w:spacing w:after="0" w:line="225" w:lineRule="exact"/>
        <w:rPr>
          <w:rFonts w:ascii="Times New Roman" w:cs="Times New Roman" w:eastAsia="Times New Roman" w:hAnsi="Times New Roman"/>
          <w:sz w:val="18"/>
          <w:szCs w:val="18"/>
          <w:color w:val="auto"/>
        </w:rPr>
      </w:pPr>
    </w:p>
    <w:p>
      <w:pPr>
        <w:ind w:right="280" w:firstLine="889"/>
        <w:spacing w:after="0" w:line="282" w:lineRule="auto"/>
        <w:tabs>
          <w:tab w:leader="none" w:pos="11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61" w:lineRule="exact"/>
        <w:rPr>
          <w:rFonts w:ascii="Times New Roman" w:cs="Times New Roman" w:eastAsia="Times New Roman" w:hAnsi="Times New Roman"/>
          <w:sz w:val="18"/>
          <w:szCs w:val="18"/>
          <w:color w:val="auto"/>
        </w:rPr>
      </w:pPr>
    </w:p>
    <w:p>
      <w:pPr>
        <w:ind w:right="520" w:firstLine="889"/>
        <w:spacing w:after="0" w:line="282" w:lineRule="auto"/>
        <w:tabs>
          <w:tab w:leader="none" w:pos="11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Distributions Pursuant to Deferral Elections</w:t>
      </w:r>
      <w:r>
        <w:rPr>
          <w:rFonts w:ascii="Times New Roman" w:cs="Times New Roman" w:eastAsia="Times New Roman" w:hAnsi="Times New Roman"/>
          <w:sz w:val="18"/>
          <w:szCs w:val="18"/>
          <w:color w:val="auto"/>
        </w:rPr>
        <w:t>. Except as otherwise permitted or required by Code Section 409A, no distribution in settlement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may commence earlier than:</w:t>
      </w:r>
    </w:p>
    <w:p>
      <w:pPr>
        <w:spacing w:after="0" w:line="207" w:lineRule="exact"/>
        <w:rPr>
          <w:sz w:val="20"/>
          <w:szCs w:val="20"/>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Disabled (as defined in Section 2.15(b);</w:t>
      </w:r>
    </w:p>
    <w:p>
      <w:pPr>
        <w:spacing w:after="0" w:line="225"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w:t>
      </w:r>
    </w:p>
    <w:p>
      <w:pPr>
        <w:spacing w:after="0" w:line="225" w:lineRule="exact"/>
        <w:rPr>
          <w:rFonts w:ascii="Times New Roman" w:cs="Times New Roman" w:eastAsia="Times New Roman" w:hAnsi="Times New Roman"/>
          <w:sz w:val="18"/>
          <w:szCs w:val="18"/>
          <w:color w:val="auto"/>
        </w:rPr>
      </w:pPr>
    </w:p>
    <w:p>
      <w:pPr>
        <w:ind w:right="160" w:firstLine="889"/>
        <w:spacing w:after="0" w:line="282" w:lineRule="auto"/>
        <w:tabs>
          <w:tab w:leader="none" w:pos="11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161" w:lineRule="exact"/>
        <w:rPr>
          <w:rFonts w:ascii="Times New Roman" w:cs="Times New Roman" w:eastAsia="Times New Roman" w:hAnsi="Times New Roman"/>
          <w:sz w:val="18"/>
          <w:szCs w:val="18"/>
          <w:color w:val="auto"/>
        </w:rPr>
      </w:pPr>
    </w:p>
    <w:p>
      <w:pPr>
        <w:ind w:left="1140" w:hanging="251"/>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ownership of the Company or a substantial portion of its assets within the meaning of Treasury Regulation Section 1.409A-3(i)</w:t>
      </w:r>
    </w:p>
    <w:p>
      <w:pPr>
        <w:spacing w:after="0" w:line="27" w:lineRule="exact"/>
        <w:rPr>
          <w:rFonts w:ascii="Times New Roman" w:cs="Times New Roman" w:eastAsia="Times New Roman" w:hAnsi="Times New Roman"/>
          <w:sz w:val="18"/>
          <w:szCs w:val="18"/>
          <w:color w:val="auto"/>
        </w:rPr>
      </w:pPr>
    </w:p>
    <w:p>
      <w:pPr>
        <w:ind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(5)(v) or (vii) or a change in effective control of the Company within the meaning of Treasury Regulation Section 1.409A-3(i)(5)(vi) (a “Change in Control”).</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Six Month Delay</w:t>
      </w:r>
      <w:r>
        <w:rPr>
          <w:rFonts w:ascii="Times New Roman" w:cs="Times New Roman" w:eastAsia="Times New Roman" w:hAnsi="Times New Roman"/>
          <w:sz w:val="18"/>
          <w:szCs w:val="18"/>
          <w:color w:val="auto"/>
        </w:rPr>
        <w:t>. Notwithstanding anything herein or in any Award Agreement or Election to the contrary, to the extent that distribution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Regulation Section 1.409A-1(i)), no distribution may be made before the date which is six (6) months after such Grantee’s Separation from Service, or, if earlier, the date of the Grantee’s death.</w:t>
      </w: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both"/>
        <w:ind w:right="240" w:firstLine="441"/>
        <w:spacing w:after="0" w:line="261"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0" w:lineRule="exact"/>
        <w:rPr>
          <w:sz w:val="20"/>
          <w:szCs w:val="20"/>
          <w:color w:val="auto"/>
        </w:rPr>
      </w:pPr>
    </w:p>
    <w:p>
      <w:pPr>
        <w:jc w:val="both"/>
        <w:ind w:right="24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 Acceleration of Distributions</w:t>
      </w:r>
      <w:r>
        <w:rPr>
          <w:rFonts w:ascii="Times New Roman" w:cs="Times New Roman" w:eastAsia="Times New Roman" w:hAnsi="Times New Roman"/>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Required Withholding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8" w:lineRule="auto"/>
        <w:tabs>
          <w:tab w:leader="none" w:pos="11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183" w:lineRule="exact"/>
        <w:rPr>
          <w:rFonts w:ascii="Times New Roman" w:cs="Times New Roman" w:eastAsia="Times New Roman" w:hAnsi="Times New Roman"/>
          <w:sz w:val="18"/>
          <w:szCs w:val="18"/>
          <w:color w:val="auto"/>
        </w:rPr>
      </w:pPr>
    </w:p>
    <w:p>
      <w:pPr>
        <w:ind w:left="880" w:right="40" w:firstLine="450"/>
        <w:spacing w:after="0" w:line="266" w:lineRule="auto"/>
        <w:tabs>
          <w:tab w:leader="none" w:pos="15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175" w:lineRule="exact"/>
        <w:rPr>
          <w:rFonts w:ascii="Times New Roman" w:cs="Times New Roman" w:eastAsia="Times New Roman" w:hAnsi="Times New Roman"/>
          <w:sz w:val="18"/>
          <w:szCs w:val="18"/>
          <w:color w:val="auto"/>
        </w:rPr>
      </w:pPr>
    </w:p>
    <w:p>
      <w:pPr>
        <w:ind w:left="1600" w:hanging="270"/>
        <w:spacing w:after="0"/>
        <w:tabs>
          <w:tab w:leader="none" w:pos="1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part or all of the amount to be withheld in the form of Common Stock valued at its Fair Market Value on the Tax Date;</w:t>
      </w:r>
    </w:p>
    <w:p>
      <w:pPr>
        <w:spacing w:after="0" w:line="225" w:lineRule="exact"/>
        <w:rPr>
          <w:rFonts w:ascii="Times New Roman" w:cs="Times New Roman" w:eastAsia="Times New Roman" w:hAnsi="Times New Roman"/>
          <w:sz w:val="18"/>
          <w:szCs w:val="18"/>
          <w:color w:val="auto"/>
        </w:rPr>
      </w:pPr>
    </w:p>
    <w:p>
      <w:pPr>
        <w:ind w:left="880" w:right="60" w:firstLine="450"/>
        <w:spacing w:after="0" w:line="266" w:lineRule="auto"/>
        <w:tabs>
          <w:tab w:leader="none" w:pos="16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175" w:lineRule="exact"/>
        <w:rPr>
          <w:rFonts w:ascii="Times New Roman" w:cs="Times New Roman" w:eastAsia="Times New Roman" w:hAnsi="Times New Roman"/>
          <w:sz w:val="18"/>
          <w:szCs w:val="18"/>
          <w:color w:val="auto"/>
        </w:rPr>
      </w:pPr>
    </w:p>
    <w:p>
      <w:pPr>
        <w:ind w:left="1640" w:hanging="310"/>
        <w:spacing w:after="0"/>
        <w:tabs>
          <w:tab w:leader="none" w:pos="1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any compensation otherwise due to the Grantee.</w:t>
      </w:r>
    </w:p>
    <w:p>
      <w:pPr>
        <w:spacing w:after="0" w:line="225" w:lineRule="exact"/>
        <w:rPr>
          <w:sz w:val="20"/>
          <w:szCs w:val="20"/>
          <w:color w:val="auto"/>
        </w:rPr>
      </w:pPr>
    </w:p>
    <w:p>
      <w:pPr>
        <w:ind w:left="440" w:right="40" w:firstLine="441"/>
        <w:spacing w:after="0" w:line="256" w:lineRule="auto"/>
        <w:rPr>
          <w:sz w:val="20"/>
          <w:szCs w:val="20"/>
          <w:color w:val="auto"/>
        </w:rPr>
      </w:pPr>
      <w:r>
        <w:rPr>
          <w:rFonts w:ascii="Times New Roman" w:cs="Times New Roman" w:eastAsia="Times New Roman" w:hAnsi="Times New Roman"/>
          <w:sz w:val="18"/>
          <w:szCs w:val="18"/>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187" w:lineRule="exact"/>
        <w:rPr>
          <w:sz w:val="20"/>
          <w:szCs w:val="20"/>
          <w:color w:val="auto"/>
        </w:rPr>
      </w:pPr>
    </w:p>
    <w:p>
      <w:pPr>
        <w:ind w:right="340" w:firstLine="889"/>
        <w:spacing w:after="0" w:line="282" w:lineRule="auto"/>
        <w:tabs>
          <w:tab w:leader="none" w:pos="11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Notification under Code Section 83(b)</w:t>
      </w:r>
      <w:r>
        <w:rPr>
          <w:rFonts w:ascii="Times New Roman" w:cs="Times New Roman" w:eastAsia="Times New Roman" w:hAnsi="Times New Roman"/>
          <w:sz w:val="18"/>
          <w:szCs w:val="18"/>
          <w:color w:val="auto"/>
        </w:rPr>
        <w:t>. If the Grantee, in connection with the exercise of any Option, or the grant of Restricted Shares, makes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election permitted under Section 83(b) of the Code to include in such Grantee’s gross income in the year of transfer the amounts specified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83(b) of the Code, then such Grantee shall notify the Company of such election within 10 days of filing the notice of the election with the Internal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Service, in addition to any filing and notification required pursuant to regulations issued under Section 83(b) of the Code. The Committee may,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grant of an Award or at any time thereafter, prohibit a Grantee from making the election described above.</w:t>
      </w: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21" w:name="page22"/>
    <w:bookmarkEnd w:id="2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PROVISIONS</w:t>
      </w:r>
    </w:p>
    <w:p>
      <w:pPr>
        <w:spacing w:after="0" w:line="207" w:lineRule="exact"/>
        <w:rPr>
          <w:sz w:val="20"/>
          <w:szCs w:val="20"/>
          <w:color w:val="auto"/>
        </w:rPr>
      </w:pPr>
    </w:p>
    <w:p>
      <w:pPr>
        <w:jc w:val="both"/>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7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Securities Law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889"/>
        <w:spacing w:after="0" w:line="253" w:lineRule="auto"/>
        <w:tabs>
          <w:tab w:leader="none" w:pos="112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89" w:lineRule="exact"/>
        <w:rPr>
          <w:rFonts w:ascii="Times New Roman" w:cs="Times New Roman" w:eastAsia="Times New Roman" w:hAnsi="Times New Roman"/>
          <w:sz w:val="18"/>
          <w:szCs w:val="18"/>
          <w:color w:val="auto"/>
        </w:rPr>
      </w:pPr>
    </w:p>
    <w:p>
      <w:pPr>
        <w:ind w:right="120" w:firstLine="889"/>
        <w:spacing w:after="0" w:line="261" w:lineRule="auto"/>
        <w:tabs>
          <w:tab w:leader="none" w:pos="11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0" w:lineRule="exact"/>
        <w:rPr>
          <w:sz w:val="20"/>
          <w:szCs w:val="20"/>
          <w:color w:val="auto"/>
        </w:rPr>
      </w:pPr>
    </w:p>
    <w:p>
      <w:pPr>
        <w:ind w:right="240" w:firstLine="441"/>
        <w:spacing w:after="0" w:line="253"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89" w:lineRule="exact"/>
        <w:rPr>
          <w:sz w:val="20"/>
          <w:szCs w:val="20"/>
          <w:color w:val="auto"/>
        </w:rPr>
      </w:pPr>
    </w:p>
    <w:p>
      <w:pPr>
        <w:jc w:val="both"/>
        <w:ind w:right="1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Nature of Payments</w:t>
      </w:r>
      <w:r>
        <w:rPr>
          <w:rFonts w:ascii="Times New Roman" w:cs="Times New Roman" w:eastAsia="Times New Roman" w:hAnsi="Times New Roman"/>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18.8 </w:t>
      </w:r>
      <w:r>
        <w:rPr>
          <w:rFonts w:ascii="Times New Roman" w:cs="Times New Roman" w:eastAsia="Times New Roman" w:hAnsi="Times New Roman"/>
          <w:sz w:val="18"/>
          <w:szCs w:val="18"/>
          <w:u w:val="single" w:color="auto"/>
          <w:color w:val="auto"/>
        </w:rPr>
        <w:t>Non-Exclusivity of Plan</w:t>
      </w:r>
      <w:r>
        <w:rPr>
          <w:rFonts w:ascii="Times New Roman" w:cs="Times New Roman" w:eastAsia="Times New Roman" w:hAnsi="Times New Roman"/>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76"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agreements hereunder, shall be construed in accordance with and governed by the laws of the State of Delaware,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3"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 xml:space="preserve">18.10 </w:t>
      </w:r>
      <w:r>
        <w:rPr>
          <w:rFonts w:ascii="Times New Roman" w:cs="Times New Roman" w:eastAsia="Times New Roman" w:hAnsi="Times New Roman"/>
          <w:sz w:val="18"/>
          <w:szCs w:val="18"/>
          <w:u w:val="single" w:color="auto"/>
          <w:color w:val="auto"/>
        </w:rPr>
        <w:t>Unfunded Status of Awards; Creation of Trusts</w:t>
      </w:r>
      <w:r>
        <w:rPr>
          <w:rFonts w:ascii="Times New Roman" w:cs="Times New Roman" w:eastAsia="Times New Roman" w:hAnsi="Times New Roman"/>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83"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18.11 </w:t>
      </w:r>
      <w:r>
        <w:rPr>
          <w:rFonts w:ascii="Times New Roman" w:cs="Times New Roman" w:eastAsia="Times New Roman" w:hAnsi="Times New Roman"/>
          <w:sz w:val="18"/>
          <w:szCs w:val="18"/>
          <w:u w:val="single" w:color="auto"/>
          <w:color w:val="auto"/>
        </w:rPr>
        <w:t>Affiliation</w:t>
      </w:r>
      <w:r>
        <w:rPr>
          <w:rFonts w:ascii="Times New Roman" w:cs="Times New Roman" w:eastAsia="Times New Roman" w:hAnsi="Times New Roman"/>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76"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or officer shall have the right to be selected to receive an Award under this Plan or, having been so selected, to be selected to receive a future Award.</w:t>
      </w:r>
    </w:p>
    <w:p>
      <w:pPr>
        <w:spacing w:after="0" w:line="16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18.13 </w:t>
      </w:r>
      <w:r>
        <w:rPr>
          <w:rFonts w:ascii="Times New Roman" w:cs="Times New Roman" w:eastAsia="Times New Roman" w:hAnsi="Times New Roman"/>
          <w:sz w:val="18"/>
          <w:szCs w:val="18"/>
          <w:u w:val="single" w:color="auto"/>
          <w:color w:val="auto"/>
        </w:rPr>
        <w:t>Military Service</w:t>
      </w:r>
      <w:r>
        <w:rPr>
          <w:rFonts w:ascii="Times New Roman" w:cs="Times New Roman" w:eastAsia="Times New Roman" w:hAnsi="Times New Roman"/>
          <w:sz w:val="18"/>
          <w:szCs w:val="18"/>
          <w:color w:val="auto"/>
        </w:rPr>
        <w:t>. Awards shall be administered in accordance with Section 414(u) of the Code and the Uniformed Services Employment and Reemployment Rights Act of 1994.</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18.14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following rules of construction will apply to the Plan: (a) the word “or” is disjunctive but not necessarily exclusive, and</w:t>
      </w:r>
    </w:p>
    <w:p>
      <w:pPr>
        <w:spacing w:after="0" w:line="27" w:lineRule="exact"/>
        <w:rPr>
          <w:sz w:val="20"/>
          <w:szCs w:val="20"/>
          <w:color w:val="auto"/>
        </w:rPr>
      </w:pPr>
    </w:p>
    <w:p>
      <w:pPr>
        <w:ind w:right="340" w:firstLine="8"/>
        <w:spacing w:after="0" w:line="260"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are included solely for convenience of reference, and if there is any conflict between such headings and the text of this Plan, the text shall control.</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 xml:space="preserve">18.16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76"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18.17 </w:t>
      </w:r>
      <w:r>
        <w:rPr>
          <w:rFonts w:ascii="Times New Roman" w:cs="Times New Roman" w:eastAsia="Times New Roman" w:hAnsi="Times New Roman"/>
          <w:sz w:val="18"/>
          <w:szCs w:val="18"/>
          <w:u w:val="single" w:color="auto"/>
          <w:color w:val="auto"/>
        </w:rPr>
        <w:t>No Right to Continue as Director</w:t>
      </w:r>
      <w:r>
        <w:rPr>
          <w:rFonts w:ascii="Times New Roman" w:cs="Times New Roman" w:eastAsia="Times New Roman" w:hAnsi="Times New Roman"/>
          <w:sz w:val="18"/>
          <w:szCs w:val="18"/>
          <w:color w:val="auto"/>
        </w:rPr>
        <w:t>. Nothing in the Plan or any Award Agreement shall confer upon any Non-Employee Director the right to continue to serve as a director of the Company.</w:t>
      </w:r>
    </w:p>
    <w:p>
      <w:pPr>
        <w:spacing w:after="0" w:line="16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 xml:space="preserve">18.18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ectPr>
          <w:pgSz w:w="11900" w:h="16838" w:orient="portrait"/>
          <w:cols w:equalWidth="0" w:num="1">
            <w:col w:w="10900"/>
          </w:cols>
          <w:pgMar w:left="320" w:top="769" w:right="67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Dentons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03020" cy="2660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303020" cy="26606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10020-1089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 States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10628 Science Center Drive, Suite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Arcturus Therapeutics Holdings Inc.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our capacity as counsel to Arcturus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we have been asked to render this opinion in connection with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being filed contemporaneously herewith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covering an aggregate of 3,750,000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issuable pursuant to the terms of the Company’s Amended and Restated 2019 Omnibus Equity Incentive Plan, as amended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rendering this opinion, we have examined (i) the Company’s Certificate of Incorporation, (ii) the Company’s Bylaws, (iii) the 2019 Plan, (iv) the Registration Statement, (v) corporate proceedings of the Company relating to the 2019 Plan, and (vi) such other instruments and documents as we have deemed relevant under the circumstances.</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making the aforesaid examinations, we have assumed the genuineness of all signatures, the authority of the persons who executed such documents, the authenticity of all documents submitted to us as originals, the conformity to the original documents of all documents submitted to us as copies, and the due execution and delivery of all documents by any persons or entities where due execution and delivery by such persons or entities is a prerequisite to the effectiveness of such documents. As to various factual matters that are material to this opinion, we have relied upon certificates of public officials and certificates, resolutions, documents, statements and other information of the Company or its representatives. In addition, for purposes of this opinion, we have assumed that a sufficient number of authorized but unissued shares of Common Stock, will be available for issuance when the Shares are issued. We have not independently verified or investigated, nor do we assume any responsibility for, the factual accuracy or completeness of such factual statements. We have also assumed that the corporate records furnished to us by the Company include all corporate proceedings taken by the Company to date.</w:t>
      </w:r>
    </w:p>
    <w:p>
      <w:pPr>
        <w:spacing w:after="0" w:line="19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and qualifications set forth herein, we are of the opinion that the Shares have been duly and validly authorized and, when issued and paid for in accordance with the terms of the 2019 Plan, will be duly and validly issued, fully paid and non-assessable.</w:t>
      </w:r>
    </w:p>
    <w:p>
      <w:pPr>
        <w:spacing w:after="0" w:line="1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foregoing opinion is limited to the laws of the United States of America and Delaware corporate law (which includes the Delaware General Corporation Law and applicable provisions of the Delaware constitution, as well as reported judicial opinions interpreting same), as now in effect and that, in the exercise of reasonable professional judgment, are normally considered in transactions such as the issuance of the Shares, and the foregoing opinion does not purport to express any opinion on the laws of any other jurisdiction. This opinion is provided for use solely in connection with the sale of the Shares, and except for its use in connection with such sale, may not be furnished to, quoted from or relied upon by any other person, firm, or corporation without our express written consent. No opinion may be implied or inferred beyond the opinion expressly stated in the paragraph immediately above. The opinion expressed herein is as of the date hereof, and we undertake no obligation to advise you of any changes in applicable law or any other matters that may come to our attention after the date hereof that may affect our opinions expressed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line="312" w:lineRule="auto"/>
        <w:rPr>
          <w:sz w:val="20"/>
          <w:szCs w:val="20"/>
          <w:color w:val="auto"/>
        </w:rPr>
      </w:pPr>
      <w:r>
        <w:rPr>
          <w:rFonts w:ascii="Times New Roman" w:cs="Times New Roman" w:eastAsia="Times New Roman" w:hAnsi="Times New Roman"/>
          <w:sz w:val="17"/>
          <w:szCs w:val="17"/>
          <w:color w:val="auto"/>
        </w:rPr>
        <w:t>We hereby consent to the use of our opinion as an exhibit to the Registration Statement. In giving such consent, we do not hereby admit that we come within the category of persons whose consent is required under Section 7 of the Securities Act, or the rules and regulations of the Commission thereunder.</w:t>
      </w:r>
    </w:p>
    <w:p>
      <w:pPr>
        <w:spacing w:after="0" w:line="1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Dentons US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Dentons US LLP</w:t>
      </w:r>
    </w:p>
    <w:p>
      <w:pPr>
        <w:sectPr>
          <w:pgSz w:w="11900" w:h="16838" w:orient="portrait"/>
          <w:cols w:equalWidth="0" w:num="1">
            <w:col w:w="11100"/>
          </w:cols>
          <w:pgMar w:left="320" w:top="702" w:right="47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Arcturus Therapeutics Holdings Inc. 2019 Omnibus Equity Incentive Plan, as amended, of our reports dated February 28, 2022, with respect to the consolidated financial statements of Arcturus Therapeutics Holdings Inc. and its Subsidiaries and the effectiveness of internal control over financial reporting of Arcturus Therapeutics Holdings Inc. and its Subsidiaries included in its Annual Report (Form 10-K) for the year ended December 31, 2021, filed with the Securities and Exchange Commission.</w:t>
      </w:r>
    </w:p>
    <w:p>
      <w:pPr>
        <w:spacing w:after="0" w:line="18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w:t>
      </w:r>
    </w:p>
    <w:p>
      <w:pPr>
        <w:sectPr>
          <w:pgSz w:w="11900" w:h="16838" w:orient="portrait"/>
          <w:cols w:equalWidth="0" w:num="1">
            <w:col w:w="11240"/>
          </w:cols>
          <w:pgMar w:left="320" w:top="36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7"/>
          </w:tcPr>
          <w:p>
            <w:pPr>
              <w:ind w:left="50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0"/>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4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per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r>
      <w:tr>
        <w:trPr>
          <w:trHeight w:val="238"/>
        </w:trPr>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Registered(1)</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Unit(2)</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Price(2)</w:t>
            </w: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1"/>
        </w:trPr>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457(c) and</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r>
      <w:tr>
        <w:trPr>
          <w:trHeight w:val="234"/>
        </w:trPr>
        <w:tc>
          <w:tcPr>
            <w:tcW w:w="1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Equity</w:t>
            </w:r>
          </w:p>
        </w:tc>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457(h)</w:t>
            </w:r>
          </w:p>
        </w:tc>
        <w:tc>
          <w:tcPr>
            <w:tcW w:w="1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3,750,000(1)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56,700,000</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0.0000927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5,256.09</w:t>
            </w:r>
          </w:p>
        </w:tc>
      </w:tr>
      <w:tr>
        <w:trPr>
          <w:trHeight w:val="216"/>
        </w:trPr>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56,700,000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5,256.09</w:t>
            </w:r>
          </w:p>
        </w:tc>
      </w:tr>
      <w:tr>
        <w:trPr>
          <w:trHeight w:val="210"/>
        </w:trPr>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7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Net Fee Due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5,256.09</w:t>
            </w:r>
          </w:p>
        </w:tc>
      </w:tr>
    </w:tbl>
    <w:p>
      <w:pPr>
        <w:spacing w:after="0" w:line="225" w:lineRule="exact"/>
        <w:rPr>
          <w:sz w:val="20"/>
          <w:szCs w:val="20"/>
          <w:color w:val="auto"/>
        </w:rPr>
      </w:pPr>
    </w:p>
    <w:p>
      <w:pPr>
        <w:ind w:left="220" w:right="40" w:hanging="215"/>
        <w:spacing w:after="0" w:line="254" w:lineRule="auto"/>
        <w:rPr>
          <w:sz w:val="20"/>
          <w:szCs w:val="20"/>
          <w:color w:val="auto"/>
        </w:rPr>
      </w:pPr>
      <w:r>
        <w:rPr>
          <w:rFonts w:ascii="Times New Roman" w:cs="Times New Roman" w:eastAsia="Times New Roman" w:hAnsi="Times New Roman"/>
          <w:sz w:val="18"/>
          <w:szCs w:val="18"/>
          <w:color w:val="auto"/>
        </w:rPr>
        <w:t>(1)This Registration Statement covers an additional 3,750,000 shares of common stock of the Registrant authorized to be offered and sold under the Arcturus Therapeutics Holdings Inc. Amended and Restated 2019 Omnibus Equity Incentive Plan, as amended effective June 21, 2022 (as amended, the “2019 Plan”). In addition, pursuant to Rule 416(a) of the Securities Act of 1933, as amended, this Registration Statement shall also cover any additional shares of the Registrant’s common stock that become issuable under the 2019 Plan by reason of any stock dividend, stock split, recapitalization or other similar transaction effected without receipt of consideration that increases the number of the Registrant’s outstanding shares of common stock.</w:t>
      </w:r>
    </w:p>
    <w:p>
      <w:pPr>
        <w:spacing w:after="0" w:line="3" w:lineRule="exact"/>
        <w:rPr>
          <w:sz w:val="20"/>
          <w:szCs w:val="20"/>
          <w:color w:val="auto"/>
        </w:rPr>
      </w:pPr>
    </w:p>
    <w:p>
      <w:pPr>
        <w:jc w:val="both"/>
        <w:ind w:left="220" w:hanging="215"/>
        <w:spacing w:after="0" w:line="255" w:lineRule="auto"/>
        <w:rPr>
          <w:sz w:val="20"/>
          <w:szCs w:val="20"/>
          <w:color w:val="auto"/>
        </w:rPr>
      </w:pPr>
      <w:r>
        <w:rPr>
          <w:rFonts w:ascii="Times New Roman" w:cs="Times New Roman" w:eastAsia="Times New Roman" w:hAnsi="Times New Roman"/>
          <w:sz w:val="18"/>
          <w:szCs w:val="18"/>
          <w:color w:val="auto"/>
        </w:rPr>
        <w:t>(2)This estimate is made pursuant to Rule 457(h)(1) and Rule 457(c) of the Securities Act solely for purposes of calculating the registration fee. The price per share and aggregate offering price of the Registrant’s common stock are based upon the average of the high and low prices of the Common Stock on June 29, 2022, as reported on the Nasdaq Stock Market, which date is within five business days prior to the filing of this Registration Statement.</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1"/>
    </w:lvl>
    <w:lvl w:ilvl="1">
      <w:lvlJc w:val="left"/>
      <w:lvlText w:val="(%2)"/>
      <w:numFmt w:val="lowerLetter"/>
      <w:start w:val="1"/>
    </w:lvl>
  </w:abstractNum>
  <w:abstractNum w:abstractNumId="1">
    <w:nsid w:val="41A7C4C9"/>
    <w:multiLevelType w:val="hybridMultilevel"/>
    <w:lvl w:ilvl="0">
      <w:lvlJc w:val="left"/>
      <w:lvlText w:val="(%1)"/>
      <w:numFmt w:val="lowerLetter"/>
      <w:start w:val="9"/>
    </w:lvl>
    <w:lvl w:ilvl="1">
      <w:lvlJc w:val="left"/>
      <w:lvlText w:val="(%2)"/>
      <w:numFmt w:val="lowerLetter"/>
      <w:start w:val="3"/>
    </w:lvl>
  </w:abstractNum>
  <w:abstractNum w:abstractNumId="2">
    <w:nsid w:val="6B68079A"/>
    <w:multiLevelType w:val="hybridMultilevel"/>
    <w:lvl w:ilvl="0">
      <w:lvlJc w:val="left"/>
      <w:lvlText w:val="(%1)"/>
      <w:numFmt w:val="lowerLetter"/>
      <w:start w:val="1"/>
    </w:lvl>
    <w:lvl w:ilvl="1">
      <w:lvlJc w:val="left"/>
      <w:lvlText w:val="(%2)"/>
      <w:numFmt w:val="lowerRoman"/>
      <w:start w:val="1"/>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1"/>
    </w:lvl>
    <w:lvl w:ilvl="1">
      <w:lvlJc w:val="left"/>
      <w:lvlText w:val="(%2)"/>
      <w:numFmt w:val="lowerLetter"/>
      <w:start w:val="3"/>
    </w:lvl>
  </w:abstractNum>
  <w:abstractNum w:abstractNumId="7">
    <w:nsid w:val="3F2DBA31"/>
    <w:multiLevelType w:val="hybridMultilevel"/>
    <w:lvl w:ilvl="0">
      <w:lvlJc w:val="left"/>
      <w:lvlText w:val="(%1)"/>
      <w:numFmt w:val="lowerLetter"/>
      <w:start w:val="35"/>
    </w:lvl>
    <w:lvl w:ilvl="1">
      <w:lvlJc w:val="left"/>
      <w:lvlText w:val="(%2)"/>
      <w:numFmt w:val="lowerLetter"/>
      <w:start w:val="14"/>
    </w:lvl>
  </w:abstractNum>
  <w:abstractNum w:abstractNumId="8">
    <w:nsid w:val="7C83E458"/>
    <w:multiLevelType w:val="hybridMultilevel"/>
    <w:lvl w:ilvl="0">
      <w:lvlJc w:val="left"/>
      <w:lvlText w:val="(%1)"/>
      <w:numFmt w:val="lowerLetter"/>
      <w:start w:val="18"/>
    </w:lvl>
  </w:abstractNum>
  <w:abstractNum w:abstractNumId="9">
    <w:nsid w:val="257130A3"/>
    <w:multiLevelType w:val="hybridMultilevel"/>
    <w:lvl w:ilvl="0">
      <w:lvlJc w:val="left"/>
      <w:lvlText w:val="(%1)"/>
      <w:numFmt w:val="lowerRoman"/>
      <w:start w:val="1"/>
    </w:lvl>
  </w:abstractNum>
  <w:abstractNum w:abstractNumId="10">
    <w:nsid w:val="62BBD95A"/>
    <w:multiLevelType w:val="hybridMultilevel"/>
    <w:lvl w:ilvl="0">
      <w:lvlJc w:val="left"/>
      <w:lvlText w:val="(%1)"/>
      <w:numFmt w:val="lowerLetter"/>
      <w:start w:val="1"/>
    </w:lvl>
  </w:abstractNum>
  <w:abstractNum w:abstractNumId="11">
    <w:nsid w:val="436C6125"/>
    <w:multiLevelType w:val="hybridMultilevel"/>
    <w:lvl w:ilvl="0">
      <w:lvlJc w:val="left"/>
      <w:lvlText w:val="(%1)"/>
      <w:numFmt w:val="lowerLetter"/>
      <w:start w:val="2"/>
    </w:lvl>
  </w:abstractNum>
  <w:abstractNum w:abstractNumId="12">
    <w:nsid w:val="628C895D"/>
    <w:multiLevelType w:val="hybridMultilevel"/>
    <w:lvl w:ilvl="0">
      <w:lvlJc w:val="left"/>
      <w:lvlText w:val="(%1)"/>
      <w:numFmt w:val="lowerLetter"/>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2"/>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25"/>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1"/>
    </w:lvl>
    <w:lvl w:ilvl="1">
      <w:lvlJc w:val="left"/>
      <w:lvlText w:val="(%2)"/>
      <w:numFmt w:val="lowerRoman"/>
      <w:start w:val="1"/>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jpeg"/><Relationship Id="rId53" Type="http://schemas.openxmlformats.org/officeDocument/2006/relationships/image" Target="media/image42.png"/><Relationship Id="rId16" Type="http://schemas.openxmlformats.org/officeDocument/2006/relationships/hyperlink" Target="http://www.sec.gov/Archives/edgar/data/1566049/000119312519178934/d740662ds8.htm" TargetMode="External"/><Relationship Id="rId17" Type="http://schemas.openxmlformats.org/officeDocument/2006/relationships/hyperlink" Target="http://www.sec.gov/Archives/edgar/data/1768224/000119380520000940/e619825_s8-at.htm" TargetMode="External"/><Relationship Id="rId18" Type="http://schemas.openxmlformats.org/officeDocument/2006/relationships/hyperlink" Target="https://www.sec.gov/Archives/edgar/data/1768224/000119380520000569/e619613_ex3-1.htm" TargetMode="External"/><Relationship Id="rId19" Type="http://schemas.openxmlformats.org/officeDocument/2006/relationships/hyperlink" Target="https://www.sec.gov/Archives/edgar/data/1768224/000119380520000569/e619613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2022-06-30T15:13:44Z</dcterms:created>
  <dcterms:modified xsi:type="dcterms:W3CDTF">2022-06-30T15:13:44Z</dcterms:modified>
</cp:coreProperties>
</file>