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(Rule 13d-101)</w:t>
      </w:r>
    </w:p>
    <w:p>
      <w:pPr>
        <w:spacing w:after="0" w:line="236"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ind w:left="2820"/>
        <w:spacing w:after="0"/>
        <w:rPr>
          <w:sz w:val="20"/>
          <w:szCs w:val="20"/>
          <w:color w:val="auto"/>
        </w:rPr>
      </w:pPr>
      <w:r>
        <w:rPr>
          <w:rFonts w:ascii="Arial" w:cs="Arial" w:eastAsia="Arial" w:hAnsi="Arial"/>
          <w:sz w:val="18"/>
          <w:szCs w:val="18"/>
          <w:color w:val="auto"/>
        </w:rPr>
        <w:t>TO § 240.13d-1(a) AND AMENDMENTS THERETO FILED PURSUANT TO</w:t>
      </w:r>
    </w:p>
    <w:p>
      <w:pPr>
        <w:spacing w:after="0" w:line="9" w:lineRule="exact"/>
        <w:rPr>
          <w:sz w:val="24"/>
          <w:szCs w:val="24"/>
          <w:color w:val="auto"/>
        </w:rPr>
      </w:pPr>
    </w:p>
    <w:p>
      <w:pPr>
        <w:ind w:left="4960" w:right="4800" w:firstLine="219"/>
        <w:spacing w:after="0" w:line="496" w:lineRule="auto"/>
        <w:tabs>
          <w:tab w:leader="none" w:pos="5319" w:val="left"/>
        </w:tabs>
        <w:numPr>
          <w:ilvl w:val="0"/>
          <w:numId w:val="1"/>
        </w:numPr>
        <w:rPr>
          <w:rFonts w:ascii="Arial" w:cs="Arial" w:eastAsia="Arial" w:hAnsi="Arial"/>
          <w:sz w:val="16"/>
          <w:szCs w:val="16"/>
          <w:color w:val="auto"/>
        </w:rPr>
      </w:pPr>
      <w:r>
        <w:rPr>
          <w:rFonts w:ascii="Arial" w:cs="Arial" w:eastAsia="Arial" w:hAnsi="Arial"/>
          <w:sz w:val="16"/>
          <w:szCs w:val="16"/>
          <w:color w:val="auto"/>
        </w:rPr>
        <w:t>240.13d-2(a) (Amendment No. 1)</w:t>
      </w:r>
      <w:r>
        <w:rPr>
          <w:rFonts w:ascii="Arial" w:cs="Arial" w:eastAsia="Arial" w:hAnsi="Arial"/>
          <w:sz w:val="22"/>
          <w:szCs w:val="22"/>
          <w:color w:val="auto"/>
          <w:vertAlign w:val="superscript"/>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Ordinary Shares, par value of NIS 0.01</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M2239P 10 9</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AMIR EFRATI</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BROSH CAPITAL 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11 Menachem Begin Rd.</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Ramat-Gan, Israel 5268104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+972-77-3206050</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STEVE WOLOSKY, ESQ.</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451-2300</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Authorized to Receive Notices and Communications)</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February 22, 2017</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10"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w:t>
      </w:r>
    </w:p>
    <w:p>
      <w:pPr>
        <w:spacing w:after="0" w:line="19" w:lineRule="exact"/>
        <w:rPr>
          <w:sz w:val="24"/>
          <w:szCs w:val="24"/>
          <w:color w:val="auto"/>
        </w:rPr>
      </w:pPr>
    </w:p>
    <w:p>
      <w:pPr>
        <w:ind w:right="60" w:firstLine="8"/>
        <w:spacing w:after="0" w:line="211" w:lineRule="auto"/>
        <w:tabs>
          <w:tab w:leader="none" w:pos="693"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30"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229"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M2239P 10 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Brosh Capital L.P.</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WC</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Cayman Islands</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1,117,233</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1,117,233</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1,117,233</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2</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M2239P 10 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40" w:type="dxa"/>
            <w:vAlign w:val="bottom"/>
            <w:tcBorders>
              <w:right w:val="single" w:sz="8" w:color="auto"/>
            </w:tcBorders>
          </w:tcPr>
          <w:p>
            <w:pPr>
              <w:spacing w:after="0"/>
              <w:rPr>
                <w:sz w:val="18"/>
                <w:szCs w:val="18"/>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Exodus Capital L.P.</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2</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WC</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5</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Cayman Islands</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40" w:type="dxa"/>
            <w:vAlign w:val="bottom"/>
            <w:tcBorders>
              <w:right w:val="single" w:sz="8" w:color="auto"/>
            </w:tcBorders>
            <w:gridSpan w:val="2"/>
          </w:tcPr>
          <w:p>
            <w:pPr>
              <w:jc w:val="center"/>
              <w:ind w:right="40"/>
              <w:spacing w:after="0" w:line="195" w:lineRule="exact"/>
              <w:rPr>
                <w:sz w:val="20"/>
                <w:szCs w:val="20"/>
                <w:color w:val="auto"/>
              </w:rPr>
            </w:pPr>
            <w:r>
              <w:rPr>
                <w:rFonts w:ascii="Arial" w:cs="Arial" w:eastAsia="Arial" w:hAnsi="Arial"/>
                <w:sz w:val="18"/>
                <w:szCs w:val="18"/>
                <w:color w:val="auto"/>
                <w:w w:val="96"/>
              </w:rPr>
              <w:t>NUMBER OF</w:t>
            </w: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SHARES</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16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40" w:type="dxa"/>
            <w:vAlign w:val="bottom"/>
            <w:tcBorders>
              <w:right w:val="single" w:sz="8" w:color="auto"/>
            </w:tcBorders>
            <w:gridSpan w:val="2"/>
          </w:tcPr>
          <w:p>
            <w:pPr>
              <w:jc w:val="center"/>
              <w:ind w:right="20"/>
              <w:spacing w:after="0" w:line="182" w:lineRule="exact"/>
              <w:rPr>
                <w:sz w:val="20"/>
                <w:szCs w:val="20"/>
                <w:color w:val="auto"/>
              </w:rPr>
            </w:pPr>
            <w:r>
              <w:rPr>
                <w:rFonts w:ascii="Arial" w:cs="Arial" w:eastAsia="Arial" w:hAnsi="Arial"/>
                <w:sz w:val="18"/>
                <w:szCs w:val="18"/>
                <w:color w:val="auto"/>
                <w:w w:val="97"/>
              </w:rPr>
              <w:t>OWNED BY EACH</w:t>
            </w: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right w:val="single" w:sz="8" w:color="auto"/>
            </w:tcBorders>
            <w:shd w:val="clear" w:color="auto" w:fill="000000"/>
          </w:tcPr>
          <w:p>
            <w:pPr>
              <w:spacing w:after="0"/>
              <w:rPr>
                <w:sz w:val="21"/>
                <w:szCs w:val="21"/>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16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1,273,791</w:t>
            </w:r>
          </w:p>
        </w:tc>
        <w:tc>
          <w:tcPr>
            <w:tcW w:w="2040" w:type="dxa"/>
            <w:vAlign w:val="bottom"/>
            <w:tcBorders>
              <w:right w:val="single" w:sz="8" w:color="auto"/>
            </w:tcBorders>
          </w:tcPr>
          <w:p>
            <w:pPr>
              <w:spacing w:after="0"/>
              <w:rPr>
                <w:sz w:val="21"/>
                <w:szCs w:val="21"/>
                <w:color w:val="auto"/>
              </w:rPr>
            </w:pPr>
          </w:p>
        </w:tc>
      </w:tr>
      <w:tr>
        <w:trPr>
          <w:trHeight w:val="224"/>
        </w:trPr>
        <w:tc>
          <w:tcPr>
            <w:tcW w:w="40" w:type="dxa"/>
            <w:vAlign w:val="bottom"/>
            <w:tcBorders>
              <w:top w:val="single" w:sz="8" w:color="auto"/>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top w:val="single" w:sz="8" w:color="auto"/>
              <w:right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Borders>
              <w:top w:val="single" w:sz="8" w:color="auto"/>
            </w:tcBorders>
          </w:tcPr>
          <w:p>
            <w:pPr>
              <w:spacing w:after="0"/>
              <w:rPr>
                <w:sz w:val="19"/>
                <w:szCs w:val="19"/>
                <w:color w:val="auto"/>
              </w:rPr>
            </w:pPr>
          </w:p>
        </w:tc>
        <w:tc>
          <w:tcPr>
            <w:tcW w:w="5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top w:val="single" w:sz="8" w:color="auto"/>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1,273,791</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1,273,791</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770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PN</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3</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M2239P 10 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77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Brosh Funds Management Ltd.</w:t>
            </w: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Israel</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1,117,233</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1,117,233</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1,117,233</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4</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M2239P 10 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40" w:type="dxa"/>
            <w:vAlign w:val="bottom"/>
            <w:tcBorders>
              <w:right w:val="single" w:sz="8" w:color="auto"/>
            </w:tcBorders>
          </w:tcPr>
          <w:p>
            <w:pPr>
              <w:spacing w:after="0"/>
              <w:rPr>
                <w:sz w:val="18"/>
                <w:szCs w:val="18"/>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7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Exodus Management Israel Ltd.</w:t>
            </w: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2</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5</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Israel</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40" w:type="dxa"/>
            <w:vAlign w:val="bottom"/>
            <w:tcBorders>
              <w:right w:val="single" w:sz="8" w:color="auto"/>
            </w:tcBorders>
            <w:gridSpan w:val="2"/>
          </w:tcPr>
          <w:p>
            <w:pPr>
              <w:jc w:val="center"/>
              <w:ind w:right="40"/>
              <w:spacing w:after="0" w:line="195" w:lineRule="exact"/>
              <w:rPr>
                <w:sz w:val="20"/>
                <w:szCs w:val="20"/>
                <w:color w:val="auto"/>
              </w:rPr>
            </w:pPr>
            <w:r>
              <w:rPr>
                <w:rFonts w:ascii="Arial" w:cs="Arial" w:eastAsia="Arial" w:hAnsi="Arial"/>
                <w:sz w:val="18"/>
                <w:szCs w:val="18"/>
                <w:color w:val="auto"/>
                <w:w w:val="96"/>
              </w:rPr>
              <w:t>NUMBER OF</w:t>
            </w: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SHARES</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16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40" w:type="dxa"/>
            <w:vAlign w:val="bottom"/>
            <w:tcBorders>
              <w:right w:val="single" w:sz="8" w:color="auto"/>
            </w:tcBorders>
            <w:gridSpan w:val="2"/>
          </w:tcPr>
          <w:p>
            <w:pPr>
              <w:jc w:val="center"/>
              <w:ind w:right="20"/>
              <w:spacing w:after="0" w:line="182" w:lineRule="exact"/>
              <w:rPr>
                <w:sz w:val="20"/>
                <w:szCs w:val="20"/>
                <w:color w:val="auto"/>
              </w:rPr>
            </w:pPr>
            <w:r>
              <w:rPr>
                <w:rFonts w:ascii="Arial" w:cs="Arial" w:eastAsia="Arial" w:hAnsi="Arial"/>
                <w:sz w:val="18"/>
                <w:szCs w:val="18"/>
                <w:color w:val="auto"/>
                <w:w w:val="97"/>
              </w:rPr>
              <w:t>OWNED BY EACH</w:t>
            </w: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right w:val="single" w:sz="8" w:color="auto"/>
            </w:tcBorders>
            <w:shd w:val="clear" w:color="auto" w:fill="000000"/>
          </w:tcPr>
          <w:p>
            <w:pPr>
              <w:spacing w:after="0"/>
              <w:rPr>
                <w:sz w:val="21"/>
                <w:szCs w:val="21"/>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16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1,368,936</w:t>
            </w:r>
          </w:p>
        </w:tc>
        <w:tc>
          <w:tcPr>
            <w:tcW w:w="2040" w:type="dxa"/>
            <w:vAlign w:val="bottom"/>
            <w:tcBorders>
              <w:right w:val="single" w:sz="8" w:color="auto"/>
            </w:tcBorders>
          </w:tcPr>
          <w:p>
            <w:pPr>
              <w:spacing w:after="0"/>
              <w:rPr>
                <w:sz w:val="21"/>
                <w:szCs w:val="21"/>
                <w:color w:val="auto"/>
              </w:rPr>
            </w:pPr>
          </w:p>
        </w:tc>
      </w:tr>
      <w:tr>
        <w:trPr>
          <w:trHeight w:val="224"/>
        </w:trPr>
        <w:tc>
          <w:tcPr>
            <w:tcW w:w="40" w:type="dxa"/>
            <w:vAlign w:val="bottom"/>
            <w:tcBorders>
              <w:top w:val="single" w:sz="8" w:color="auto"/>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top w:val="single" w:sz="8" w:color="auto"/>
              <w:right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Borders>
              <w:top w:val="single" w:sz="8" w:color="auto"/>
            </w:tcBorders>
          </w:tcPr>
          <w:p>
            <w:pPr>
              <w:spacing w:after="0"/>
              <w:rPr>
                <w:sz w:val="19"/>
                <w:szCs w:val="19"/>
                <w:color w:val="auto"/>
              </w:rPr>
            </w:pPr>
          </w:p>
        </w:tc>
        <w:tc>
          <w:tcPr>
            <w:tcW w:w="5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top w:val="single" w:sz="8" w:color="auto"/>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1,368,936</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1,368,936</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770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5</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M2239P 10 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Amir Efrati</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Israel</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2,486,169</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2,486,169</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2,486,169</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6</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M2239P 10 9</w:t>
      </w:r>
    </w:p>
    <w:p>
      <w:pPr>
        <w:spacing w:after="0" w:line="252"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The following constitutes Amendment No. 1 to the Schedule 13D filed by the undersigned (“Amendment No. 1”). This Amendment No. 1 amends the Schedule 13D as specifically set forth herein.</w:t>
      </w:r>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is hereby amended and restated to read as follows:</w:t>
      </w:r>
    </w:p>
    <w:p>
      <w:pPr>
        <w:spacing w:after="0" w:line="25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Shares purchased by each of Brosh and Exodus, and held in the Exodus Managed Account were purchased with working capital (which may, at any given time, include margin loans made by brokerage firms in the ordinary course of business) in open market purchases, except as otherwise noted in Schedule B, which is incorporated herein by reference. The aggregate purchase price of the 1,117,233 Shares owned directly by Brosh is approximately $1,125,524, excluding brokerage commissions. The aggregate purchase price of the 1,273,791 Shares owned directly by Exodus is approximately $1,180,562, excluding brokerage commissions. The aggregate purchase price of the 95,145 Shares held in the Exodus Managed Account is approximately $98,804, excluding brokerage commissions.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Items 5(a)-(c) are hereby amended and restated to read as follows:</w:t>
      </w:r>
    </w:p>
    <w:p>
      <w:pPr>
        <w:spacing w:after="0" w:line="252" w:lineRule="exact"/>
        <w:rPr>
          <w:sz w:val="20"/>
          <w:szCs w:val="20"/>
          <w:color w:val="auto"/>
        </w:rPr>
      </w:pPr>
    </w:p>
    <w:p>
      <w:pPr>
        <w:jc w:val="both"/>
        <w:ind w:firstLine="1305"/>
        <w:spacing w:after="0" w:line="264" w:lineRule="auto"/>
        <w:tabs>
          <w:tab w:leader="none" w:pos="2068" w:val="left"/>
        </w:tabs>
        <w:numPr>
          <w:ilvl w:val="2"/>
          <w:numId w:val="3"/>
        </w:numPr>
        <w:rPr>
          <w:rFonts w:ascii="Arial" w:cs="Arial" w:eastAsia="Arial" w:hAnsi="Arial"/>
          <w:sz w:val="18"/>
          <w:szCs w:val="18"/>
          <w:color w:val="auto"/>
        </w:rPr>
      </w:pPr>
      <w:r>
        <w:rPr>
          <w:rFonts w:ascii="Arial" w:cs="Arial" w:eastAsia="Arial" w:hAnsi="Arial"/>
          <w:sz w:val="18"/>
          <w:szCs w:val="18"/>
          <w:color w:val="auto"/>
        </w:rPr>
        <w:t>The aggregate percentage of Shares reported owned by each person named herein is based upon 27,560,920 Shares outstanding, which is the total number of Shares outstanding as reported in the Issuer’s Annual Report on Form 20-F filed with the Securities and Exchange Commission on March 4, 2016.</w:t>
      </w:r>
    </w:p>
    <w:p>
      <w:pPr>
        <w:spacing w:after="0" w:line="208"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Brosh</w:t>
      </w:r>
    </w:p>
    <w:p>
      <w:pPr>
        <w:spacing w:after="0" w:line="252" w:lineRule="exact"/>
        <w:rPr>
          <w:rFonts w:ascii="Arial" w:cs="Arial" w:eastAsia="Arial" w:hAnsi="Arial"/>
          <w:sz w:val="18"/>
          <w:szCs w:val="18"/>
          <w:color w:val="auto"/>
        </w:rPr>
      </w:pPr>
    </w:p>
    <w:p>
      <w:pPr>
        <w:ind w:left="1300" w:right="3320" w:hanging="644"/>
        <w:spacing w:after="0" w:line="532"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of the close of business on February 24, 2017, Brosh beneficially owned 1,117,233 Shares. Percentage: Approximately 4.1%</w:t>
      </w: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 Shared power to vote or direct vote: 1,117,233</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3. Sole power to dispose or direct the disposition: 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4. Shared power to dispose or direct the disposition: 1,117,233</w:t>
      </w:r>
    </w:p>
    <w:p>
      <w:pPr>
        <w:spacing w:after="0" w:line="237"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transactions in the Shares by Brosh since the filing of the Schedule 13D are set forth in Schedule A and are incorporated herein by reference.</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Exodus</w:t>
      </w:r>
    </w:p>
    <w:p>
      <w:pPr>
        <w:spacing w:after="0" w:line="252" w:lineRule="exact"/>
        <w:rPr>
          <w:rFonts w:ascii="Arial" w:cs="Arial" w:eastAsia="Arial" w:hAnsi="Arial"/>
          <w:sz w:val="18"/>
          <w:szCs w:val="18"/>
          <w:color w:val="auto"/>
        </w:rPr>
      </w:pPr>
    </w:p>
    <w:p>
      <w:pPr>
        <w:ind w:left="1300" w:right="3220" w:hanging="644"/>
        <w:spacing w:after="0" w:line="532"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of the close of business on February 24, 2017, Exodus beneficially owned 1,273,791 Shares. Percentage: Approximately 4.6%</w:t>
      </w: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 Shared power to vote or direct vote: 1,273,791</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3. Sole power to dispose or direct the disposition: 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4. Shared power to dispose or direct the disposition: 1,273,791</w:t>
      </w:r>
    </w:p>
    <w:p>
      <w:pPr>
        <w:spacing w:after="0" w:line="237"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transactions in the Shares by Exodus since the filing of the Schedule 13D are set forth in Schedule A and are incorporated herein by reference.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M2239P 10 9</w:t>
      </w:r>
    </w:p>
    <w:p>
      <w:pPr>
        <w:spacing w:after="0" w:line="25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Brosh GP</w:t>
      </w:r>
    </w:p>
    <w:p>
      <w:pPr>
        <w:spacing w:after="0" w:line="252" w:lineRule="exact"/>
        <w:rPr>
          <w:rFonts w:ascii="Arial" w:cs="Arial" w:eastAsia="Arial" w:hAnsi="Arial"/>
          <w:sz w:val="18"/>
          <w:szCs w:val="18"/>
          <w:color w:val="auto"/>
        </w:rPr>
      </w:pPr>
    </w:p>
    <w:p>
      <w:pPr>
        <w:ind w:left="1300" w:right="460" w:hanging="644"/>
        <w:spacing w:after="0" w:line="532"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As the general partner of Brosh, Brosh GP may be deemed the beneficial owner of the 1,117,233 Shares beneficially owned by Brosh. Percentage: Approximately 4.1%</w:t>
      </w: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direct vote: 1,117,233</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1,117,233</w:t>
      </w:r>
    </w:p>
    <w:p>
      <w:pPr>
        <w:spacing w:after="0" w:line="237"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Brosh GP has not entered into any transactions in the Shares since the filing of the Schedule 13D. The transactions in the Shares by Brosh since the filing of the Schedule 13D are set forth in Schedule A and are incorporated herein by reference.</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Exodus GP</w:t>
      </w:r>
    </w:p>
    <w:p>
      <w:pPr>
        <w:spacing w:after="0" w:line="252" w:lineRule="exact"/>
        <w:rPr>
          <w:rFonts w:ascii="Arial" w:cs="Arial" w:eastAsia="Arial" w:hAnsi="Arial"/>
          <w:sz w:val="18"/>
          <w:szCs w:val="18"/>
          <w:color w:val="auto"/>
        </w:rPr>
      </w:pPr>
    </w:p>
    <w:p>
      <w:pPr>
        <w:ind w:left="1300" w:right="54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As the general partner of Exodus, Exodus GP may be deemed the beneficial owner of the (i) 1,273,791 Shares beneficially owned by Exodus and (ii) 95,145 Shares held in the Exodus Managed Account.</w:t>
      </w:r>
    </w:p>
    <w:p>
      <w:pPr>
        <w:spacing w:after="0" w:line="19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5.0%</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direct vote: 1,368,936</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1,368,936</w:t>
      </w:r>
    </w:p>
    <w:p>
      <w:pPr>
        <w:spacing w:after="0" w:line="237" w:lineRule="exact"/>
        <w:rPr>
          <w:rFonts w:ascii="Arial" w:cs="Arial" w:eastAsia="Arial" w:hAnsi="Arial"/>
          <w:sz w:val="18"/>
          <w:szCs w:val="18"/>
          <w:color w:val="auto"/>
        </w:rPr>
      </w:pPr>
    </w:p>
    <w:p>
      <w:pPr>
        <w:ind w:left="1300" w:right="32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Exodus GP has not entered into any transactions in the Shares since the filing of the Schedule 13D. The transactions in the Shares by Exodus and through the Exodus Managed Account since the filing of the Schedule 13D are set forth in Schedule A and are incorporated herein by reference.</w:t>
      </w:r>
    </w:p>
    <w:p>
      <w:pPr>
        <w:spacing w:after="0" w:line="208"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Efrati</w:t>
      </w:r>
    </w:p>
    <w:p>
      <w:pPr>
        <w:spacing w:after="0" w:line="252" w:lineRule="exact"/>
        <w:rPr>
          <w:rFonts w:ascii="Arial" w:cs="Arial" w:eastAsia="Arial" w:hAnsi="Arial"/>
          <w:sz w:val="18"/>
          <w:szCs w:val="18"/>
          <w:color w:val="auto"/>
        </w:rPr>
      </w:pPr>
    </w:p>
    <w:p>
      <w:pPr>
        <w:ind w:left="1300" w:right="40" w:hanging="644"/>
        <w:spacing w:after="0" w:line="308"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Mr. Efrati as the portfolio manager of each of Brosh and Exodus, may be deemed the beneficial owner of the (i) 1,117,233 Shares owned by Brosh; (ii) 1,273,791 Shares owned by Exodus and (iii) 95,145 Shares held in the Exodus Managed Account.</w:t>
      </w:r>
    </w:p>
    <w:p>
      <w:pPr>
        <w:spacing w:after="0" w:line="173"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Percentage: Approximately 9.0%</w:t>
      </w:r>
    </w:p>
    <w:p>
      <w:pPr>
        <w:spacing w:after="0" w:line="252" w:lineRule="exact"/>
        <w:rPr>
          <w:rFonts w:ascii="Arial" w:cs="Arial" w:eastAsia="Arial" w:hAnsi="Arial"/>
          <w:sz w:val="17"/>
          <w:szCs w:val="17"/>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direct vote: 2,486,169</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2,486,169</w:t>
      </w:r>
    </w:p>
    <w:p>
      <w:pPr>
        <w:spacing w:after="0" w:line="23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Mr. Efrati has not entered into any transactions in the Shares since the filing of the Schedule 13D. The transactions in the Shares by each of Brosh and Exodus and through the Exodus Managed Account since the filing of the Schedule 13D are set forth in Schedule A and are incorporated herein by reference.</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filing of this Schedule 13D shall not be construed as an admission that the Reporting Persons are, for purposes of Section 13(d) of the Securities Exchange Act of 1934, as amended, the beneficial owners of any of the securities reported herein. Each of the Reporting Persons specifically disclaims beneficial ownership of the securities reported herein that are not directly owned by such Reporting Person, except to the extent of their pecuniary interest therein.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M2239P 10 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After reasonable inquiry and to the best of his knowledge and belief, the undersigned certifies that the information set forth in this statement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is true, complete and correct.</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445"/>
        </w:trPr>
        <w:tc>
          <w:tcPr>
            <w:tcW w:w="6100" w:type="dxa"/>
            <w:vAlign w:val="bottom"/>
          </w:tcPr>
          <w:p>
            <w:pPr>
              <w:spacing w:after="0"/>
              <w:rPr>
                <w:sz w:val="20"/>
                <w:szCs w:val="20"/>
                <w:color w:val="auto"/>
              </w:rPr>
            </w:pPr>
            <w:r>
              <w:rPr>
                <w:rFonts w:ascii="Arial" w:cs="Arial" w:eastAsia="Arial" w:hAnsi="Arial"/>
                <w:sz w:val="18"/>
                <w:szCs w:val="18"/>
                <w:color w:val="auto"/>
              </w:rPr>
              <w:t>Dated: February 24, 2017</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59"/>
        </w:trPr>
        <w:tc>
          <w:tcPr>
            <w:tcW w:w="7360" w:type="dxa"/>
            <w:vAlign w:val="bottom"/>
            <w:gridSpan w:val="3"/>
          </w:tcPr>
          <w:p>
            <w:pPr>
              <w:ind w:left="5640"/>
              <w:spacing w:after="0"/>
              <w:rPr>
                <w:sz w:val="20"/>
                <w:szCs w:val="20"/>
                <w:color w:val="auto"/>
              </w:rPr>
            </w:pPr>
            <w:r>
              <w:rPr>
                <w:rFonts w:ascii="Arial" w:cs="Arial" w:eastAsia="Arial" w:hAnsi="Arial"/>
                <w:sz w:val="18"/>
                <w:szCs w:val="18"/>
                <w:color w:val="auto"/>
                <w:w w:val="93"/>
              </w:rPr>
              <w:t>BROSH CAPITAL L.P.</w:t>
            </w:r>
          </w:p>
        </w:tc>
        <w:tc>
          <w:tcPr>
            <w:tcW w:w="4060" w:type="dxa"/>
            <w:vAlign w:val="bottom"/>
          </w:tcPr>
          <w:p>
            <w:pPr>
              <w:spacing w:after="0"/>
              <w:rPr>
                <w:sz w:val="24"/>
                <w:szCs w:val="24"/>
                <w:color w:val="auto"/>
              </w:rPr>
            </w:pPr>
          </w:p>
        </w:tc>
      </w:tr>
      <w:tr>
        <w:trPr>
          <w:trHeight w:val="418"/>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Brosh Funds Management Ltd.</w:t>
            </w:r>
          </w:p>
        </w:tc>
      </w:tr>
      <w:tr>
        <w:trPr>
          <w:trHeight w:val="230"/>
        </w:trPr>
        <w:tc>
          <w:tcPr>
            <w:tcW w:w="6100" w:type="dxa"/>
            <w:vAlign w:val="bottom"/>
          </w:tcPr>
          <w:p>
            <w:pPr>
              <w:spacing w:after="0"/>
              <w:rPr>
                <w:sz w:val="20"/>
                <w:szCs w:val="20"/>
                <w:color w:val="auto"/>
              </w:rPr>
            </w:pPr>
          </w:p>
        </w:tc>
        <w:tc>
          <w:tcPr>
            <w:tcW w:w="5320" w:type="dxa"/>
            <w:vAlign w:val="bottom"/>
            <w:gridSpan w:val="3"/>
          </w:tcPr>
          <w:p>
            <w:pPr>
              <w:ind w:left="180"/>
              <w:spacing w:after="0"/>
              <w:rPr>
                <w:sz w:val="20"/>
                <w:szCs w:val="20"/>
                <w:color w:val="auto"/>
              </w:rPr>
            </w:pPr>
            <w:r>
              <w:rPr>
                <w:rFonts w:ascii="Arial" w:cs="Arial" w:eastAsia="Arial" w:hAnsi="Arial"/>
                <w:sz w:val="18"/>
                <w:szCs w:val="18"/>
                <w:color w:val="auto"/>
              </w:rPr>
              <w:t>Its General Partner</w:t>
            </w:r>
          </w:p>
        </w:tc>
      </w:tr>
      <w:tr>
        <w:trPr>
          <w:trHeight w:val="439"/>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202"/>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Amir Efrati</w:t>
            </w:r>
          </w:p>
        </w:tc>
      </w:tr>
      <w:tr>
        <w:trPr>
          <w:trHeight w:val="230"/>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02"/>
        </w:trPr>
        <w:tc>
          <w:tcPr>
            <w:tcW w:w="11420" w:type="dxa"/>
            <w:vAlign w:val="bottom"/>
            <w:gridSpan w:val="4"/>
          </w:tcPr>
          <w:p>
            <w:pPr>
              <w:ind w:left="5640"/>
              <w:spacing w:after="0"/>
              <w:rPr>
                <w:sz w:val="20"/>
                <w:szCs w:val="20"/>
                <w:color w:val="auto"/>
              </w:rPr>
            </w:pPr>
            <w:r>
              <w:rPr>
                <w:rFonts w:ascii="Arial" w:cs="Arial" w:eastAsia="Arial" w:hAnsi="Arial"/>
                <w:sz w:val="18"/>
                <w:szCs w:val="18"/>
                <w:color w:val="auto"/>
              </w:rPr>
              <w:t>EXODUS CAPITAL L.P.</w:t>
            </w:r>
          </w:p>
        </w:tc>
      </w:tr>
      <w:tr>
        <w:trPr>
          <w:trHeight w:val="418"/>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Exodus Management Israel Ltd.</w:t>
            </w:r>
          </w:p>
        </w:tc>
      </w:tr>
      <w:tr>
        <w:trPr>
          <w:trHeight w:val="230"/>
        </w:trPr>
        <w:tc>
          <w:tcPr>
            <w:tcW w:w="6100" w:type="dxa"/>
            <w:vAlign w:val="bottom"/>
          </w:tcPr>
          <w:p>
            <w:pPr>
              <w:spacing w:after="0"/>
              <w:rPr>
                <w:sz w:val="20"/>
                <w:szCs w:val="20"/>
                <w:color w:val="auto"/>
              </w:rPr>
            </w:pPr>
          </w:p>
        </w:tc>
        <w:tc>
          <w:tcPr>
            <w:tcW w:w="5320" w:type="dxa"/>
            <w:vAlign w:val="bottom"/>
            <w:gridSpan w:val="3"/>
          </w:tcPr>
          <w:p>
            <w:pPr>
              <w:ind w:left="180"/>
              <w:spacing w:after="0"/>
              <w:rPr>
                <w:sz w:val="20"/>
                <w:szCs w:val="20"/>
                <w:color w:val="auto"/>
              </w:rPr>
            </w:pPr>
            <w:r>
              <w:rPr>
                <w:rFonts w:ascii="Arial" w:cs="Arial" w:eastAsia="Arial" w:hAnsi="Arial"/>
                <w:sz w:val="18"/>
                <w:szCs w:val="18"/>
                <w:color w:val="auto"/>
              </w:rPr>
              <w:t>Its General Partner</w:t>
            </w:r>
          </w:p>
        </w:tc>
      </w:tr>
      <w:tr>
        <w:trPr>
          <w:trHeight w:val="439"/>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202"/>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Amir Efrati</w:t>
            </w:r>
          </w:p>
        </w:tc>
      </w:tr>
      <w:tr>
        <w:trPr>
          <w:trHeight w:val="230"/>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02"/>
        </w:trPr>
        <w:tc>
          <w:tcPr>
            <w:tcW w:w="11420" w:type="dxa"/>
            <w:vAlign w:val="bottom"/>
            <w:gridSpan w:val="4"/>
          </w:tcPr>
          <w:p>
            <w:pPr>
              <w:ind w:left="5640"/>
              <w:spacing w:after="0"/>
              <w:rPr>
                <w:sz w:val="20"/>
                <w:szCs w:val="20"/>
                <w:color w:val="auto"/>
              </w:rPr>
            </w:pPr>
            <w:r>
              <w:rPr>
                <w:rFonts w:ascii="Arial" w:cs="Arial" w:eastAsia="Arial" w:hAnsi="Arial"/>
                <w:sz w:val="18"/>
                <w:szCs w:val="18"/>
                <w:color w:val="auto"/>
              </w:rPr>
              <w:t>BROSH FUNDS MANAGEMENT LTD.</w:t>
            </w:r>
          </w:p>
        </w:tc>
      </w:tr>
      <w:tr>
        <w:trPr>
          <w:trHeight w:val="439"/>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202"/>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Amir Efrati</w:t>
            </w:r>
          </w:p>
        </w:tc>
      </w:tr>
      <w:tr>
        <w:trPr>
          <w:trHeight w:val="230"/>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02"/>
        </w:trPr>
        <w:tc>
          <w:tcPr>
            <w:tcW w:w="11420" w:type="dxa"/>
            <w:vAlign w:val="bottom"/>
            <w:gridSpan w:val="4"/>
          </w:tcPr>
          <w:p>
            <w:pPr>
              <w:ind w:left="5640"/>
              <w:spacing w:after="0"/>
              <w:rPr>
                <w:sz w:val="20"/>
                <w:szCs w:val="20"/>
                <w:color w:val="auto"/>
              </w:rPr>
            </w:pPr>
            <w:r>
              <w:rPr>
                <w:rFonts w:ascii="Arial" w:cs="Arial" w:eastAsia="Arial" w:hAnsi="Arial"/>
                <w:sz w:val="18"/>
                <w:szCs w:val="18"/>
                <w:color w:val="auto"/>
              </w:rPr>
              <w:t>EXODUS MANAGEMENT ISRAEL LTD.</w:t>
            </w:r>
          </w:p>
        </w:tc>
      </w:tr>
      <w:tr>
        <w:trPr>
          <w:trHeight w:val="439"/>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202"/>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Amir Efrati</w:t>
            </w:r>
          </w:p>
        </w:tc>
      </w:tr>
      <w:tr>
        <w:trPr>
          <w:trHeight w:val="230"/>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14605</wp:posOffset>
            </wp:positionV>
            <wp:extent cx="36791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7919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Amir Efrati</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2780" w:type="dxa"/>
            <w:vAlign w:val="bottom"/>
            <w:gridSpan w:val="5"/>
          </w:tcPr>
          <w:p>
            <w:pPr>
              <w:spacing w:after="0"/>
              <w:rPr>
                <w:sz w:val="20"/>
                <w:szCs w:val="20"/>
                <w:color w:val="auto"/>
              </w:rPr>
            </w:pPr>
            <w:r>
              <w:rPr>
                <w:rFonts w:ascii="Arial" w:cs="Arial" w:eastAsia="Arial" w:hAnsi="Arial"/>
                <w:sz w:val="18"/>
                <w:szCs w:val="18"/>
                <w:color w:val="auto"/>
              </w:rPr>
              <w:t>CUSIP NO. M2239P 10 9</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gridSpan w:val="6"/>
          </w:tcPr>
          <w:p>
            <w:pPr>
              <w:jc w:val="center"/>
              <w:ind w:right="2400"/>
              <w:spacing w:after="0"/>
              <w:rPr>
                <w:sz w:val="20"/>
                <w:szCs w:val="20"/>
                <w:color w:val="auto"/>
              </w:rPr>
            </w:pPr>
            <w:r>
              <w:rPr>
                <w:rFonts w:ascii="Arial" w:cs="Arial" w:eastAsia="Arial" w:hAnsi="Arial"/>
                <w:sz w:val="18"/>
                <w:szCs w:val="18"/>
                <w:b w:val="1"/>
                <w:bCs w:val="1"/>
                <w:color w:val="auto"/>
                <w:w w:val="99"/>
              </w:rPr>
              <w:t>SCHEDULE A</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40" w:type="dxa"/>
            <w:vAlign w:val="bottom"/>
            <w:gridSpan w:val="14"/>
          </w:tcPr>
          <w:p>
            <w:pPr>
              <w:jc w:val="center"/>
              <w:ind w:right="60"/>
              <w:spacing w:after="0"/>
              <w:rPr>
                <w:sz w:val="20"/>
                <w:szCs w:val="20"/>
                <w:color w:val="auto"/>
              </w:rPr>
            </w:pPr>
            <w:r>
              <w:rPr>
                <w:rFonts w:ascii="Arial" w:cs="Arial" w:eastAsia="Arial" w:hAnsi="Arial"/>
                <w:sz w:val="18"/>
                <w:szCs w:val="18"/>
                <w:b w:val="1"/>
                <w:bCs w:val="1"/>
                <w:color w:val="auto"/>
                <w:w w:val="88"/>
              </w:rPr>
              <w:t>Transaction in the Shares Since the Filing of the Schedule 13D</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Nature of Transaction</w:t>
            </w:r>
          </w:p>
        </w:tc>
        <w:tc>
          <w:tcPr>
            <w:tcW w:w="560" w:type="dxa"/>
            <w:vAlign w:val="bottom"/>
          </w:tcPr>
          <w:p>
            <w:pPr>
              <w:spacing w:after="0"/>
              <w:rPr>
                <w:sz w:val="24"/>
                <w:szCs w:val="24"/>
                <w:color w:val="auto"/>
              </w:rPr>
            </w:pPr>
          </w:p>
        </w:tc>
        <w:tc>
          <w:tcPr>
            <w:tcW w:w="1780" w:type="dxa"/>
            <w:vAlign w:val="bottom"/>
            <w:tcBorders>
              <w:top w:val="single" w:sz="8" w:color="auto"/>
            </w:tcBorders>
            <w:gridSpan w:val="7"/>
          </w:tcPr>
          <w:p>
            <w:pPr>
              <w:jc w:val="center"/>
              <w:ind w:left="50"/>
              <w:spacing w:after="0"/>
              <w:rPr>
                <w:sz w:val="20"/>
                <w:szCs w:val="20"/>
                <w:color w:val="auto"/>
              </w:rPr>
            </w:pPr>
            <w:r>
              <w:rPr>
                <w:rFonts w:ascii="Arial" w:cs="Arial" w:eastAsia="Arial" w:hAnsi="Arial"/>
                <w:sz w:val="18"/>
                <w:szCs w:val="18"/>
                <w:color w:val="auto"/>
                <w:w w:val="88"/>
              </w:rPr>
              <w:t>Date of Purchase/Sale</w:t>
            </w:r>
          </w:p>
        </w:tc>
        <w:tc>
          <w:tcPr>
            <w:tcW w:w="128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8"/>
              </w:rPr>
              <w:t>Securities Purchased</w:t>
            </w:r>
          </w:p>
        </w:tc>
        <w:tc>
          <w:tcPr>
            <w:tcW w:w="620" w:type="dxa"/>
            <w:vAlign w:val="bottom"/>
          </w:tcPr>
          <w:p>
            <w:pPr>
              <w:spacing w:after="0"/>
              <w:rPr>
                <w:sz w:val="24"/>
                <w:szCs w:val="24"/>
                <w:color w:val="auto"/>
              </w:rPr>
            </w:pPr>
          </w:p>
        </w:tc>
        <w:tc>
          <w:tcPr>
            <w:tcW w:w="2700" w:type="dxa"/>
            <w:vAlign w:val="bottom"/>
            <w:gridSpan w:val="4"/>
          </w:tcPr>
          <w:p>
            <w:pPr>
              <w:jc w:val="center"/>
              <w:ind w:right="140"/>
              <w:spacing w:after="0"/>
              <w:rPr>
                <w:sz w:val="20"/>
                <w:szCs w:val="20"/>
                <w:color w:val="auto"/>
              </w:rPr>
            </w:pPr>
            <w:r>
              <w:rPr>
                <w:rFonts w:ascii="Arial" w:cs="Arial" w:eastAsia="Arial" w:hAnsi="Arial"/>
                <w:sz w:val="18"/>
                <w:szCs w:val="18"/>
                <w:color w:val="auto"/>
                <w:w w:val="92"/>
              </w:rPr>
              <w:t>Price [U.S. cents]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8"/>
              </w:rPr>
              <w:t>[dd/mm/yyyy]</w:t>
            </w:r>
          </w:p>
        </w:tc>
        <w:tc>
          <w:tcPr>
            <w:tcW w:w="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80" w:type="dxa"/>
            <w:vAlign w:val="bottom"/>
            <w:gridSpan w:val="10"/>
          </w:tcPr>
          <w:p>
            <w:pPr>
              <w:jc w:val="center"/>
              <w:ind w:right="2040"/>
              <w:spacing w:after="0"/>
              <w:rPr>
                <w:sz w:val="20"/>
                <w:szCs w:val="20"/>
                <w:color w:val="auto"/>
              </w:rPr>
            </w:pPr>
            <w:r>
              <w:rPr>
                <w:rFonts w:ascii="Arial" w:cs="Arial" w:eastAsia="Arial" w:hAnsi="Arial"/>
                <w:sz w:val="18"/>
                <w:szCs w:val="18"/>
                <w:b w:val="1"/>
                <w:bCs w:val="1"/>
                <w:color w:val="auto"/>
                <w:w w:val="97"/>
              </w:rPr>
              <w:t>BROSH CAPITAL L.P.</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6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1960" w:type="dxa"/>
            <w:vAlign w:val="bottom"/>
            <w:gridSpan w:val="4"/>
            <w:shd w:val="clear" w:color="auto" w:fill="CCEEFF"/>
          </w:tcPr>
          <w:p>
            <w:pPr>
              <w:jc w:val="center"/>
              <w:ind w:left="970"/>
              <w:spacing w:after="0"/>
              <w:rPr>
                <w:sz w:val="20"/>
                <w:szCs w:val="20"/>
                <w:color w:val="auto"/>
              </w:rPr>
            </w:pPr>
            <w:r>
              <w:rPr>
                <w:rFonts w:ascii="Arial" w:cs="Arial" w:eastAsia="Arial" w:hAnsi="Arial"/>
                <w:sz w:val="18"/>
                <w:szCs w:val="18"/>
                <w:color w:val="auto"/>
                <w:w w:val="90"/>
              </w:rPr>
              <w:t>24/02/2017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jc w:val="center"/>
              <w:ind w:left="1190"/>
              <w:spacing w:after="0"/>
              <w:rPr>
                <w:sz w:val="20"/>
                <w:szCs w:val="20"/>
                <w:color w:val="auto"/>
              </w:rPr>
            </w:pPr>
            <w:r>
              <w:rPr>
                <w:rFonts w:ascii="Arial" w:cs="Arial" w:eastAsia="Arial" w:hAnsi="Arial"/>
                <w:sz w:val="18"/>
                <w:szCs w:val="18"/>
                <w:color w:val="auto"/>
                <w:w w:val="90"/>
              </w:rPr>
              <w:t>16,775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87"/>
              </w:rPr>
              <w:t>118.86</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1960" w:type="dxa"/>
            <w:vAlign w:val="bottom"/>
            <w:gridSpan w:val="4"/>
          </w:tcPr>
          <w:p>
            <w:pPr>
              <w:jc w:val="center"/>
              <w:ind w:left="970"/>
              <w:spacing w:after="0"/>
              <w:rPr>
                <w:sz w:val="20"/>
                <w:szCs w:val="20"/>
                <w:color w:val="auto"/>
              </w:rPr>
            </w:pPr>
            <w:r>
              <w:rPr>
                <w:rFonts w:ascii="Arial" w:cs="Arial" w:eastAsia="Arial" w:hAnsi="Arial"/>
                <w:sz w:val="18"/>
                <w:szCs w:val="18"/>
                <w:color w:val="auto"/>
                <w:w w:val="90"/>
              </w:rPr>
              <w:t>23/02/2017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4"/>
          </w:tcPr>
          <w:p>
            <w:pPr>
              <w:jc w:val="center"/>
              <w:ind w:left="1190"/>
              <w:spacing w:after="0"/>
              <w:rPr>
                <w:sz w:val="20"/>
                <w:szCs w:val="20"/>
                <w:color w:val="auto"/>
              </w:rPr>
            </w:pPr>
            <w:r>
              <w:rPr>
                <w:rFonts w:ascii="Arial" w:cs="Arial" w:eastAsia="Arial" w:hAnsi="Arial"/>
                <w:sz w:val="18"/>
                <w:szCs w:val="18"/>
                <w:color w:val="auto"/>
                <w:w w:val="86"/>
              </w:rPr>
              <w:t>740</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00" w:type="dxa"/>
            <w:vAlign w:val="bottom"/>
            <w:gridSpan w:val="3"/>
          </w:tcPr>
          <w:p>
            <w:pPr>
              <w:jc w:val="center"/>
              <w:ind w:left="550"/>
              <w:spacing w:after="0"/>
              <w:rPr>
                <w:sz w:val="20"/>
                <w:szCs w:val="20"/>
                <w:color w:val="auto"/>
              </w:rPr>
            </w:pPr>
            <w:r>
              <w:rPr>
                <w:rFonts w:ascii="Arial" w:cs="Arial" w:eastAsia="Arial" w:hAnsi="Arial"/>
                <w:sz w:val="18"/>
                <w:szCs w:val="18"/>
                <w:color w:val="auto"/>
                <w:w w:val="90"/>
              </w:rPr>
              <w:t>120.00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1960" w:type="dxa"/>
            <w:vAlign w:val="bottom"/>
            <w:gridSpan w:val="4"/>
            <w:shd w:val="clear" w:color="auto" w:fill="CCEEFF"/>
          </w:tcPr>
          <w:p>
            <w:pPr>
              <w:jc w:val="center"/>
              <w:ind w:left="970"/>
              <w:spacing w:after="0"/>
              <w:rPr>
                <w:sz w:val="20"/>
                <w:szCs w:val="20"/>
                <w:color w:val="auto"/>
              </w:rPr>
            </w:pPr>
            <w:r>
              <w:rPr>
                <w:rFonts w:ascii="Arial" w:cs="Arial" w:eastAsia="Arial" w:hAnsi="Arial"/>
                <w:sz w:val="18"/>
                <w:szCs w:val="18"/>
                <w:color w:val="auto"/>
                <w:w w:val="90"/>
              </w:rPr>
              <w:t>22/02/2017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jc w:val="center"/>
              <w:ind w:left="1190"/>
              <w:spacing w:after="0"/>
              <w:rPr>
                <w:sz w:val="20"/>
                <w:szCs w:val="20"/>
                <w:color w:val="auto"/>
              </w:rPr>
            </w:pPr>
            <w:r>
              <w:rPr>
                <w:rFonts w:ascii="Arial" w:cs="Arial" w:eastAsia="Arial" w:hAnsi="Arial"/>
                <w:sz w:val="18"/>
                <w:szCs w:val="18"/>
                <w:color w:val="auto"/>
                <w:w w:val="90"/>
              </w:rPr>
              <w:t>55,459</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center"/>
              <w:ind w:left="550"/>
              <w:spacing w:after="0"/>
              <w:rPr>
                <w:sz w:val="20"/>
                <w:szCs w:val="20"/>
                <w:color w:val="auto"/>
              </w:rPr>
            </w:pPr>
            <w:r>
              <w:rPr>
                <w:rFonts w:ascii="Arial" w:cs="Arial" w:eastAsia="Arial" w:hAnsi="Arial"/>
                <w:sz w:val="18"/>
                <w:szCs w:val="18"/>
                <w:color w:val="auto"/>
                <w:w w:val="90"/>
              </w:rPr>
              <w:t>120.03</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1960" w:type="dxa"/>
            <w:vAlign w:val="bottom"/>
            <w:gridSpan w:val="4"/>
          </w:tcPr>
          <w:p>
            <w:pPr>
              <w:jc w:val="center"/>
              <w:ind w:left="970"/>
              <w:spacing w:after="0"/>
              <w:rPr>
                <w:sz w:val="20"/>
                <w:szCs w:val="20"/>
                <w:color w:val="auto"/>
              </w:rPr>
            </w:pPr>
            <w:r>
              <w:rPr>
                <w:rFonts w:ascii="Arial" w:cs="Arial" w:eastAsia="Arial" w:hAnsi="Arial"/>
                <w:sz w:val="18"/>
                <w:szCs w:val="18"/>
                <w:color w:val="auto"/>
                <w:w w:val="90"/>
              </w:rPr>
              <w:t>22/02/2017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4"/>
          </w:tcPr>
          <w:p>
            <w:pPr>
              <w:jc w:val="center"/>
              <w:ind w:left="1190"/>
              <w:spacing w:after="0"/>
              <w:rPr>
                <w:sz w:val="20"/>
                <w:szCs w:val="20"/>
                <w:color w:val="auto"/>
              </w:rPr>
            </w:pPr>
            <w:r>
              <w:rPr>
                <w:rFonts w:ascii="Arial" w:cs="Arial" w:eastAsia="Arial" w:hAnsi="Arial"/>
                <w:sz w:val="18"/>
                <w:szCs w:val="18"/>
                <w:color w:val="auto"/>
                <w:w w:val="86"/>
              </w:rPr>
              <w:t>421</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00" w:type="dxa"/>
            <w:vAlign w:val="bottom"/>
            <w:gridSpan w:val="3"/>
          </w:tcPr>
          <w:p>
            <w:pPr>
              <w:jc w:val="center"/>
              <w:ind w:left="570"/>
              <w:spacing w:after="0"/>
              <w:rPr>
                <w:sz w:val="20"/>
                <w:szCs w:val="20"/>
                <w:color w:val="auto"/>
              </w:rPr>
            </w:pPr>
            <w:r>
              <w:rPr>
                <w:rFonts w:ascii="Arial" w:cs="Arial" w:eastAsia="Arial" w:hAnsi="Arial"/>
                <w:sz w:val="18"/>
                <w:szCs w:val="18"/>
                <w:color w:val="auto"/>
                <w:w w:val="87"/>
              </w:rPr>
              <w:t>119.99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1960" w:type="dxa"/>
            <w:vAlign w:val="bottom"/>
            <w:gridSpan w:val="4"/>
            <w:shd w:val="clear" w:color="auto" w:fill="CCEEFF"/>
          </w:tcPr>
          <w:p>
            <w:pPr>
              <w:jc w:val="center"/>
              <w:ind w:left="970"/>
              <w:spacing w:after="0"/>
              <w:rPr>
                <w:sz w:val="20"/>
                <w:szCs w:val="20"/>
                <w:color w:val="auto"/>
              </w:rPr>
            </w:pPr>
            <w:r>
              <w:rPr>
                <w:rFonts w:ascii="Arial" w:cs="Arial" w:eastAsia="Arial" w:hAnsi="Arial"/>
                <w:sz w:val="18"/>
                <w:szCs w:val="18"/>
                <w:color w:val="auto"/>
                <w:w w:val="90"/>
              </w:rPr>
              <w:t>20/02/2017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jc w:val="center"/>
              <w:ind w:left="1170"/>
              <w:spacing w:after="0"/>
              <w:rPr>
                <w:sz w:val="20"/>
                <w:szCs w:val="20"/>
                <w:color w:val="auto"/>
              </w:rPr>
            </w:pPr>
            <w:r>
              <w:rPr>
                <w:rFonts w:ascii="Arial" w:cs="Arial" w:eastAsia="Arial" w:hAnsi="Arial"/>
                <w:sz w:val="18"/>
                <w:szCs w:val="18"/>
                <w:color w:val="auto"/>
                <w:w w:val="88"/>
              </w:rPr>
              <w:t>5,671</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87"/>
              </w:rPr>
              <w:t>119.87</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1960" w:type="dxa"/>
            <w:vAlign w:val="bottom"/>
            <w:gridSpan w:val="4"/>
          </w:tcPr>
          <w:p>
            <w:pPr>
              <w:jc w:val="center"/>
              <w:ind w:left="970"/>
              <w:spacing w:after="0"/>
              <w:rPr>
                <w:sz w:val="20"/>
                <w:szCs w:val="20"/>
                <w:color w:val="auto"/>
              </w:rPr>
            </w:pPr>
            <w:r>
              <w:rPr>
                <w:rFonts w:ascii="Arial" w:cs="Arial" w:eastAsia="Arial" w:hAnsi="Arial"/>
                <w:sz w:val="18"/>
                <w:szCs w:val="18"/>
                <w:color w:val="auto"/>
                <w:w w:val="90"/>
              </w:rPr>
              <w:t>20/02/2017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4"/>
          </w:tcPr>
          <w:p>
            <w:pPr>
              <w:jc w:val="center"/>
              <w:ind w:left="1170"/>
              <w:spacing w:after="0"/>
              <w:rPr>
                <w:sz w:val="20"/>
                <w:szCs w:val="20"/>
                <w:color w:val="auto"/>
              </w:rPr>
            </w:pPr>
            <w:r>
              <w:rPr>
                <w:rFonts w:ascii="Arial" w:cs="Arial" w:eastAsia="Arial" w:hAnsi="Arial"/>
                <w:sz w:val="18"/>
                <w:szCs w:val="18"/>
                <w:color w:val="auto"/>
                <w:w w:val="88"/>
              </w:rPr>
              <w:t>8,464</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00" w:type="dxa"/>
            <w:vAlign w:val="bottom"/>
            <w:gridSpan w:val="3"/>
          </w:tcPr>
          <w:p>
            <w:pPr>
              <w:jc w:val="center"/>
              <w:ind w:left="570"/>
              <w:spacing w:after="0"/>
              <w:rPr>
                <w:sz w:val="20"/>
                <w:szCs w:val="20"/>
                <w:color w:val="auto"/>
              </w:rPr>
            </w:pPr>
            <w:r>
              <w:rPr>
                <w:rFonts w:ascii="Arial" w:cs="Arial" w:eastAsia="Arial" w:hAnsi="Arial"/>
                <w:sz w:val="18"/>
                <w:szCs w:val="18"/>
                <w:color w:val="auto"/>
                <w:w w:val="87"/>
              </w:rPr>
              <w:t>119.87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1960" w:type="dxa"/>
            <w:vAlign w:val="bottom"/>
            <w:gridSpan w:val="4"/>
            <w:shd w:val="clear" w:color="auto" w:fill="CCEEFF"/>
          </w:tcPr>
          <w:p>
            <w:pPr>
              <w:jc w:val="center"/>
              <w:ind w:left="970"/>
              <w:spacing w:after="0"/>
              <w:rPr>
                <w:sz w:val="20"/>
                <w:szCs w:val="20"/>
                <w:color w:val="auto"/>
              </w:rPr>
            </w:pPr>
            <w:r>
              <w:rPr>
                <w:rFonts w:ascii="Arial" w:cs="Arial" w:eastAsia="Arial" w:hAnsi="Arial"/>
                <w:sz w:val="18"/>
                <w:szCs w:val="18"/>
                <w:color w:val="auto"/>
                <w:w w:val="90"/>
              </w:rPr>
              <w:t>20/02/2017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jc w:val="center"/>
              <w:ind w:left="1190"/>
              <w:spacing w:after="0"/>
              <w:rPr>
                <w:sz w:val="20"/>
                <w:szCs w:val="20"/>
                <w:color w:val="auto"/>
              </w:rPr>
            </w:pPr>
            <w:r>
              <w:rPr>
                <w:rFonts w:ascii="Arial" w:cs="Arial" w:eastAsia="Arial" w:hAnsi="Arial"/>
                <w:sz w:val="18"/>
                <w:szCs w:val="18"/>
                <w:color w:val="auto"/>
                <w:w w:val="90"/>
              </w:rPr>
              <w:t>22,707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87"/>
              </w:rPr>
              <w:t>119.87</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1960" w:type="dxa"/>
            <w:vAlign w:val="bottom"/>
            <w:gridSpan w:val="4"/>
          </w:tcPr>
          <w:p>
            <w:pPr>
              <w:jc w:val="center"/>
              <w:ind w:left="970"/>
              <w:spacing w:after="0"/>
              <w:rPr>
                <w:sz w:val="20"/>
                <w:szCs w:val="20"/>
                <w:color w:val="auto"/>
              </w:rPr>
            </w:pPr>
            <w:r>
              <w:rPr>
                <w:rFonts w:ascii="Arial" w:cs="Arial" w:eastAsia="Arial" w:hAnsi="Arial"/>
                <w:sz w:val="18"/>
                <w:szCs w:val="18"/>
                <w:color w:val="auto"/>
                <w:w w:val="90"/>
              </w:rPr>
              <w:t>20/02/2017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4"/>
          </w:tcPr>
          <w:p>
            <w:pPr>
              <w:jc w:val="center"/>
              <w:ind w:left="1190"/>
              <w:spacing w:after="0"/>
              <w:rPr>
                <w:sz w:val="20"/>
                <w:szCs w:val="20"/>
                <w:color w:val="auto"/>
              </w:rPr>
            </w:pPr>
            <w:r>
              <w:rPr>
                <w:rFonts w:ascii="Arial" w:cs="Arial" w:eastAsia="Arial" w:hAnsi="Arial"/>
                <w:sz w:val="18"/>
                <w:szCs w:val="18"/>
                <w:color w:val="auto"/>
                <w:w w:val="90"/>
              </w:rPr>
              <w:t>67,525</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gridSpan w:val="3"/>
          </w:tcPr>
          <w:p>
            <w:pPr>
              <w:jc w:val="center"/>
              <w:ind w:left="570"/>
              <w:spacing w:after="0"/>
              <w:rPr>
                <w:sz w:val="20"/>
                <w:szCs w:val="20"/>
                <w:color w:val="auto"/>
              </w:rPr>
            </w:pPr>
            <w:r>
              <w:rPr>
                <w:rFonts w:ascii="Arial" w:cs="Arial" w:eastAsia="Arial" w:hAnsi="Arial"/>
                <w:sz w:val="18"/>
                <w:szCs w:val="18"/>
                <w:color w:val="auto"/>
                <w:w w:val="87"/>
              </w:rPr>
              <w:t>119.87</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80" w:type="dxa"/>
            <w:vAlign w:val="bottom"/>
            <w:gridSpan w:val="10"/>
          </w:tcPr>
          <w:p>
            <w:pPr>
              <w:jc w:val="center"/>
              <w:ind w:right="2040"/>
              <w:spacing w:after="0"/>
              <w:rPr>
                <w:sz w:val="20"/>
                <w:szCs w:val="20"/>
                <w:color w:val="auto"/>
              </w:rPr>
            </w:pPr>
            <w:r>
              <w:rPr>
                <w:rFonts w:ascii="Arial" w:cs="Arial" w:eastAsia="Arial" w:hAnsi="Arial"/>
                <w:sz w:val="18"/>
                <w:szCs w:val="18"/>
                <w:b w:val="1"/>
                <w:bCs w:val="1"/>
                <w:color w:val="auto"/>
                <w:w w:val="98"/>
              </w:rPr>
              <w:t>EXODUS CAPITAL L.P.</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vMerge w:val="restart"/>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1960" w:type="dxa"/>
            <w:vAlign w:val="bottom"/>
            <w:gridSpan w:val="4"/>
            <w:shd w:val="clear" w:color="auto" w:fill="CCEEFF"/>
          </w:tcPr>
          <w:p>
            <w:pPr>
              <w:jc w:val="center"/>
              <w:ind w:left="970"/>
              <w:spacing w:after="0"/>
              <w:rPr>
                <w:sz w:val="20"/>
                <w:szCs w:val="20"/>
                <w:color w:val="auto"/>
              </w:rPr>
            </w:pPr>
            <w:r>
              <w:rPr>
                <w:rFonts w:ascii="Arial" w:cs="Arial" w:eastAsia="Arial" w:hAnsi="Arial"/>
                <w:sz w:val="18"/>
                <w:szCs w:val="18"/>
                <w:color w:val="auto"/>
                <w:w w:val="90"/>
              </w:rPr>
              <w:t>23/02/2017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jc w:val="center"/>
              <w:ind w:left="1170"/>
              <w:spacing w:after="0"/>
              <w:rPr>
                <w:sz w:val="20"/>
                <w:szCs w:val="20"/>
                <w:color w:val="auto"/>
              </w:rPr>
            </w:pPr>
            <w:r>
              <w:rPr>
                <w:rFonts w:ascii="Arial" w:cs="Arial" w:eastAsia="Arial" w:hAnsi="Arial"/>
                <w:sz w:val="18"/>
                <w:szCs w:val="18"/>
                <w:color w:val="auto"/>
                <w:w w:val="88"/>
              </w:rPr>
              <w:t>1,700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center"/>
              <w:ind w:left="550"/>
              <w:spacing w:after="0"/>
              <w:rPr>
                <w:sz w:val="20"/>
                <w:szCs w:val="20"/>
                <w:color w:val="auto"/>
              </w:rPr>
            </w:pPr>
            <w:r>
              <w:rPr>
                <w:rFonts w:ascii="Arial" w:cs="Arial" w:eastAsia="Arial" w:hAnsi="Arial"/>
                <w:sz w:val="18"/>
                <w:szCs w:val="18"/>
                <w:color w:val="auto"/>
                <w:w w:val="90"/>
              </w:rPr>
              <w:t>120.06</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1960" w:type="dxa"/>
            <w:vAlign w:val="bottom"/>
            <w:gridSpan w:val="4"/>
          </w:tcPr>
          <w:p>
            <w:pPr>
              <w:jc w:val="center"/>
              <w:ind w:left="970"/>
              <w:spacing w:after="0"/>
              <w:rPr>
                <w:sz w:val="20"/>
                <w:szCs w:val="20"/>
                <w:color w:val="auto"/>
              </w:rPr>
            </w:pPr>
            <w:r>
              <w:rPr>
                <w:rFonts w:ascii="Arial" w:cs="Arial" w:eastAsia="Arial" w:hAnsi="Arial"/>
                <w:sz w:val="18"/>
                <w:szCs w:val="18"/>
                <w:color w:val="auto"/>
                <w:w w:val="90"/>
              </w:rPr>
              <w:t>22/02/2017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4"/>
          </w:tcPr>
          <w:p>
            <w:pPr>
              <w:jc w:val="center"/>
              <w:ind w:left="1190"/>
              <w:spacing w:after="0"/>
              <w:rPr>
                <w:sz w:val="20"/>
                <w:szCs w:val="20"/>
                <w:color w:val="auto"/>
              </w:rPr>
            </w:pPr>
            <w:r>
              <w:rPr>
                <w:rFonts w:ascii="Arial" w:cs="Arial" w:eastAsia="Arial" w:hAnsi="Arial"/>
                <w:sz w:val="18"/>
                <w:szCs w:val="18"/>
                <w:color w:val="auto"/>
                <w:w w:val="89"/>
              </w:rPr>
              <w:t>118,000</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00" w:type="dxa"/>
            <w:vAlign w:val="bottom"/>
            <w:gridSpan w:val="3"/>
          </w:tcPr>
          <w:p>
            <w:pPr>
              <w:jc w:val="center"/>
              <w:ind w:left="570"/>
              <w:spacing w:after="0"/>
              <w:rPr>
                <w:sz w:val="20"/>
                <w:szCs w:val="20"/>
                <w:color w:val="auto"/>
              </w:rPr>
            </w:pPr>
            <w:r>
              <w:rPr>
                <w:rFonts w:ascii="Arial" w:cs="Arial" w:eastAsia="Arial" w:hAnsi="Arial"/>
                <w:sz w:val="18"/>
                <w:szCs w:val="18"/>
                <w:color w:val="auto"/>
                <w:w w:val="87"/>
              </w:rPr>
              <w:t>119.99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1960" w:type="dxa"/>
            <w:vAlign w:val="bottom"/>
            <w:gridSpan w:val="4"/>
            <w:shd w:val="clear" w:color="auto" w:fill="CCEEFF"/>
          </w:tcPr>
          <w:p>
            <w:pPr>
              <w:jc w:val="center"/>
              <w:ind w:left="970"/>
              <w:spacing w:after="0"/>
              <w:rPr>
                <w:sz w:val="20"/>
                <w:szCs w:val="20"/>
                <w:color w:val="auto"/>
              </w:rPr>
            </w:pPr>
            <w:r>
              <w:rPr>
                <w:rFonts w:ascii="Arial" w:cs="Arial" w:eastAsia="Arial" w:hAnsi="Arial"/>
                <w:sz w:val="18"/>
                <w:szCs w:val="18"/>
                <w:color w:val="auto"/>
                <w:w w:val="90"/>
              </w:rPr>
              <w:t>20/02/2017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jc w:val="center"/>
              <w:ind w:left="1190"/>
              <w:spacing w:after="0"/>
              <w:rPr>
                <w:sz w:val="20"/>
                <w:szCs w:val="20"/>
                <w:color w:val="auto"/>
              </w:rPr>
            </w:pPr>
            <w:r>
              <w:rPr>
                <w:rFonts w:ascii="Arial" w:cs="Arial" w:eastAsia="Arial" w:hAnsi="Arial"/>
                <w:sz w:val="18"/>
                <w:szCs w:val="18"/>
                <w:color w:val="auto"/>
                <w:w w:val="90"/>
              </w:rPr>
              <w:t>29,050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87"/>
              </w:rPr>
              <w:t>119.87</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760" w:type="dxa"/>
            <w:vAlign w:val="bottom"/>
            <w:gridSpan w:val="21"/>
          </w:tcPr>
          <w:p>
            <w:pPr>
              <w:jc w:val="center"/>
              <w:ind w:right="660"/>
              <w:spacing w:after="0"/>
              <w:rPr>
                <w:sz w:val="20"/>
                <w:szCs w:val="20"/>
                <w:color w:val="auto"/>
              </w:rPr>
            </w:pPr>
            <w:r>
              <w:rPr>
                <w:rFonts w:ascii="Arial" w:cs="Arial" w:eastAsia="Arial" w:hAnsi="Arial"/>
                <w:sz w:val="18"/>
                <w:szCs w:val="18"/>
                <w:b w:val="1"/>
                <w:bCs w:val="1"/>
                <w:color w:val="auto"/>
              </w:rPr>
              <w:t>EXODUS MANAGEMENT ISRAEL LTD. (THROUGH THE EXODUS MANAGED ACCOUNT)</w:t>
            </w: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6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1960" w:type="dxa"/>
            <w:vAlign w:val="bottom"/>
            <w:gridSpan w:val="4"/>
            <w:shd w:val="clear" w:color="auto" w:fill="CCEEFF"/>
          </w:tcPr>
          <w:p>
            <w:pPr>
              <w:jc w:val="center"/>
              <w:ind w:left="970"/>
              <w:spacing w:after="0"/>
              <w:rPr>
                <w:sz w:val="20"/>
                <w:szCs w:val="20"/>
                <w:color w:val="auto"/>
              </w:rPr>
            </w:pPr>
            <w:r>
              <w:rPr>
                <w:rFonts w:ascii="Arial" w:cs="Arial" w:eastAsia="Arial" w:hAnsi="Arial"/>
                <w:sz w:val="18"/>
                <w:szCs w:val="18"/>
                <w:color w:val="auto"/>
                <w:w w:val="90"/>
              </w:rPr>
              <w:t>23/02/2017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jc w:val="center"/>
              <w:ind w:left="1170"/>
              <w:spacing w:after="0"/>
              <w:rPr>
                <w:sz w:val="20"/>
                <w:szCs w:val="20"/>
                <w:color w:val="auto"/>
              </w:rPr>
            </w:pPr>
            <w:r>
              <w:rPr>
                <w:rFonts w:ascii="Arial" w:cs="Arial" w:eastAsia="Arial" w:hAnsi="Arial"/>
                <w:sz w:val="18"/>
                <w:szCs w:val="18"/>
                <w:color w:val="auto"/>
                <w:w w:val="88"/>
              </w:rPr>
              <w:t>5,700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center"/>
              <w:ind w:left="550"/>
              <w:spacing w:after="0"/>
              <w:rPr>
                <w:sz w:val="20"/>
                <w:szCs w:val="20"/>
                <w:color w:val="auto"/>
              </w:rPr>
            </w:pPr>
            <w:r>
              <w:rPr>
                <w:rFonts w:ascii="Arial" w:cs="Arial" w:eastAsia="Arial" w:hAnsi="Arial"/>
                <w:sz w:val="18"/>
                <w:szCs w:val="18"/>
                <w:color w:val="auto"/>
                <w:w w:val="90"/>
              </w:rPr>
              <w:t>120.00</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3">
    <w:nsid w:val="238E1F2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4">
    <w:nsid w:val="46E87CCD"/>
    <w:multiLevelType w:val="hybridMultilevel"/>
    <w:lvl w:ilvl="0">
      <w:lvlJc w:val="left"/>
      <w:lvlText w:val="%1."/>
      <w:numFmt w:val="upperLetter"/>
      <w:start w:val="3"/>
    </w:lvl>
    <w:lvl w:ilvl="1">
      <w:lvlJc w:val="left"/>
      <w:lvlText w:val="(%2)"/>
      <w:numFmt w:val="lowerLetter"/>
      <w:start w:val="1"/>
    </w:lvl>
    <w:lvl w:ilvl="2">
      <w:lvlJc w:val="left"/>
      <w:lvlText w:val="%3."/>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2019-12-07T18:45:24Z</dcterms:created>
  <dcterms:modified xsi:type="dcterms:W3CDTF">2019-12-07T18:45:24Z</dcterms:modified>
</cp:coreProperties>
</file>