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2)*</w:t>
      </w:r>
    </w:p>
    <w:p>
      <w:pPr>
        <w:spacing w:after="0" w:line="200" w:lineRule="exact"/>
        <w:rPr>
          <w:sz w:val="24"/>
          <w:szCs w:val="24"/>
          <w:color w:val="auto"/>
        </w:rPr>
      </w:pP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Alcobra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M2239P109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52" w:lineRule="exact"/>
        <w:rPr>
          <w:sz w:val="24"/>
          <w:szCs w:val="24"/>
          <w:color w:val="auto"/>
        </w:rPr>
      </w:pPr>
    </w:p>
    <w:p>
      <w:pPr>
        <w:jc w:val="both"/>
        <w:ind w:left="1300" w:right="8760" w:firstLine="5"/>
        <w:spacing w:after="0" w:line="598" w:lineRule="auto"/>
        <w:tabs>
          <w:tab w:leader="none" w:pos="1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r>
    </w:tbl>
    <w:p>
      <w:pPr>
        <w:spacing w:after="0" w:line="188"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Broadfin Capital, LLC</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6" w:lineRule="exact"/>
        <w:rPr>
          <w:sz w:val="20"/>
          <w:szCs w:val="20"/>
          <w:color w:val="auto"/>
        </w:rPr>
      </w:pPr>
    </w:p>
    <w:p>
      <w:pPr>
        <w:ind w:left="940" w:right="79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2,057,106</w:t>
      </w:r>
    </w:p>
    <w:p>
      <w:pPr>
        <w:ind w:left="940" w:right="75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2,057,106</w:t>
      </w:r>
    </w:p>
    <w:p>
      <w:pPr>
        <w:ind w:left="940" w:right="32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2,057,106</w:t>
      </w:r>
    </w:p>
    <w:p>
      <w:pPr>
        <w:ind w:left="940" w:hanging="932"/>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40" w:right="4760" w:hanging="932"/>
        <w:spacing w:after="0" w:line="50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7.46%</w:t>
      </w:r>
    </w:p>
    <w:p>
      <w:pPr>
        <w:ind w:left="940" w:right="5480" w:hanging="932"/>
        <w:spacing w:after="0" w:line="528"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584" w:right="8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r>
    </w:tbl>
    <w:p>
      <w:pPr>
        <w:spacing w:after="0" w:line="188" w:lineRule="exact"/>
        <w:rPr>
          <w:sz w:val="20"/>
          <w:szCs w:val="20"/>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Broadfin Healthcare Master Fund, Ltd.</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6" w:lineRule="exact"/>
        <w:rPr>
          <w:sz w:val="20"/>
          <w:szCs w:val="20"/>
          <w:color w:val="auto"/>
        </w:rPr>
      </w:pPr>
    </w:p>
    <w:p>
      <w:pPr>
        <w:ind w:left="940" w:right="79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2,057,106</w:t>
      </w:r>
    </w:p>
    <w:p>
      <w:pPr>
        <w:ind w:left="940" w:right="75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2,057,106</w:t>
      </w:r>
    </w:p>
    <w:p>
      <w:pPr>
        <w:ind w:left="940" w:right="32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2,057,106</w:t>
      </w:r>
    </w:p>
    <w:p>
      <w:pPr>
        <w:ind w:left="7280" w:right="920" w:hanging="7272"/>
        <w:spacing w:after="0" w:line="277"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[_]</w:t>
      </w:r>
    </w:p>
    <w:p>
      <w:pPr>
        <w:spacing w:after="0" w:line="170" w:lineRule="exact"/>
        <w:rPr>
          <w:rFonts w:ascii="Arial" w:cs="Arial" w:eastAsia="Arial" w:hAnsi="Arial"/>
          <w:sz w:val="18"/>
          <w:szCs w:val="18"/>
          <w:color w:val="auto"/>
        </w:rPr>
      </w:pPr>
    </w:p>
    <w:p>
      <w:pPr>
        <w:ind w:left="940" w:right="47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7.46%</w:t>
      </w:r>
    </w:p>
    <w:p>
      <w:pPr>
        <w:ind w:left="940" w:right="5480" w:hanging="932"/>
        <w:spacing w:after="0" w:line="528"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68"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r>
    </w:tbl>
    <w:p>
      <w:pPr>
        <w:spacing w:after="0" w:line="188" w:lineRule="exact"/>
        <w:rPr>
          <w:sz w:val="20"/>
          <w:szCs w:val="20"/>
          <w:color w:val="auto"/>
        </w:rPr>
      </w:pPr>
    </w:p>
    <w:p>
      <w:pPr>
        <w:ind w:left="940" w:hanging="93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Kevin Kotler</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6" w:lineRule="exact"/>
        <w:rPr>
          <w:sz w:val="20"/>
          <w:szCs w:val="20"/>
          <w:color w:val="auto"/>
        </w:rPr>
      </w:pPr>
    </w:p>
    <w:p>
      <w:pPr>
        <w:ind w:left="940" w:right="79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VOTING POWER 2,057,106</w:t>
      </w:r>
    </w:p>
    <w:p>
      <w:pPr>
        <w:ind w:left="940" w:right="75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DISPOSITIVE POWER 2,057,106</w:t>
      </w:r>
    </w:p>
    <w:p>
      <w:pPr>
        <w:ind w:left="940" w:right="32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2,057,106</w:t>
      </w:r>
    </w:p>
    <w:p>
      <w:pPr>
        <w:ind w:left="940" w:hanging="93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40" w:right="4760" w:hanging="932"/>
        <w:spacing w:after="0" w:line="501"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7.46%</w:t>
      </w:r>
    </w:p>
    <w:p>
      <w:pPr>
        <w:ind w:left="940" w:right="5480" w:hanging="932"/>
        <w:spacing w:after="0" w:line="528"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68" w:right="8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CUSIP No</w:t>
            </w:r>
          </w:p>
        </w:tc>
        <w:tc>
          <w:tcPr>
            <w:tcW w:w="840" w:type="dxa"/>
            <w:vAlign w:val="bottom"/>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c>
          <w:tcPr>
            <w:tcW w:w="5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675"/>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40" w:type="dxa"/>
            <w:vAlign w:val="bottom"/>
          </w:tcPr>
          <w:p>
            <w:pPr>
              <w:ind w:left="120"/>
              <w:spacing w:after="0"/>
              <w:rPr>
                <w:sz w:val="20"/>
                <w:szCs w:val="20"/>
                <w:color w:val="auto"/>
              </w:rPr>
            </w:pPr>
            <w:r>
              <w:rPr>
                <w:rFonts w:ascii="Arial" w:cs="Arial" w:eastAsia="Arial" w:hAnsi="Arial"/>
                <w:sz w:val="18"/>
                <w:szCs w:val="18"/>
                <w:color w:val="auto"/>
              </w:rPr>
              <w:t>(a).</w:t>
            </w:r>
          </w:p>
        </w:tc>
        <w:tc>
          <w:tcPr>
            <w:tcW w:w="848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Alcobra Ltd.</w:t>
            </w:r>
          </w:p>
        </w:tc>
        <w:tc>
          <w:tcPr>
            <w:tcW w:w="12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(b).</w:t>
            </w:r>
          </w:p>
        </w:tc>
        <w:tc>
          <w:tcPr>
            <w:tcW w:w="848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Azrieli Triangle Building, 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132 Derech Menachem Begin</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Tel Aviv 6701101 Israel</w:t>
            </w:r>
          </w:p>
        </w:tc>
        <w:tc>
          <w:tcPr>
            <w:tcW w:w="1200" w:type="dxa"/>
            <w:vAlign w:val="bottom"/>
          </w:tcPr>
          <w:p>
            <w:pPr>
              <w:spacing w:after="0"/>
              <w:rPr>
                <w:sz w:val="20"/>
                <w:szCs w:val="20"/>
                <w:color w:val="auto"/>
              </w:rPr>
            </w:pPr>
          </w:p>
        </w:tc>
      </w:tr>
      <w:tr>
        <w:trPr>
          <w:trHeight w:val="648"/>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40" w:type="dxa"/>
            <w:vAlign w:val="bottom"/>
          </w:tcPr>
          <w:p>
            <w:pPr>
              <w:ind w:left="120"/>
              <w:spacing w:after="0"/>
              <w:rPr>
                <w:sz w:val="20"/>
                <w:szCs w:val="20"/>
                <w:color w:val="auto"/>
              </w:rPr>
            </w:pPr>
            <w:r>
              <w:rPr>
                <w:rFonts w:ascii="Arial" w:cs="Arial" w:eastAsia="Arial" w:hAnsi="Arial"/>
                <w:sz w:val="18"/>
                <w:szCs w:val="18"/>
                <w:color w:val="auto"/>
              </w:rPr>
              <w:t>(a).</w:t>
            </w:r>
          </w:p>
        </w:tc>
        <w:tc>
          <w:tcPr>
            <w:tcW w:w="8480" w:type="dxa"/>
            <w:vAlign w:val="bottom"/>
            <w:gridSpan w:val="2"/>
          </w:tcPr>
          <w:p>
            <w:pPr>
              <w:spacing w:after="0"/>
              <w:rPr>
                <w:sz w:val="20"/>
                <w:szCs w:val="20"/>
                <w:color w:val="auto"/>
              </w:rPr>
            </w:pPr>
            <w:r>
              <w:rPr>
                <w:rFonts w:ascii="Arial" w:cs="Arial" w:eastAsia="Arial" w:hAnsi="Arial"/>
                <w:sz w:val="18"/>
                <w:szCs w:val="18"/>
                <w:color w:val="auto"/>
              </w:rPr>
              <w:t>Name of Person Filing:</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Capital, LLC</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Healthcare Master Fund, Ltd.</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Kevin Kotler</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(b).</w:t>
            </w:r>
          </w:p>
        </w:tc>
        <w:tc>
          <w:tcPr>
            <w:tcW w:w="8480" w:type="dxa"/>
            <w:vAlign w:val="bottom"/>
            <w:gridSpan w:val="2"/>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1200" w:type="dxa"/>
            <w:vAlign w:val="bottom"/>
          </w:tcPr>
          <w:p>
            <w:pPr>
              <w:spacing w:after="0"/>
              <w:rPr>
                <w:sz w:val="24"/>
                <w:szCs w:val="24"/>
                <w:color w:val="auto"/>
              </w:rPr>
            </w:pPr>
          </w:p>
        </w:tc>
      </w:tr>
      <w:tr>
        <w:trPr>
          <w:trHeight w:val="40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Capital, LLC</w:t>
            </w:r>
          </w:p>
        </w:tc>
        <w:tc>
          <w:tcPr>
            <w:tcW w:w="1200" w:type="dxa"/>
            <w:vAlign w:val="bottom"/>
          </w:tcPr>
          <w:p>
            <w:pPr>
              <w:spacing w:after="0"/>
              <w:rPr>
                <w:sz w:val="24"/>
                <w:szCs w:val="24"/>
                <w:color w:val="auto"/>
              </w:rPr>
            </w:pPr>
          </w:p>
        </w:tc>
      </w:tr>
      <w:tr>
        <w:trPr>
          <w:trHeight w:val="226"/>
        </w:trPr>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80" w:type="dxa"/>
            <w:vAlign w:val="bottom"/>
            <w:gridSpan w:val="2"/>
          </w:tcPr>
          <w:p>
            <w:pPr>
              <w:spacing w:after="0" w:line="226" w:lineRule="exact"/>
              <w:rPr>
                <w:sz w:val="20"/>
                <w:szCs w:val="20"/>
                <w:color w:val="auto"/>
              </w:rPr>
            </w:pPr>
            <w:r>
              <w:rPr>
                <w:rFonts w:ascii="Arial" w:cs="Arial" w:eastAsia="Arial" w:hAnsi="Arial"/>
                <w:sz w:val="16"/>
                <w:szCs w:val="16"/>
                <w:color w:val="auto"/>
              </w:rPr>
              <w:t>300 Park Avenue,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20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12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120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Healthcare Master Fund, Ltd.</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20 Genesis Close</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Ansbacher House, Second Floor</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P.O. Box 1344</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Grand Cayman KY1-1108</w:t>
            </w:r>
          </w:p>
        </w:tc>
        <w:tc>
          <w:tcPr>
            <w:tcW w:w="12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120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Kevin Kotler</w:t>
            </w:r>
          </w:p>
        </w:tc>
        <w:tc>
          <w:tcPr>
            <w:tcW w:w="1200" w:type="dxa"/>
            <w:vAlign w:val="bottom"/>
          </w:tcPr>
          <w:p>
            <w:pPr>
              <w:spacing w:after="0"/>
              <w:rPr>
                <w:sz w:val="24"/>
                <w:szCs w:val="24"/>
                <w:color w:val="auto"/>
              </w:rPr>
            </w:pPr>
          </w:p>
        </w:tc>
      </w:tr>
      <w:tr>
        <w:trPr>
          <w:trHeight w:val="206"/>
        </w:trPr>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c/o Broadfin Capital, LLC</w:t>
            </w:r>
          </w:p>
        </w:tc>
        <w:tc>
          <w:tcPr>
            <w:tcW w:w="1200" w:type="dxa"/>
            <w:vAlign w:val="bottom"/>
          </w:tcPr>
          <w:p>
            <w:pPr>
              <w:spacing w:after="0"/>
              <w:rPr>
                <w:sz w:val="17"/>
                <w:szCs w:val="17"/>
                <w:color w:val="auto"/>
              </w:rPr>
            </w:pPr>
          </w:p>
        </w:tc>
      </w:tr>
      <w:tr>
        <w:trPr>
          <w:trHeight w:val="226"/>
        </w:trPr>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80" w:type="dxa"/>
            <w:vAlign w:val="bottom"/>
            <w:gridSpan w:val="2"/>
          </w:tcPr>
          <w:p>
            <w:pPr>
              <w:spacing w:after="0" w:line="226" w:lineRule="exact"/>
              <w:rPr>
                <w:sz w:val="20"/>
                <w:szCs w:val="20"/>
                <w:color w:val="auto"/>
              </w:rPr>
            </w:pPr>
            <w:r>
              <w:rPr>
                <w:rFonts w:ascii="Arial" w:cs="Arial" w:eastAsia="Arial" w:hAnsi="Arial"/>
                <w:sz w:val="16"/>
                <w:szCs w:val="16"/>
                <w:color w:val="auto"/>
              </w:rPr>
              <w:t>300 Park Avenue,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20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United States of America</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(c)</w:t>
            </w:r>
          </w:p>
        </w:tc>
        <w:tc>
          <w:tcPr>
            <w:tcW w:w="8480" w:type="dxa"/>
            <w:vAlign w:val="bottom"/>
            <w:gridSpan w:val="2"/>
          </w:tcPr>
          <w:p>
            <w:pPr>
              <w:spacing w:after="0"/>
              <w:rPr>
                <w:sz w:val="20"/>
                <w:szCs w:val="20"/>
                <w:color w:val="auto"/>
              </w:rPr>
            </w:pPr>
            <w:r>
              <w:rPr>
                <w:rFonts w:ascii="Arial" w:cs="Arial" w:eastAsia="Arial" w:hAnsi="Arial"/>
                <w:sz w:val="18"/>
                <w:szCs w:val="18"/>
                <w:color w:val="auto"/>
              </w:rPr>
              <w:t>Citizenship:</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Capital, LLC – Delaware</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Healthcare Master Fund, Ltd. – Cayman Islands</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Kevin Kotler – United States of America</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(d).</w:t>
            </w:r>
          </w:p>
        </w:tc>
        <w:tc>
          <w:tcPr>
            <w:tcW w:w="848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Ordinary Shares, par value NIS 0.01 per share</w:t>
            </w:r>
          </w:p>
        </w:tc>
        <w:tc>
          <w:tcPr>
            <w:tcW w:w="12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(e).</w:t>
            </w:r>
          </w:p>
        </w:tc>
        <w:tc>
          <w:tcPr>
            <w:tcW w:w="8480" w:type="dxa"/>
            <w:vAlign w:val="bottom"/>
            <w:gridSpan w:val="2"/>
          </w:tcPr>
          <w:p>
            <w:pPr>
              <w:spacing w:after="0"/>
              <w:rPr>
                <w:sz w:val="20"/>
                <w:szCs w:val="20"/>
                <w:color w:val="auto"/>
              </w:rPr>
            </w:pPr>
            <w:r>
              <w:rPr>
                <w:rFonts w:ascii="Arial" w:cs="Arial" w:eastAsia="Arial" w:hAnsi="Arial"/>
                <w:sz w:val="18"/>
                <w:szCs w:val="18"/>
                <w:color w:val="auto"/>
              </w:rPr>
              <w:t>CUSIP Number:</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M2239P109</w:t>
            </w:r>
          </w:p>
        </w:tc>
        <w:tc>
          <w:tcPr>
            <w:tcW w:w="1200" w:type="dxa"/>
            <w:vAlign w:val="bottom"/>
          </w:tcPr>
          <w:p>
            <w:pPr>
              <w:spacing w:after="0"/>
              <w:rPr>
                <w:sz w:val="24"/>
                <w:szCs w:val="24"/>
                <w:color w:val="auto"/>
              </w:rPr>
            </w:pPr>
          </w:p>
        </w:tc>
      </w:tr>
      <w:tr>
        <w:trPr>
          <w:trHeight w:val="399"/>
        </w:trPr>
        <w:tc>
          <w:tcPr>
            <w:tcW w:w="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5" w:name="page6"/>
    <w:bookmarkEnd w:id="5"/>
    <w:p>
      <w:pPr>
        <w:spacing w:after="0"/>
        <w:tabs>
          <w:tab w:leader="none" w:pos="17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This Statement is filed pursuant to ss.240.13d-1(b) or 240.13d-2(b), or (c), check whether the person filing is a</w:t>
      </w:r>
    </w:p>
    <w:p>
      <w:pPr>
        <w:spacing w:after="0" w:line="200" w:lineRule="exact"/>
        <w:rPr>
          <w:sz w:val="20"/>
          <w:szCs w:val="20"/>
          <w:color w:val="auto"/>
        </w:rPr>
      </w:pPr>
    </w:p>
    <w:p>
      <w:pPr>
        <w:spacing w:after="0" w:line="268" w:lineRule="exact"/>
        <w:rPr>
          <w:sz w:val="20"/>
          <w:szCs w:val="20"/>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Exchange Act (15 U.S.C. 78c).</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Exchange Act (15 U.S.C. 78c).</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Exchange Act (15 U.S.C. 78c).</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340" w:right="380" w:hanging="1319"/>
        <w:spacing w:after="0" w:line="277" w:lineRule="auto"/>
        <w:tabs>
          <w:tab w:leader="none" w:pos="17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s.240.13d-1(b)(1)(ii)(J).</w:t>
      </w:r>
    </w:p>
    <w:p>
      <w:pPr>
        <w:spacing w:after="0" w:line="200" w:lineRule="exact"/>
        <w:rPr>
          <w:sz w:val="20"/>
          <w:szCs w:val="20"/>
          <w:color w:val="auto"/>
        </w:rPr>
      </w:pP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740" w:hanging="598"/>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Broadfin Capital, LLC – 2,057,106</w:t>
      </w:r>
    </w:p>
    <w:p>
      <w:pPr>
        <w:spacing w:after="0" w:line="23" w:lineRule="exact"/>
        <w:rPr>
          <w:rFonts w:ascii="Arial" w:cs="Arial" w:eastAsia="Arial" w:hAnsi="Arial"/>
          <w:sz w:val="18"/>
          <w:szCs w:val="18"/>
          <w:color w:val="auto"/>
        </w:rPr>
      </w:pPr>
    </w:p>
    <w:p>
      <w:pPr>
        <w:ind w:left="1740" w:right="580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2,057,106 Kevin Kotler – 2,057,106</w:t>
      </w:r>
    </w:p>
    <w:p>
      <w:pPr>
        <w:spacing w:after="0" w:line="210" w:lineRule="exact"/>
        <w:rPr>
          <w:rFonts w:ascii="Arial" w:cs="Arial" w:eastAsia="Arial" w:hAnsi="Arial"/>
          <w:sz w:val="18"/>
          <w:szCs w:val="18"/>
          <w:color w:val="auto"/>
        </w:rPr>
      </w:pPr>
    </w:p>
    <w:p>
      <w:pPr>
        <w:ind w:left="1740" w:hanging="598"/>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Broadfin Capital, LLC – 7.46%</w:t>
      </w:r>
    </w:p>
    <w:p>
      <w:pPr>
        <w:spacing w:after="0" w:line="23" w:lineRule="exact"/>
        <w:rPr>
          <w:rFonts w:ascii="Arial" w:cs="Arial" w:eastAsia="Arial" w:hAnsi="Arial"/>
          <w:sz w:val="18"/>
          <w:szCs w:val="18"/>
          <w:color w:val="auto"/>
        </w:rPr>
      </w:pPr>
    </w:p>
    <w:p>
      <w:pPr>
        <w:ind w:left="1740" w:right="604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7.46% Kevin Kotler – 7.46%</w:t>
      </w:r>
    </w:p>
    <w:p>
      <w:pPr>
        <w:spacing w:after="0" w:line="210" w:lineRule="exact"/>
        <w:rPr>
          <w:rFonts w:ascii="Arial" w:cs="Arial" w:eastAsia="Arial" w:hAnsi="Arial"/>
          <w:sz w:val="18"/>
          <w:szCs w:val="18"/>
          <w:color w:val="auto"/>
        </w:rPr>
      </w:pPr>
    </w:p>
    <w:p>
      <w:pPr>
        <w:ind w:left="1740" w:hanging="598"/>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380" w:hanging="643"/>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380" w:right="578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183" w:lineRule="exact"/>
        <w:rPr>
          <w:rFonts w:ascii="Arial" w:cs="Arial" w:eastAsia="Arial" w:hAnsi="Arial"/>
          <w:sz w:val="18"/>
          <w:szCs w:val="18"/>
          <w:color w:val="auto"/>
        </w:rPr>
      </w:pPr>
    </w:p>
    <w:p>
      <w:pPr>
        <w:ind w:left="2380" w:hanging="643"/>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2,057,106</w:t>
      </w:r>
    </w:p>
    <w:p>
      <w:pPr>
        <w:spacing w:after="0" w:line="23" w:lineRule="exact"/>
        <w:rPr>
          <w:rFonts w:ascii="Arial" w:cs="Arial" w:eastAsia="Arial" w:hAnsi="Arial"/>
          <w:sz w:val="18"/>
          <w:szCs w:val="18"/>
          <w:color w:val="auto"/>
        </w:rPr>
      </w:pPr>
    </w:p>
    <w:p>
      <w:pPr>
        <w:ind w:left="2380" w:right="520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–2,057,106 Kevin Kotler – 2,057,106</w:t>
      </w:r>
    </w:p>
    <w:p>
      <w:pPr>
        <w:spacing w:after="0" w:line="183" w:lineRule="exact"/>
        <w:rPr>
          <w:rFonts w:ascii="Arial" w:cs="Arial" w:eastAsia="Arial" w:hAnsi="Arial"/>
          <w:sz w:val="18"/>
          <w:szCs w:val="18"/>
          <w:color w:val="auto"/>
        </w:rPr>
      </w:pPr>
    </w:p>
    <w:p>
      <w:pPr>
        <w:ind w:left="2380" w:hanging="643"/>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380" w:right="578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183" w:lineRule="exact"/>
        <w:rPr>
          <w:rFonts w:ascii="Arial" w:cs="Arial" w:eastAsia="Arial" w:hAnsi="Arial"/>
          <w:sz w:val="18"/>
          <w:szCs w:val="18"/>
          <w:color w:val="auto"/>
        </w:rPr>
      </w:pPr>
    </w:p>
    <w:p>
      <w:pPr>
        <w:ind w:left="2380" w:hanging="643"/>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2,057,106</w:t>
      </w:r>
    </w:p>
    <w:p>
      <w:pPr>
        <w:spacing w:after="0" w:line="23" w:lineRule="exact"/>
        <w:rPr>
          <w:rFonts w:ascii="Arial" w:cs="Arial" w:eastAsia="Arial" w:hAnsi="Arial"/>
          <w:sz w:val="18"/>
          <w:szCs w:val="18"/>
          <w:color w:val="auto"/>
        </w:rPr>
      </w:pPr>
    </w:p>
    <w:p>
      <w:pPr>
        <w:ind w:left="2380" w:right="516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2,057,106 Kevin Kotler – 2,057,106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-3595370</wp:posOffset>
            </wp:positionV>
            <wp:extent cx="61487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48705" cy="1714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-4436110</wp:posOffset>
            </wp:positionV>
            <wp:extent cx="61487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487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368" w:right="419" w:bottom="1440" w:gutter="0" w:footer="0" w:header="0"/>
        </w:sectPr>
      </w:pPr>
    </w:p>
    <w:bookmarkStart w:id="6" w:name="page7"/>
    <w:bookmarkEnd w:id="6"/>
    <w:p>
      <w:pPr>
        <w:spacing w:after="0"/>
        <w:tabs>
          <w:tab w:leader="none" w:pos="11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140" w:right="2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140" w:right="4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59" w:lineRule="exact"/>
        <w:rPr>
          <w:sz w:val="20"/>
          <w:szCs w:val="20"/>
          <w:color w:val="auto"/>
        </w:rPr>
      </w:pPr>
    </w:p>
    <w:p>
      <w:pPr>
        <w:ind w:left="1140" w:right="540" w:hanging="1133"/>
        <w:spacing w:after="0" w:line="277" w:lineRule="auto"/>
        <w:tabs>
          <w:tab w:leader="none" w:pos="11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left="1140"/>
        <w:spacing w:after="0" w:line="312" w:lineRule="auto"/>
        <w:rPr>
          <w:sz w:val="20"/>
          <w:szCs w:val="20"/>
          <w:color w:val="auto"/>
        </w:rPr>
      </w:pPr>
      <w:r>
        <w:rPr>
          <w:rFonts w:ascii="Arial" w:cs="Arial" w:eastAsia="Arial" w:hAnsi="Arial"/>
          <w:sz w:val="16"/>
          <w:szCs w:val="16"/>
          <w:color w:val="auto"/>
        </w:rPr>
        <w:t>If a parent holding company or control person has filed this schedule, pursuant to Rule §240.13d-1(b)(1)(ii)(G),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39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See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140" w:right="140"/>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65862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080" w:right="360"/>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36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left="16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5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BROADFIN CAPITAL, LLC*</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Kotler,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14605</wp:posOffset>
            </wp:positionV>
            <wp:extent cx="3636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16"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BROADFIN HEALTHCARE</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MASTER FUND, LTD.</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5715</wp:posOffset>
            </wp:positionV>
            <wp:extent cx="3636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Kevin Kotler,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14605</wp:posOffset>
            </wp:positionV>
            <wp:extent cx="3636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16"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disclaim beneficial ownership in the shares reported herein except to the extent of their pecuniary interest therein.</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color w:val="auto"/>
        </w:rPr>
        <w:t>AGREEMENT</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undersigned agree that this Schedule 13G amendment No. 2 dated February 13, 2017 relating to the Ordinary Shares, par value NIS 0.01 per share of Alcobra Ltd. shall be filed on behalf of the undersigned.</w:t>
      </w:r>
    </w:p>
    <w:p>
      <w:pPr>
        <w:spacing w:after="0" w:line="200" w:lineRule="exact"/>
        <w:rPr>
          <w:sz w:val="20"/>
          <w:szCs w:val="20"/>
          <w:color w:val="auto"/>
        </w:rPr>
      </w:pPr>
    </w:p>
    <w:p>
      <w:pPr>
        <w:spacing w:after="0" w:line="21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BROADFIN CAPITAL, LLC</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Kotler,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BROADFIN HEALTHCARE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MASTER FUND, LTD.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Kotler,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Broadfin Capital, LLC is the relevant entity for which Kevin Kotler may be considered a control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SK 25125 0001 7397777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1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3"/>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decimal"/>
      <w:start w:val="1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2019-12-16T10:00:01Z</dcterms:created>
  <dcterms:modified xsi:type="dcterms:W3CDTF">2019-12-16T10:00:01Z</dcterms:modified>
</cp:coreProperties>
</file>