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n/a)*</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Nikko Asset Management Americas, Inc.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USA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2,036,696</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8.56%</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1" w:lineRule="exact"/>
        <w:rPr>
          <w:rFonts w:ascii="Times New Roman" w:cs="Times New Roman" w:eastAsia="Times New Roman" w:hAnsi="Times New Roman"/>
          <w:sz w:val="18"/>
          <w:szCs w:val="18"/>
          <w:color w:val="auto"/>
        </w:rPr>
      </w:pPr>
    </w:p>
    <w:p>
      <w:pPr>
        <w:ind w:left="1140" w:right="607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10628 Science Center Drive, Suite 250 San Diego, CA 92121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Nikko Asset Management Americas, Inc.</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1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605 Third Avenue, 38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NY 10158</w:t>
      </w:r>
    </w:p>
    <w:p>
      <w:pPr>
        <w:spacing w:after="0" w:line="11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USA</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Common Stock, par value $0.001 per share</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1200" w:hanging="531"/>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200" w:hanging="531"/>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200" w:hanging="531"/>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200" w:hanging="531"/>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200" w:hanging="531"/>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200" w:hanging="531"/>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ind w:left="531" w:hanging="531"/>
        <w:spacing w:after="0" w:line="207" w:lineRule="exact"/>
        <w:tabs>
          <w:tab w:leader="none" w:pos="531"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224" w:lineRule="exact"/>
        <w:rPr>
          <w:rFonts w:ascii="Times New Roman" w:cs="Times New Roman" w:eastAsia="Times New Roman" w:hAnsi="Times New Roman"/>
          <w:sz w:val="18"/>
          <w:szCs w:val="18"/>
          <w:color w:val="auto"/>
        </w:rPr>
      </w:pPr>
    </w:p>
    <w:p>
      <w:pPr>
        <w:ind w:left="531" w:hanging="531"/>
        <w:spacing w:after="0" w:line="207" w:lineRule="exact"/>
        <w:tabs>
          <w:tab w:leader="none" w:pos="531"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051" w:right="240" w:hanging="1051"/>
        <w:spacing w:after="0" w:line="226" w:lineRule="exact"/>
        <w:tabs>
          <w:tab w:leader="none" w:pos="538"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531" w:hanging="531"/>
        <w:spacing w:after="0" w:line="207" w:lineRule="exact"/>
        <w:tabs>
          <w:tab w:leader="none" w:pos="531"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1051" w:hanging="1051"/>
        <w:spacing w:after="0" w:line="226" w:lineRule="exact"/>
        <w:tabs>
          <w:tab w:leader="none" w:pos="538"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274320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31"/>
          </w:cols>
          <w:pgMar w:left="989" w:top="82"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2,315,294</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8.56%</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820" w:hanging="678"/>
        <w:spacing w:after="0"/>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29" w:lineRule="exact"/>
        <w:rPr>
          <w:rFonts w:ascii="Times New Roman" w:cs="Times New Roman" w:eastAsia="Times New Roman" w:hAnsi="Times New Roman"/>
          <w:sz w:val="18"/>
          <w:szCs w:val="18"/>
          <w:color w:val="auto"/>
        </w:rPr>
      </w:pPr>
    </w:p>
    <w:p>
      <w:pPr>
        <w:ind w:left="1820" w:hanging="678"/>
        <w:spacing w:after="0"/>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2,036,696</w:t>
      </w:r>
    </w:p>
    <w:p>
      <w:pPr>
        <w:spacing w:after="0" w:line="229" w:lineRule="exact"/>
        <w:rPr>
          <w:rFonts w:ascii="Times New Roman" w:cs="Times New Roman" w:eastAsia="Times New Roman" w:hAnsi="Times New Roman"/>
          <w:sz w:val="18"/>
          <w:szCs w:val="18"/>
          <w:color w:val="auto"/>
        </w:rPr>
      </w:pPr>
    </w:p>
    <w:p>
      <w:pPr>
        <w:ind w:left="1820" w:hanging="678"/>
        <w:spacing w:after="0"/>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29" w:lineRule="exact"/>
        <w:rPr>
          <w:rFonts w:ascii="Times New Roman" w:cs="Times New Roman" w:eastAsia="Times New Roman" w:hAnsi="Times New Roman"/>
          <w:sz w:val="18"/>
          <w:szCs w:val="18"/>
          <w:color w:val="auto"/>
        </w:rPr>
      </w:pPr>
    </w:p>
    <w:p>
      <w:pPr>
        <w:ind w:left="1820" w:hanging="678"/>
        <w:spacing w:after="0"/>
        <w:tabs>
          <w:tab w:leader="none" w:pos="18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dispose or to direct the disposition of:</w:t>
      </w:r>
    </w:p>
    <w:p>
      <w:pPr>
        <w:spacing w:after="0" w:line="2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2,315,294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See Exhibit A.</w:t>
      </w:r>
    </w:p>
    <w:p>
      <w:pPr>
        <w:spacing w:after="0" w:line="225" w:lineRule="exact"/>
        <w:rPr>
          <w:sz w:val="20"/>
          <w:szCs w:val="20"/>
          <w:color w:val="auto"/>
        </w:rPr>
      </w:pPr>
    </w:p>
    <w:p>
      <w:pPr>
        <w:ind w:left="660" w:right="400" w:hanging="647"/>
        <w:spacing w:after="0" w:line="500"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See Exhibit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7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Gary L. Beckham</w:t>
            </w:r>
          </w:p>
        </w:tc>
      </w:tr>
      <w:tr>
        <w:trPr>
          <w:trHeight w:val="216"/>
        </w:trPr>
        <w:tc>
          <w:tcPr>
            <w:tcW w:w="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5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Name: Gary L. Beckham</w:t>
            </w:r>
          </w:p>
        </w:tc>
      </w:tr>
      <w:tr>
        <w:trPr>
          <w:trHeight w:val="234"/>
        </w:trPr>
        <w:tc>
          <w:tcPr>
            <w:tcW w:w="9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5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Attention:</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tc>
      </w:tr>
      <w:tr>
        <w:trPr>
          <w:trHeight w:val="398"/>
        </w:trPr>
        <w:tc>
          <w:tcPr>
            <w:tcW w:w="9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162" w:lineRule="exact"/>
        <w:rPr>
          <w:sz w:val="20"/>
          <w:szCs w:val="20"/>
          <w:color w:val="auto"/>
        </w:rPr>
      </w:pPr>
    </w:p>
    <w:p>
      <w:pPr>
        <w:ind w:left="980" w:right="3080" w:hanging="648"/>
        <w:spacing w:after="0" w:line="266"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Sumitomo Mitsui Trust Group, Inc. (formerly known as, Sumitomo Mitsui Trust Holdings, Inc.) o A parent holding company or control person in accordance with §240.13d-1(b)(1)(ii)(G); o A non-U.S. institution in accordance with §240.13d-1(b)(1)(ii)(J).</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Nikko Asset Management Co., Ltd.</w:t>
      </w:r>
    </w:p>
    <w:p>
      <w:pPr>
        <w:spacing w:after="0" w:line="27"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00"/>
      </w:cols>
      <w:pgMar w:left="320" w:top="11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7"/>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2024-11-08T14:21:41Z</dcterms:created>
  <dcterms:modified xsi:type="dcterms:W3CDTF">2024-11-08T14:21:41Z</dcterms:modified>
</cp:coreProperties>
</file>