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February 17,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Delaware</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001-38942</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(State or other jurisdiction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(Commission</w:t>
            </w:r>
          </w:p>
        </w:tc>
        <w:tc>
          <w:tcPr>
            <w:tcW w:w="1640" w:type="dxa"/>
            <w:vAlign w:val="bottom"/>
          </w:tcPr>
          <w:p>
            <w:pPr>
              <w:jc w:val="center"/>
              <w:ind w:left="1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4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of incorporation)</w:t>
            </w:r>
          </w:p>
        </w:tc>
        <w:tc>
          <w:tcPr>
            <w:tcW w:w="550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File Number)</w:t>
            </w:r>
          </w:p>
        </w:tc>
        <w:tc>
          <w:tcPr>
            <w:tcW w:w="1640" w:type="dxa"/>
            <w:vAlign w:val="bottom"/>
          </w:tcPr>
          <w:p>
            <w:pPr>
              <w:jc w:val="center"/>
              <w:ind w:left="1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40" w:type="dxa"/>
            <w:vAlign w:val="bottom"/>
          </w:tcPr>
          <w:p>
            <w:pPr>
              <w:spacing w:after="0"/>
              <w:rPr>
                <w:sz w:val="24"/>
                <w:szCs w:val="24"/>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40" w:type="dxa"/>
            <w:vAlign w:val="bottom"/>
          </w:tcPr>
          <w:p>
            <w:pPr>
              <w:spacing w:after="0"/>
              <w:rPr>
                <w:sz w:val="24"/>
                <w:szCs w:val="24"/>
                <w:color w:val="auto"/>
              </w:rPr>
            </w:pPr>
          </w:p>
        </w:tc>
      </w:tr>
      <w:tr>
        <w:trPr>
          <w:trHeight w:val="216"/>
        </w:trPr>
        <w:tc>
          <w:tcPr>
            <w:tcW w:w="2140" w:type="dxa"/>
            <w:vAlign w:val="bottom"/>
          </w:tcPr>
          <w:p>
            <w:pPr>
              <w:spacing w:after="0"/>
              <w:rPr>
                <w:sz w:val="18"/>
                <w:szCs w:val="18"/>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40" w:type="dxa"/>
            <w:vAlign w:val="bottom"/>
          </w:tcPr>
          <w:p>
            <w:pPr>
              <w:spacing w:after="0"/>
              <w:rPr>
                <w:sz w:val="18"/>
                <w:szCs w:val="18"/>
                <w:color w:val="auto"/>
              </w:rPr>
            </w:pPr>
          </w:p>
        </w:tc>
      </w:tr>
      <w:tr>
        <w:trPr>
          <w:trHeight w:val="234"/>
        </w:trPr>
        <w:tc>
          <w:tcPr>
            <w:tcW w:w="2140" w:type="dxa"/>
            <w:vAlign w:val="bottom"/>
          </w:tcPr>
          <w:p>
            <w:pPr>
              <w:spacing w:after="0"/>
              <w:rPr>
                <w:sz w:val="20"/>
                <w:szCs w:val="20"/>
                <w:color w:val="auto"/>
              </w:rPr>
            </w:pPr>
          </w:p>
        </w:tc>
        <w:tc>
          <w:tcPr>
            <w:tcW w:w="550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40" w:type="dxa"/>
            <w:vAlign w:val="bottom"/>
          </w:tcPr>
          <w:p>
            <w:pPr>
              <w:spacing w:after="0"/>
              <w:rPr>
                <w:sz w:val="20"/>
                <w:szCs w:val="20"/>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40" w:type="dxa"/>
            <w:vAlign w:val="bottom"/>
          </w:tcPr>
          <w:p>
            <w:pPr>
              <w:spacing w:after="0"/>
              <w:rPr>
                <w:sz w:val="24"/>
                <w:szCs w:val="24"/>
                <w:color w:val="auto"/>
              </w:rPr>
            </w:pPr>
          </w:p>
        </w:tc>
      </w:tr>
      <w:tr>
        <w:trPr>
          <w:trHeight w:val="432"/>
        </w:trPr>
        <w:tc>
          <w:tcPr>
            <w:tcW w:w="2140" w:type="dxa"/>
            <w:vAlign w:val="bottom"/>
          </w:tcPr>
          <w:p>
            <w:pPr>
              <w:spacing w:after="0"/>
              <w:rPr>
                <w:sz w:val="24"/>
                <w:szCs w:val="24"/>
                <w:color w:val="auto"/>
              </w:rPr>
            </w:pPr>
          </w:p>
        </w:tc>
        <w:tc>
          <w:tcPr>
            <w:tcW w:w="55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4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Trading</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3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Symbol(s)</w:t>
            </w: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2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February 17, 2021, Arcturus Therapeutics, Inc., a wholly-owned subsidiary of Arcturus Therapeutics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entered into an exclusive license agreement with Alexion Pharmaceuticals, Inc. (“</w:t>
      </w:r>
      <w:r>
        <w:rPr>
          <w:rFonts w:ascii="Arial" w:cs="Arial" w:eastAsia="Arial" w:hAnsi="Arial"/>
          <w:sz w:val="17"/>
          <w:szCs w:val="17"/>
          <w:u w:val="single" w:color="auto"/>
          <w:color w:val="auto"/>
        </w:rPr>
        <w:t>Alexion</w:t>
      </w:r>
      <w:r>
        <w:rPr>
          <w:rFonts w:ascii="Arial" w:cs="Arial" w:eastAsia="Arial" w:hAnsi="Arial"/>
          <w:sz w:val="17"/>
          <w:szCs w:val="17"/>
          <w:color w:val="auto"/>
        </w:rPr>
        <w:t>”) pursuant to which Alexion granted to Arcturus Therapeutics, Inc. an exclusive, worldwide license to exploit certain specified Alexion patent applications. In accordance with the terms of the license agreement, and in exchange for the license, the Company issued 74,713 shares of its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to Alexion on February 19, 2021, which number of Shares was based on a price of $66.92 per share. The price was determined based on the volume weighted average closing price of the Company’s common stock on The NASDAQ Global Market for the thirty trading days ending on February 17, 2021.</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issuance and sale of the Shares has not been registered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The Shares have been sold and issued in reliance on an exemption from the registration requirements of the Securities Act afforded by Section 4(a)(2) thereof and Rule 506 of Regulation D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After the issuance of the Shares to Alexion, the Company had 26,280,275 shares of common stock issued and outstanding on February 19, 2021.</w:t>
      </w:r>
    </w:p>
    <w:p>
      <w:pPr>
        <w:spacing w:after="0" w:line="233" w:lineRule="exact"/>
        <w:rPr>
          <w:sz w:val="20"/>
          <w:szCs w:val="20"/>
          <w:color w:val="auto"/>
        </w:rPr>
      </w:pPr>
    </w:p>
    <w:p>
      <w:pPr>
        <w:ind w:left="9940"/>
        <w:spacing w:after="0"/>
        <w:rPr>
          <w:sz w:val="20"/>
          <w:szCs w:val="20"/>
          <w:color w:val="auto"/>
        </w:rPr>
      </w:pPr>
      <w:r>
        <w:rPr>
          <w:rFonts w:ascii="Arial" w:cs="Arial" w:eastAsia="Arial" w:hAnsi="Arial"/>
          <w:sz w:val="17"/>
          <w:szCs w:val="17"/>
          <w:b w:val="1"/>
          <w:bCs w:val="1"/>
          <w:color w:val="auto"/>
        </w:rPr>
        <w:t>Item 8.01. Other</w:t>
      </w:r>
    </w:p>
    <w:p>
      <w:pPr>
        <w:spacing w:after="0" w:line="39" w:lineRule="exact"/>
        <w:rPr>
          <w:sz w:val="20"/>
          <w:szCs w:val="20"/>
          <w:color w:val="auto"/>
        </w:rPr>
      </w:pPr>
    </w:p>
    <w:p>
      <w:pPr>
        <w:ind w:left="9940"/>
        <w:spacing w:after="0"/>
        <w:rPr>
          <w:sz w:val="20"/>
          <w:szCs w:val="20"/>
          <w:color w:val="auto"/>
        </w:rPr>
      </w:pPr>
      <w:r>
        <w:rPr>
          <w:rFonts w:ascii="Arial" w:cs="Arial" w:eastAsia="Arial" w:hAnsi="Arial"/>
          <w:sz w:val="18"/>
          <w:szCs w:val="18"/>
          <w:b w:val="1"/>
          <w:bCs w:val="1"/>
          <w:color w:val="auto"/>
        </w:rPr>
        <w:t>Information.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the Company issued a press release announcing the entry into the license agreement with Alexion. A copy of the press release is attached as Exhibit 99.1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0100" w:type="dxa"/>
            <w:vAlign w:val="bottom"/>
          </w:tcPr>
          <w:p>
            <w:pPr>
              <w:spacing w:after="0"/>
              <w:rPr>
                <w:sz w:val="20"/>
                <w:szCs w:val="20"/>
                <w:color w:val="auto"/>
              </w:rPr>
            </w:pPr>
          </w:p>
        </w:tc>
      </w:tr>
      <w:tr>
        <w:trPr>
          <w:trHeight w:val="41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10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No.</w:t>
            </w:r>
          </w:p>
        </w:tc>
        <w:tc>
          <w:tcPr>
            <w:tcW w:w="10100" w:type="dxa"/>
            <w:vAlign w:val="bottom"/>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10100" w:type="dxa"/>
            <w:vAlign w:val="bottom"/>
            <w:tcBorders>
              <w:top w:val="single" w:sz="8" w:color="auto"/>
            </w:tcBorders>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February 22, 2021</w:t>
              </w:r>
            </w:hyperlink>
          </w:p>
        </w:tc>
      </w:tr>
      <w:tr>
        <w:trPr>
          <w:trHeight w:val="567"/>
        </w:trPr>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2"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2021</w:t>
      </w:r>
    </w:p>
    <w:p>
      <w:pPr>
        <w:spacing w:after="0" w:line="211"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6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6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Arcturus Therapeutics Acquires Exclusive License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mRNA Manufacturing Technology from Alexion Pharmaceuticals</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SAN DIEGO--(BUSINESS WIRE)--Feb. 22, 2021-- Arcturus Therapeutics Holdings Inc. (the “Company”, “Arcturus”, Nasdaq: ARCT), a leading clinical-stage messenger RNA medicines company focused on the development of infectious disease vaccines and significant opportunities within liver and respiratory rare diseases, today announced that the Company has acquired an exclusive license from Alexion Pharmaceuticals to certain patent-pending inventions relating to nucleic acid purification technologies.</w:t>
      </w:r>
    </w:p>
    <w:p>
      <w:pPr>
        <w:spacing w:after="0" w:line="187"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Since the Company’s inception in 2013, Arcturus has been building proprietary expertise related to the manufacture of RNA through technological innovation. The licensed inventions enable larger scale and faster production of mRNA. The technology supports the Company’s efforts to optimize the highly efficient manufacture of mRNA therapeutic candidates with an increased purity profile. This acquisition extends the substantial intellectual property portfolio already held by Arcturus for the manufacture of high purity pharmaceutical quality mRNA therapeutic candidates for a variety of diseases.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29"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Founded in 2013 and based in San Diego, California, Arcturus Therapeutics Holdings Inc. (Nasdaq: ARCT) is a clinical-stage mRNA medicines and vaccines company with enabling technologies: (i) LUNAR®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3, Hepatitis B Virus,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(209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Duke-NUS Medical School, and the Cystic Fibrosis Foundation. For more information visit www.ArcturusRx.com. In addition, please connect with us on Twitter and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the Company’s development strategy, the Company’s manufacturing plans and ability to improve mRNA manufacturing methods, the likelihood that a patent will issue from any patent application, future operations, the continuation or success of collaborations with the Company’s strategic partners,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2019, filed with the SEC on March 16, 2020 and in subsequent filings with, or submissions to, the SEC.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View source version on businesswire.com: https://www.businesswire.com/news/home/20210222005324/en/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9" w:lineRule="exact"/>
        <w:rPr>
          <w:sz w:val="20"/>
          <w:szCs w:val="20"/>
          <w:color w:val="auto"/>
        </w:rPr>
      </w:pPr>
    </w:p>
    <w:p>
      <w:pPr>
        <w:ind w:left="440" w:hanging="432"/>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sectPr>
      <w:pgSz w:w="11900" w:h="16838" w:orient="portrait"/>
      <w:cols w:equalWidth="0" w:num="1">
        <w:col w:w="11220"/>
      </w:cols>
      <w:pgMar w:left="320" w:top="7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2021-02-22T16:03:38Z</dcterms:created>
  <dcterms:modified xsi:type="dcterms:W3CDTF">2021-02-22T16:03:38Z</dcterms:modified>
</cp:coreProperties>
</file>