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6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8"/>
            <w:vMerge w:val="restart"/>
          </w:tcPr>
          <w:p>
            <w:pPr>
              <w:jc w:val="center"/>
              <w:ind w:left="46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jc w:val="right"/>
              <w:ind w:right="158"/>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0" w:type="dxa"/>
            <w:vAlign w:val="bottom"/>
            <w:gridSpan w:val="18"/>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0" w:type="dxa"/>
            <w:vAlign w:val="bottom"/>
            <w:gridSpan w:val="18"/>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vMerge w:val="restart"/>
          </w:tcPr>
          <w:p>
            <w:pPr>
              <w:ind w:left="20"/>
              <w:spacing w:after="0"/>
              <w:rPr>
                <w:rFonts w:ascii="Arial" w:cs="Arial" w:eastAsia="Arial" w:hAnsi="Arial"/>
                <w:sz w:val="21"/>
                <w:szCs w:val="21"/>
                <w:color w:val="0000EE"/>
                <w:w w:val="89"/>
              </w:rPr>
            </w:pPr>
            <w:hyperlink r:id="rId8">
              <w:r>
                <w:rPr>
                  <w:rFonts w:ascii="Arial" w:cs="Arial" w:eastAsia="Arial" w:hAnsi="Arial"/>
                  <w:sz w:val="21"/>
                  <w:szCs w:val="21"/>
                  <w:color w:val="0000EE"/>
                  <w:w w:val="89"/>
                </w:rPr>
                <w:t>Marquet Magda</w:t>
              </w:r>
            </w:hyperlink>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gridSpan w:val="18"/>
          </w:tcPr>
          <w:p>
            <w:pPr>
              <w:spacing w:after="0" w:line="170" w:lineRule="exact"/>
              <w:rPr>
                <w:rFonts w:ascii="Arial" w:cs="Arial" w:eastAsia="Arial" w:hAnsi="Arial"/>
                <w:sz w:val="16"/>
                <w:szCs w:val="16"/>
                <w:color w:val="0000EE"/>
              </w:rPr>
            </w:pPr>
            <w:hyperlink r:id="rId9">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ARCT</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0" w:type="dxa"/>
            <w:vAlign w:val="bottom"/>
            <w:gridSpan w:val="4"/>
            <w:vMerge w:val="restart"/>
          </w:tcPr>
          <w:p>
            <w:pPr>
              <w:ind w:left="240"/>
              <w:spacing w:after="0" w:line="227" w:lineRule="exact"/>
              <w:rPr>
                <w:sz w:val="20"/>
                <w:szCs w:val="20"/>
                <w:color w:val="auto"/>
              </w:rPr>
            </w:pPr>
            <w:r>
              <w:rPr>
                <w:rFonts w:ascii="Arial" w:cs="Arial" w:eastAsia="Arial" w:hAnsi="Arial"/>
                <w:sz w:val="21"/>
                <w:szCs w:val="21"/>
                <w:color w:val="auto"/>
              </w:rPr>
              <w:t>]</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ARCTURUS THERAPEUTICS HOLDINGS</w:t>
            </w:r>
          </w:p>
        </w:tc>
        <w:tc>
          <w:tcPr>
            <w:tcW w:w="1280" w:type="dxa"/>
            <w:vAlign w:val="bottom"/>
            <w:gridSpan w:val="7"/>
          </w:tcPr>
          <w:p>
            <w:pPr>
              <w:ind w:left="240"/>
              <w:spacing w:after="0"/>
              <w:rPr>
                <w:sz w:val="20"/>
                <w:szCs w:val="20"/>
                <w:color w:val="auto"/>
              </w:rPr>
            </w:pPr>
            <w:r>
              <w:rPr>
                <w:rFonts w:ascii="Arial" w:cs="Arial" w:eastAsia="Arial" w:hAnsi="Arial"/>
                <w:sz w:val="17"/>
                <w:szCs w:val="17"/>
                <w:color w:val="0000FF"/>
              </w:rPr>
              <w:t>08/01/2023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line="188" w:lineRule="exact"/>
              <w:rPr>
                <w:sz w:val="20"/>
                <w:szCs w:val="20"/>
                <w:color w:val="auto"/>
              </w:rPr>
            </w:pPr>
            <w:r>
              <w:rPr>
                <w:rFonts w:ascii="Arial" w:cs="Arial" w:eastAsia="Arial" w:hAnsi="Arial"/>
                <w:sz w:val="17"/>
                <w:szCs w:val="17"/>
                <w:color w:val="0000FF"/>
              </w:rPr>
              <w:t>INC.</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10628 SCIENCE CENTER DRIVE, SUITE 250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 DIEGO</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92121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8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6"/>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440" w:type="dxa"/>
            <w:vAlign w:val="bottom"/>
            <w:tcBorders>
              <w:bottom w:val="single" w:sz="8" w:color="2C2C2C"/>
            </w:tcBorders>
            <w:gridSpan w:val="6"/>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20"/>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0" w:type="dxa"/>
            <w:vAlign w:val="bottom"/>
            <w:gridSpan w:val="18"/>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Conversion</w:t>
            </w:r>
          </w:p>
        </w:tc>
        <w:tc>
          <w:tcPr>
            <w:tcW w:w="10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34.92</w:t>
            </w:r>
          </w:p>
        </w:tc>
        <w:tc>
          <w:tcPr>
            <w:tcW w:w="120" w:type="dxa"/>
            <w:vAlign w:val="bottom"/>
          </w:tcPr>
          <w:p>
            <w:pPr>
              <w:spacing w:after="0"/>
              <w:rPr>
                <w:sz w:val="17"/>
                <w:szCs w:val="17"/>
                <w:color w:val="auto"/>
              </w:rPr>
            </w:pPr>
          </w:p>
        </w:tc>
        <w:tc>
          <w:tcPr>
            <w:tcW w:w="1060" w:type="dxa"/>
            <w:vAlign w:val="bottom"/>
          </w:tcPr>
          <w:p>
            <w:pPr>
              <w:jc w:val="right"/>
              <w:ind w:right="112"/>
              <w:spacing w:after="0"/>
              <w:rPr>
                <w:sz w:val="20"/>
                <w:szCs w:val="20"/>
                <w:color w:val="auto"/>
              </w:rPr>
            </w:pPr>
            <w:r>
              <w:rPr>
                <w:rFonts w:ascii="Arial" w:cs="Arial" w:eastAsia="Arial" w:hAnsi="Arial"/>
                <w:sz w:val="13"/>
                <w:szCs w:val="13"/>
                <w:color w:val="0000FF"/>
              </w:rPr>
              <w:t>08/01/2023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00" w:type="dxa"/>
            <w:vAlign w:val="bottom"/>
          </w:tcPr>
          <w:p>
            <w:pPr>
              <w:jc w:val="right"/>
              <w:ind w:right="20"/>
              <w:spacing w:after="0"/>
              <w:rPr>
                <w:sz w:val="20"/>
                <w:szCs w:val="20"/>
                <w:color w:val="auto"/>
              </w:rPr>
            </w:pPr>
            <w:r>
              <w:rPr>
                <w:rFonts w:ascii="Arial" w:cs="Arial" w:eastAsia="Arial" w:hAnsi="Arial"/>
                <w:sz w:val="13"/>
                <w:szCs w:val="13"/>
                <w:color w:val="0000FF"/>
              </w:rPr>
              <w:t>11,869</w:t>
            </w:r>
          </w:p>
        </w:tc>
        <w:tc>
          <w:tcPr>
            <w:tcW w:w="32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00" w:type="dxa"/>
            <w:vAlign w:val="bottom"/>
            <w:gridSpan w:val="2"/>
          </w:tcPr>
          <w:p>
            <w:pPr>
              <w:jc w:val="right"/>
              <w:ind w:right="22"/>
              <w:spacing w:after="0"/>
              <w:rPr>
                <w:sz w:val="20"/>
                <w:szCs w:val="20"/>
                <w:color w:val="auto"/>
              </w:rPr>
            </w:pPr>
            <w:r>
              <w:rPr>
                <w:rFonts w:ascii="Arial" w:cs="Arial" w:eastAsia="Arial" w:hAnsi="Arial"/>
                <w:sz w:val="13"/>
                <w:szCs w:val="13"/>
                <w:color w:val="0000FF"/>
              </w:rPr>
              <w:t>08/01/2033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spacing w:after="0"/>
              <w:rPr>
                <w:sz w:val="20"/>
                <w:szCs w:val="20"/>
                <w:color w:val="auto"/>
              </w:rPr>
            </w:pPr>
            <w:r>
              <w:rPr>
                <w:rFonts w:ascii="Arial" w:cs="Arial" w:eastAsia="Arial" w:hAnsi="Arial"/>
                <w:sz w:val="17"/>
                <w:szCs w:val="17"/>
                <w:color w:val="0000FF"/>
                <w:w w:val="84"/>
              </w:rPr>
              <w:t>11,869</w:t>
            </w:r>
          </w:p>
        </w:tc>
        <w:tc>
          <w:tcPr>
            <w:tcW w:w="16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jc w:val="right"/>
              <w:spacing w:after="0"/>
              <w:rPr>
                <w:sz w:val="20"/>
                <w:szCs w:val="20"/>
                <w:color w:val="auto"/>
              </w:rPr>
            </w:pPr>
            <w:r>
              <w:rPr>
                <w:rFonts w:ascii="Arial" w:cs="Arial" w:eastAsia="Arial" w:hAnsi="Arial"/>
                <w:sz w:val="13"/>
                <w:szCs w:val="13"/>
                <w:color w:val="0000FF"/>
              </w:rPr>
              <w:t>11,869</w:t>
            </w:r>
          </w:p>
        </w:tc>
        <w:tc>
          <w:tcPr>
            <w:tcW w:w="280" w:type="dxa"/>
            <w:vAlign w:val="bottom"/>
          </w:tcPr>
          <w:p>
            <w:pPr>
              <w:spacing w:after="0"/>
              <w:rPr>
                <w:sz w:val="17"/>
                <w:szCs w:val="17"/>
                <w:color w:val="auto"/>
              </w:rPr>
            </w:pPr>
          </w:p>
        </w:tc>
        <w:tc>
          <w:tcPr>
            <w:tcW w:w="640" w:type="dxa"/>
            <w:vAlign w:val="bottom"/>
          </w:tcPr>
          <w:p>
            <w:pPr>
              <w:jc w:val="right"/>
              <w:ind w:right="158"/>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3"/>
          </w:tcPr>
          <w:p>
            <w:pPr>
              <w:ind w:left="60"/>
              <w:spacing w:after="0" w:line="83"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2"/>
          </w:tcPr>
          <w:p>
            <w:pPr>
              <w:ind w:left="14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7"/>
              <w:spacing w:after="0"/>
              <w:rPr>
                <w:sz w:val="20"/>
                <w:szCs w:val="20"/>
                <w:color w:val="auto"/>
              </w:rPr>
            </w:pPr>
            <w:r>
              <w:rPr>
                <w:rFonts w:ascii="Arial" w:cs="Arial" w:eastAsia="Arial" w:hAnsi="Arial"/>
                <w:sz w:val="17"/>
                <w:szCs w:val="17"/>
                <w:color w:val="0000FF"/>
                <w:w w:val="93"/>
              </w:rPr>
              <w:t>3,131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115"/>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1"/>
                <w:szCs w:val="11"/>
                <w:color w:val="auto"/>
              </w:rPr>
            </w:pPr>
          </w:p>
        </w:tc>
        <w:tc>
          <w:tcPr>
            <w:tcW w:w="1060" w:type="dxa"/>
            <w:vAlign w:val="bottom"/>
          </w:tcPr>
          <w:p>
            <w:pPr>
              <w:jc w:val="right"/>
              <w:ind w:right="112"/>
              <w:spacing w:after="0" w:line="127" w:lineRule="exact"/>
              <w:rPr>
                <w:sz w:val="20"/>
                <w:szCs w:val="20"/>
                <w:color w:val="auto"/>
              </w:rPr>
            </w:pPr>
            <w:r>
              <w:rPr>
                <w:rFonts w:ascii="Arial" w:cs="Arial" w:eastAsia="Arial" w:hAnsi="Arial"/>
                <w:sz w:val="13"/>
                <w:szCs w:val="13"/>
                <w:color w:val="0000FF"/>
              </w:rPr>
              <w:t>08/01/2023</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40"/>
              <w:spacing w:after="0" w:line="127"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1"/>
                <w:szCs w:val="11"/>
                <w:color w:val="auto"/>
              </w:rPr>
            </w:pPr>
          </w:p>
        </w:tc>
        <w:tc>
          <w:tcPr>
            <w:tcW w:w="500" w:type="dxa"/>
            <w:vAlign w:val="bottom"/>
          </w:tcPr>
          <w:p>
            <w:pPr>
              <w:jc w:val="right"/>
              <w:ind w:right="40"/>
              <w:spacing w:after="0" w:line="127" w:lineRule="exact"/>
              <w:rPr>
                <w:sz w:val="20"/>
                <w:szCs w:val="20"/>
                <w:color w:val="auto"/>
              </w:rPr>
            </w:pPr>
            <w:r>
              <w:rPr>
                <w:rFonts w:ascii="Arial" w:cs="Arial" w:eastAsia="Arial" w:hAnsi="Arial"/>
                <w:sz w:val="13"/>
                <w:szCs w:val="13"/>
                <w:color w:val="0000FF"/>
              </w:rPr>
              <w:t>3,131</w:t>
            </w:r>
          </w:p>
        </w:tc>
        <w:tc>
          <w:tcPr>
            <w:tcW w:w="320" w:type="dxa"/>
            <w:vAlign w:val="bottom"/>
          </w:tcPr>
          <w:p>
            <w:pPr>
              <w:spacing w:after="0"/>
              <w:rPr>
                <w:sz w:val="11"/>
                <w:szCs w:val="11"/>
                <w:color w:val="auto"/>
              </w:rPr>
            </w:pP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1"/>
                <w:szCs w:val="11"/>
                <w:color w:val="auto"/>
              </w:rPr>
            </w:pPr>
          </w:p>
        </w:tc>
        <w:tc>
          <w:tcPr>
            <w:tcW w:w="480" w:type="dxa"/>
            <w:vAlign w:val="bottom"/>
          </w:tcPr>
          <w:p>
            <w:pPr>
              <w:jc w:val="right"/>
              <w:ind w:right="262"/>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4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jc w:val="right"/>
              <w:spacing w:after="0" w:line="127" w:lineRule="exact"/>
              <w:rPr>
                <w:sz w:val="20"/>
                <w:szCs w:val="20"/>
                <w:color w:val="auto"/>
              </w:rPr>
            </w:pPr>
            <w:r>
              <w:rPr>
                <w:rFonts w:ascii="Arial" w:cs="Arial" w:eastAsia="Arial" w:hAnsi="Arial"/>
                <w:sz w:val="13"/>
                <w:szCs w:val="13"/>
                <w:color w:val="0000FF"/>
              </w:rPr>
              <w:t>3,131</w:t>
            </w:r>
          </w:p>
        </w:tc>
        <w:tc>
          <w:tcPr>
            <w:tcW w:w="280" w:type="dxa"/>
            <w:vAlign w:val="bottom"/>
          </w:tcPr>
          <w:p>
            <w:pPr>
              <w:spacing w:after="0"/>
              <w:rPr>
                <w:sz w:val="11"/>
                <w:szCs w:val="11"/>
                <w:color w:val="auto"/>
              </w:rPr>
            </w:pPr>
          </w:p>
        </w:tc>
        <w:tc>
          <w:tcPr>
            <w:tcW w:w="640" w:type="dxa"/>
            <w:vAlign w:val="bottom"/>
          </w:tcPr>
          <w:p>
            <w:pPr>
              <w:jc w:val="right"/>
              <w:ind w:right="158"/>
              <w:spacing w:after="0" w:line="127"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-6256020</wp:posOffset>
            </wp:positionV>
            <wp:extent cx="7045325" cy="6269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2693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8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underlying the option vest monthly over a one year period from the date of grant; provided however, that the remaining unvested balance will vest and become fully exercisable at the Issuer's 2024 annual meeting of stockholders. This represents a portion of the 2023 annual grant to the Reporting Person as a member of the Board of Directors of the Issuer.</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economically equivalent to one share of the Issuer's common stock</w:t>
      </w:r>
    </w:p>
    <w:p>
      <w:pPr>
        <w:spacing w:after="0" w:line="46" w:lineRule="exact"/>
        <w:rPr>
          <w:rFonts w:ascii="Arial" w:cs="Arial" w:eastAsia="Arial" w:hAnsi="Arial"/>
          <w:sz w:val="13"/>
          <w:szCs w:val="13"/>
          <w:color w:val="008000"/>
        </w:rPr>
      </w:pPr>
    </w:p>
    <w:p>
      <w:pPr>
        <w:ind w:left="40" w:right="140" w:firstLine="4"/>
        <w:spacing w:after="0" w:line="239"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underlying the deferred stock units shall vest at the Issuer's 2024 annual meeting of stockholders. The shares underlying the deferred stock units will be issued on (or as soon as reasonably practicable following) the earlier of the Reporting Person's separation from service or a change in ownership of the Issuer or a substantial portion of its assets or a change in effective control of the Issuer within the meaning of regulations issued under Section 409A of the Internal Revenue Code. This represents a portion of the 2023 annual grant to the Reporting Person as a member of the Board of Directors of the Issuer.</w:t>
      </w:r>
    </w:p>
    <w:p>
      <w:pPr>
        <w:spacing w:after="0" w:line="4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w w:val="98"/>
              </w:rPr>
              <w:t>/s/ Ilan Katz, attorney-in-fact</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w w:val="89"/>
              </w:rPr>
              <w:t>08/03/2023</w:t>
            </w:r>
          </w:p>
        </w:tc>
      </w:tr>
      <w:tr>
        <w:trPr>
          <w:trHeight w:val="227"/>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31486" TargetMode="External"/><Relationship Id="rId9"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2023-08-03T15:48:05Z</dcterms:created>
  <dcterms:modified xsi:type="dcterms:W3CDTF">2023-08-03T15:48:05Z</dcterms:modified>
</cp:coreProperties>
</file>