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13d-101)</w:t>
      </w:r>
    </w:p>
    <w:p>
      <w:pPr>
        <w:spacing w:after="0" w:line="236"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960" w:right="4800" w:firstLine="219"/>
        <w:spacing w:after="0" w:line="496" w:lineRule="auto"/>
        <w:tabs>
          <w:tab w:leader="none" w:pos="5319"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3)</w:t>
      </w:r>
      <w:r>
        <w:rPr>
          <w:rFonts w:ascii="Arial" w:cs="Arial" w:eastAsia="Arial" w:hAnsi="Arial"/>
          <w:sz w:val="22"/>
          <w:szCs w:val="22"/>
          <w:color w:val="auto"/>
          <w:vertAlign w:val="superscript"/>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March 23,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9" w:lineRule="exact"/>
        <w:rPr>
          <w:sz w:val="24"/>
          <w:szCs w:val="24"/>
          <w:color w:val="auto"/>
        </w:rPr>
      </w:pPr>
    </w:p>
    <w:p>
      <w:pPr>
        <w:ind w:right="60" w:firstLine="8"/>
        <w:spacing w:after="0" w:line="211" w:lineRule="auto"/>
        <w:tabs>
          <w:tab w:leader="none" w:pos="693"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Brosh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1,296,564</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1,296,564</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1,296,564</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Exodus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1,562,397</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1,562,397</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1,562,397</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3</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Brosh Funds Management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1,296,564</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1,296,564</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1,296,564</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4</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Exodus Management Israel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1,706,505</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1,706,505</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1,706,505</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5</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Amir Efrati</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3,003,069</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3,003,069</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3,003,069</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6</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following constitutes Amendment No. 3 to the Schedule 13D filed by the undersigned (“Amendment No. 3”). This Amendment No. 3 amends the Schedule 13D as specifically set forth herein.</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Shares purchased by each of Brosh and Exodus, and held in the Exodus Managed Account were purchased with working capital (which may, at any given time, include margin loans made by brokerage firms in the ordinary course of business) in open market purchases, except as otherwise noted in Schedule B, which is incorporated herein by reference. The aggregate purchase price of the 1,296,564 Shares owned directly by Brosh is approximately $1,328,535, excluding brokerage commissions. The aggregate purchase price of the 1,562,397 Shares owned directly by Exodus is approximately $1,511,538, excluding brokerage commissions. The aggregate purchase price of the 144,108 Shares held in the Exodus Managed Account is approximately $154,622, excluding brokerage commissions.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to read as follows:</w:t>
      </w:r>
    </w:p>
    <w:p>
      <w:pPr>
        <w:spacing w:after="0" w:line="252" w:lineRule="exact"/>
        <w:rPr>
          <w:sz w:val="20"/>
          <w:szCs w:val="20"/>
          <w:color w:val="auto"/>
        </w:rPr>
      </w:pPr>
    </w:p>
    <w:p>
      <w:pPr>
        <w:jc w:val="both"/>
        <w:ind w:firstLine="1305"/>
        <w:spacing w:after="0" w:line="264" w:lineRule="auto"/>
        <w:tabs>
          <w:tab w:leader="none" w:pos="2068"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27,560,920 Shares outstanding, which is the total number of Shares outstanding as reported in the Issuer’s Annual Report on Form 20-F filed with the Securities and Exchange Commission on March 4, 2016.</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Brosh</w:t>
      </w:r>
    </w:p>
    <w:p>
      <w:pPr>
        <w:spacing w:after="0" w:line="252" w:lineRule="exact"/>
        <w:rPr>
          <w:rFonts w:ascii="Arial" w:cs="Arial" w:eastAsia="Arial" w:hAnsi="Arial"/>
          <w:sz w:val="18"/>
          <w:szCs w:val="18"/>
          <w:color w:val="auto"/>
        </w:rPr>
      </w:pPr>
    </w:p>
    <w:p>
      <w:pPr>
        <w:ind w:left="1300" w:right="350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27, 2017, Brosh beneficially owned 1,296,564 Shares. Percentage: Approximately 4.7%</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1,296,564</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1,296,564</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Brosh since the filing of Amendment No. 2 to the Schedule 13D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Exodus</w:t>
      </w:r>
    </w:p>
    <w:p>
      <w:pPr>
        <w:spacing w:after="0" w:line="252" w:lineRule="exact"/>
        <w:rPr>
          <w:rFonts w:ascii="Arial" w:cs="Arial" w:eastAsia="Arial" w:hAnsi="Arial"/>
          <w:sz w:val="18"/>
          <w:szCs w:val="18"/>
          <w:color w:val="auto"/>
        </w:rPr>
      </w:pPr>
    </w:p>
    <w:p>
      <w:pPr>
        <w:ind w:left="1300" w:right="340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27, 2017, Exodus beneficially owned 1,562,397 Shares. Percentage: Approximately 5.7%</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1,562,397</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1,562,397</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Exodus since the filing of Amendment No. 2 to the Schedule 13D are set forth in Schedule A and are incorporated herein by reference.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Brosh GP</w:t>
      </w:r>
    </w:p>
    <w:p>
      <w:pPr>
        <w:spacing w:after="0" w:line="252" w:lineRule="exact"/>
        <w:rPr>
          <w:rFonts w:ascii="Arial" w:cs="Arial" w:eastAsia="Arial" w:hAnsi="Arial"/>
          <w:sz w:val="18"/>
          <w:szCs w:val="18"/>
          <w:color w:val="auto"/>
        </w:rPr>
      </w:pPr>
    </w:p>
    <w:p>
      <w:pPr>
        <w:ind w:left="1300" w:right="460" w:hanging="644"/>
        <w:spacing w:after="0" w:line="53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the general partner of Brosh, Brosh GP may be deemed the beneficial owner of the 1,296,564 Shares beneficially owned by Brosh. Percentage: Approximately 4.7%</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1,296,564</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1,296,564</w:t>
      </w:r>
    </w:p>
    <w:p>
      <w:pPr>
        <w:spacing w:after="0" w:line="23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Brosh GP has not entered into any transactions in the Shares since the filing of Amendment No. 2 to the Schedule 13D. The transactions in the Shares by Brosh since the filing of Amendment No. 2 to the Schedule 13D are set forth in Schedule A and are incorporated herein by reference.</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Exodus GP</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the beneficial owner of the (i) 1,562,397 Shares beneficially owned by Exodus and (ii) 144,108 Shares held in the Exodus Managed Account.</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6.2%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1,706,505</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1,706,505</w:t>
      </w:r>
    </w:p>
    <w:p>
      <w:pPr>
        <w:spacing w:after="0" w:line="237" w:lineRule="exact"/>
        <w:rPr>
          <w:rFonts w:ascii="Arial" w:cs="Arial" w:eastAsia="Arial" w:hAnsi="Arial"/>
          <w:sz w:val="18"/>
          <w:szCs w:val="18"/>
          <w:color w:val="auto"/>
        </w:rPr>
      </w:pPr>
    </w:p>
    <w:p>
      <w:pPr>
        <w:jc w:val="both"/>
        <w:ind w:left="1300" w:right="18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since the filing of Amendment No. 2 to the Schedule 13D. The transactions in the Shares by Exodus and on behalf of the Exodus Managed Account since the filing of Amendment No. 2 to the Schedule 13D are set forth in Schedule A and are incorporated herein by reference.</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Efrati</w:t>
      </w:r>
    </w:p>
    <w:p>
      <w:pPr>
        <w:spacing w:after="0" w:line="252"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Mr. Efrati as the portfolio manager of each of Brosh and Exodus, may be deemed the beneficial owner of the (i) 1,296,564 Shares owned by Brosh; (ii) 1,562,397 Shares owned by Exodus and (iii) 144,108 Shares held in the Exodus Managed Account.</w:t>
      </w:r>
    </w:p>
    <w:p>
      <w:pPr>
        <w:spacing w:after="0" w:line="173"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10.9%</w:t>
      </w:r>
    </w:p>
    <w:p>
      <w:pPr>
        <w:spacing w:after="0" w:line="252" w:lineRule="exact"/>
        <w:rPr>
          <w:rFonts w:ascii="Arial" w:cs="Arial" w:eastAsia="Arial" w:hAnsi="Arial"/>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3,003,069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3,003,069</w:t>
      </w:r>
    </w:p>
    <w:p>
      <w:pPr>
        <w:spacing w:after="0" w:line="237"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since the filing of Amendment No. 2 to the Schedule 13D. The transactions in the Shares by Exodus and on behalf of the Exodus Managed Account since the filing of Amendment No. 2 to the Schedule 13D are set forth in Schedule A and are incorporated herein by reference.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his knowledge and belief,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45"/>
        </w:trPr>
        <w:tc>
          <w:tcPr>
            <w:tcW w:w="6100" w:type="dxa"/>
            <w:vAlign w:val="bottom"/>
          </w:tcPr>
          <w:p>
            <w:pPr>
              <w:spacing w:after="0"/>
              <w:rPr>
                <w:sz w:val="20"/>
                <w:szCs w:val="20"/>
                <w:color w:val="auto"/>
              </w:rPr>
            </w:pPr>
            <w:r>
              <w:rPr>
                <w:rFonts w:ascii="Arial" w:cs="Arial" w:eastAsia="Arial" w:hAnsi="Arial"/>
                <w:sz w:val="18"/>
                <w:szCs w:val="18"/>
                <w:color w:val="auto"/>
              </w:rPr>
              <w:t>Dated: March 27, 2017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7360" w:type="dxa"/>
            <w:vAlign w:val="bottom"/>
            <w:gridSpan w:val="3"/>
          </w:tcPr>
          <w:p>
            <w:pPr>
              <w:ind w:left="5640"/>
              <w:spacing w:after="0"/>
              <w:rPr>
                <w:sz w:val="20"/>
                <w:szCs w:val="20"/>
                <w:color w:val="auto"/>
              </w:rPr>
            </w:pPr>
            <w:r>
              <w:rPr>
                <w:rFonts w:ascii="Arial" w:cs="Arial" w:eastAsia="Arial" w:hAnsi="Arial"/>
                <w:sz w:val="18"/>
                <w:szCs w:val="18"/>
                <w:color w:val="auto"/>
                <w:w w:val="93"/>
              </w:rPr>
              <w:t>BROSH CAPITAL L.P.</w:t>
            </w:r>
          </w:p>
        </w:tc>
        <w:tc>
          <w:tcPr>
            <w:tcW w:w="4060" w:type="dxa"/>
            <w:vAlign w:val="bottom"/>
          </w:tcPr>
          <w:p>
            <w:pPr>
              <w:spacing w:after="0"/>
              <w:rPr>
                <w:sz w:val="24"/>
                <w:szCs w:val="24"/>
                <w:color w:val="auto"/>
              </w:rPr>
            </w:pP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CAPITAL L.P.</w:t>
            </w: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BROSH FUNDS MANAGEMENT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MANAGEMENT ISRAEL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Efrati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M2239P 10 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 in the Shares Since the filing of Amendment No. 2 to the Schedule 13D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Nature of Transaction</w:t>
            </w:r>
          </w:p>
        </w:tc>
        <w:tc>
          <w:tcPr>
            <w:tcW w:w="3540" w:type="dxa"/>
            <w:vAlign w:val="bottom"/>
            <w:gridSpan w:val="7"/>
          </w:tcPr>
          <w:p>
            <w:pPr>
              <w:jc w:val="center"/>
              <w:ind w:right="660"/>
              <w:spacing w:after="0"/>
              <w:rPr>
                <w:sz w:val="20"/>
                <w:szCs w:val="20"/>
                <w:color w:val="auto"/>
              </w:rPr>
            </w:pPr>
            <w:r>
              <w:rPr>
                <w:rFonts w:ascii="Arial" w:cs="Arial" w:eastAsia="Arial" w:hAnsi="Arial"/>
                <w:sz w:val="18"/>
                <w:szCs w:val="18"/>
                <w:color w:val="auto"/>
                <w:w w:val="88"/>
              </w:rPr>
              <w:t>Date of Purchase/Sale</w:t>
            </w:r>
          </w:p>
        </w:tc>
        <w:tc>
          <w:tcPr>
            <w:tcW w:w="2240" w:type="dxa"/>
            <w:vAlign w:val="bottom"/>
            <w:gridSpan w:val="4"/>
          </w:tcPr>
          <w:p>
            <w:pPr>
              <w:jc w:val="center"/>
              <w:ind w:right="740"/>
              <w:spacing w:after="0"/>
              <w:rPr>
                <w:sz w:val="20"/>
                <w:szCs w:val="20"/>
                <w:color w:val="auto"/>
              </w:rPr>
            </w:pPr>
            <w:r>
              <w:rPr>
                <w:rFonts w:ascii="Arial" w:cs="Arial" w:eastAsia="Arial" w:hAnsi="Arial"/>
                <w:sz w:val="18"/>
                <w:szCs w:val="18"/>
                <w:color w:val="auto"/>
                <w:w w:val="88"/>
              </w:rPr>
              <w:t>Securities Purchased</w:t>
            </w:r>
          </w:p>
        </w:tc>
        <w:tc>
          <w:tcPr>
            <w:tcW w:w="278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Price Per Share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8"/>
              </w:rPr>
              <w:t>[dd/mm/yyyy]</w:t>
            </w:r>
          </w:p>
        </w:tc>
        <w:tc>
          <w:tcPr>
            <w:tcW w:w="28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7"/>
              </w:rPr>
              <w:t>BROSH CAPITAL L.P.</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shd w:val="clear" w:color="auto" w:fill="CCEEFF"/>
          </w:tcPr>
          <w:p>
            <w:pPr>
              <w:jc w:val="center"/>
              <w:ind w:left="890"/>
              <w:spacing w:after="0"/>
              <w:rPr>
                <w:sz w:val="20"/>
                <w:szCs w:val="20"/>
                <w:color w:val="auto"/>
              </w:rPr>
            </w:pPr>
            <w:r>
              <w:rPr>
                <w:rFonts w:ascii="Arial" w:cs="Arial" w:eastAsia="Arial" w:hAnsi="Arial"/>
                <w:sz w:val="18"/>
                <w:szCs w:val="18"/>
                <w:color w:val="auto"/>
                <w:w w:val="90"/>
              </w:rPr>
              <w:t>24/03/2017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87,680</w:t>
            </w:r>
          </w:p>
        </w:tc>
        <w:tc>
          <w:tcPr>
            <w:tcW w:w="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8"/>
              </w:rPr>
              <w:t>1.140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tcPr>
          <w:p>
            <w:pPr>
              <w:jc w:val="center"/>
              <w:ind w:left="890"/>
              <w:spacing w:after="0"/>
              <w:rPr>
                <w:sz w:val="20"/>
                <w:szCs w:val="20"/>
                <w:color w:val="auto"/>
              </w:rPr>
            </w:pPr>
            <w:r>
              <w:rPr>
                <w:rFonts w:ascii="Arial" w:cs="Arial" w:eastAsia="Arial" w:hAnsi="Arial"/>
                <w:sz w:val="18"/>
                <w:szCs w:val="18"/>
                <w:color w:val="auto"/>
                <w:w w:val="90"/>
              </w:rPr>
              <w:t>23/03/2017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70,000</w:t>
            </w:r>
          </w:p>
        </w:tc>
        <w:tc>
          <w:tcPr>
            <w:tcW w:w="740" w:type="dxa"/>
            <w:vAlign w:val="bottom"/>
          </w:tcPr>
          <w:p>
            <w:pPr>
              <w:spacing w:after="0"/>
              <w:rPr>
                <w:sz w:val="18"/>
                <w:szCs w:val="18"/>
                <w:color w:val="auto"/>
              </w:rPr>
            </w:pPr>
          </w:p>
        </w:tc>
        <w:tc>
          <w:tcPr>
            <w:tcW w:w="1980" w:type="dxa"/>
            <w:vAlign w:val="bottom"/>
            <w:gridSpan w:val="3"/>
          </w:tcPr>
          <w:p>
            <w:pPr>
              <w:jc w:val="center"/>
              <w:ind w:left="650"/>
              <w:spacing w:after="0"/>
              <w:rPr>
                <w:sz w:val="20"/>
                <w:szCs w:val="20"/>
                <w:color w:val="auto"/>
              </w:rPr>
            </w:pPr>
            <w:r>
              <w:rPr>
                <w:rFonts w:ascii="Arial" w:cs="Arial" w:eastAsia="Arial" w:hAnsi="Arial"/>
                <w:sz w:val="18"/>
                <w:szCs w:val="18"/>
                <w:color w:val="auto"/>
                <w:w w:val="88"/>
              </w:rPr>
              <w:t>1.132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shd w:val="clear" w:color="auto" w:fill="CCEEFF"/>
          </w:tcPr>
          <w:p>
            <w:pPr>
              <w:jc w:val="center"/>
              <w:ind w:left="890"/>
              <w:spacing w:after="0"/>
              <w:rPr>
                <w:sz w:val="20"/>
                <w:szCs w:val="20"/>
                <w:color w:val="auto"/>
              </w:rPr>
            </w:pPr>
            <w:r>
              <w:rPr>
                <w:rFonts w:ascii="Arial" w:cs="Arial" w:eastAsia="Arial" w:hAnsi="Arial"/>
                <w:sz w:val="18"/>
                <w:szCs w:val="18"/>
                <w:color w:val="auto"/>
                <w:w w:val="90"/>
              </w:rPr>
              <w:t>21/03/2017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21,651</w:t>
            </w:r>
          </w:p>
        </w:tc>
        <w:tc>
          <w:tcPr>
            <w:tcW w:w="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8"/>
              </w:rPr>
              <w:t>1.100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8"/>
              </w:rPr>
              <w:t>EXODUS CAPITAL L.P.</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shd w:val="clear" w:color="auto" w:fill="CCEEFF"/>
          </w:tcPr>
          <w:p>
            <w:pPr>
              <w:jc w:val="center"/>
              <w:ind w:left="890"/>
              <w:spacing w:after="0"/>
              <w:rPr>
                <w:sz w:val="20"/>
                <w:szCs w:val="20"/>
                <w:color w:val="auto"/>
              </w:rPr>
            </w:pPr>
            <w:r>
              <w:rPr>
                <w:rFonts w:ascii="Arial" w:cs="Arial" w:eastAsia="Arial" w:hAnsi="Arial"/>
                <w:sz w:val="18"/>
                <w:szCs w:val="18"/>
                <w:color w:val="auto"/>
                <w:w w:val="90"/>
              </w:rPr>
              <w:t>22/03/2017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21,025</w:t>
            </w:r>
          </w:p>
        </w:tc>
        <w:tc>
          <w:tcPr>
            <w:tcW w:w="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8"/>
              </w:rPr>
              <w:t>1.090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tcPr>
          <w:p>
            <w:pPr>
              <w:jc w:val="center"/>
              <w:ind w:left="890"/>
              <w:spacing w:after="0"/>
              <w:rPr>
                <w:sz w:val="20"/>
                <w:szCs w:val="20"/>
                <w:color w:val="auto"/>
              </w:rPr>
            </w:pPr>
            <w:r>
              <w:rPr>
                <w:rFonts w:ascii="Arial" w:cs="Arial" w:eastAsia="Arial" w:hAnsi="Arial"/>
                <w:sz w:val="18"/>
                <w:szCs w:val="18"/>
                <w:color w:val="auto"/>
                <w:w w:val="90"/>
              </w:rPr>
              <w:t>21/03/2017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60,000</w:t>
            </w:r>
          </w:p>
        </w:tc>
        <w:tc>
          <w:tcPr>
            <w:tcW w:w="740" w:type="dxa"/>
            <w:vAlign w:val="bottom"/>
          </w:tcPr>
          <w:p>
            <w:pPr>
              <w:spacing w:after="0"/>
              <w:rPr>
                <w:sz w:val="18"/>
                <w:szCs w:val="18"/>
                <w:color w:val="auto"/>
              </w:rPr>
            </w:pPr>
          </w:p>
        </w:tc>
        <w:tc>
          <w:tcPr>
            <w:tcW w:w="1980" w:type="dxa"/>
            <w:vAlign w:val="bottom"/>
            <w:gridSpan w:val="3"/>
          </w:tcPr>
          <w:p>
            <w:pPr>
              <w:jc w:val="center"/>
              <w:ind w:left="650"/>
              <w:spacing w:after="0"/>
              <w:rPr>
                <w:sz w:val="20"/>
                <w:szCs w:val="20"/>
                <w:color w:val="auto"/>
              </w:rPr>
            </w:pPr>
            <w:r>
              <w:rPr>
                <w:rFonts w:ascii="Arial" w:cs="Arial" w:eastAsia="Arial" w:hAnsi="Arial"/>
                <w:sz w:val="18"/>
                <w:szCs w:val="18"/>
                <w:color w:val="auto"/>
                <w:w w:val="88"/>
              </w:rPr>
              <w:t>1.100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shd w:val="clear" w:color="auto" w:fill="CCEEFF"/>
          </w:tcPr>
          <w:p>
            <w:pPr>
              <w:jc w:val="center"/>
              <w:ind w:left="890"/>
              <w:spacing w:after="0"/>
              <w:rPr>
                <w:sz w:val="20"/>
                <w:szCs w:val="20"/>
                <w:color w:val="auto"/>
              </w:rPr>
            </w:pPr>
            <w:r>
              <w:rPr>
                <w:rFonts w:ascii="Arial" w:cs="Arial" w:eastAsia="Arial" w:hAnsi="Arial"/>
                <w:sz w:val="18"/>
                <w:szCs w:val="18"/>
                <w:color w:val="auto"/>
                <w:w w:val="90"/>
              </w:rPr>
              <w:t>20/03/2017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20,466</w:t>
            </w:r>
          </w:p>
        </w:tc>
        <w:tc>
          <w:tcPr>
            <w:tcW w:w="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8"/>
              </w:rPr>
              <w:t>1.108</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tcPr>
          <w:p>
            <w:pPr>
              <w:jc w:val="center"/>
              <w:ind w:left="890"/>
              <w:spacing w:after="0"/>
              <w:rPr>
                <w:sz w:val="20"/>
                <w:szCs w:val="20"/>
                <w:color w:val="auto"/>
              </w:rPr>
            </w:pPr>
            <w:r>
              <w:rPr>
                <w:rFonts w:ascii="Arial" w:cs="Arial" w:eastAsia="Arial" w:hAnsi="Arial"/>
                <w:sz w:val="18"/>
                <w:szCs w:val="18"/>
                <w:color w:val="auto"/>
                <w:w w:val="90"/>
              </w:rPr>
              <w:t>17/03/2017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83,068</w:t>
            </w:r>
          </w:p>
        </w:tc>
        <w:tc>
          <w:tcPr>
            <w:tcW w:w="740" w:type="dxa"/>
            <w:vAlign w:val="bottom"/>
          </w:tcPr>
          <w:p>
            <w:pPr>
              <w:spacing w:after="0"/>
              <w:rPr>
                <w:sz w:val="20"/>
                <w:szCs w:val="20"/>
                <w:color w:val="auto"/>
              </w:rPr>
            </w:pPr>
          </w:p>
        </w:tc>
        <w:tc>
          <w:tcPr>
            <w:tcW w:w="1980" w:type="dxa"/>
            <w:vAlign w:val="bottom"/>
            <w:gridSpan w:val="3"/>
          </w:tcPr>
          <w:p>
            <w:pPr>
              <w:jc w:val="center"/>
              <w:ind w:left="650"/>
              <w:spacing w:after="0"/>
              <w:rPr>
                <w:sz w:val="20"/>
                <w:szCs w:val="20"/>
                <w:color w:val="auto"/>
              </w:rPr>
            </w:pPr>
            <w:r>
              <w:rPr>
                <w:rFonts w:ascii="Arial" w:cs="Arial" w:eastAsia="Arial" w:hAnsi="Arial"/>
                <w:sz w:val="18"/>
                <w:szCs w:val="18"/>
                <w:color w:val="auto"/>
                <w:w w:val="88"/>
              </w:rPr>
              <w:t>1.153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18"/>
          </w:tcPr>
          <w:p>
            <w:pPr>
              <w:jc w:val="center"/>
              <w:ind w:right="660"/>
              <w:spacing w:after="0"/>
              <w:rPr>
                <w:sz w:val="20"/>
                <w:szCs w:val="20"/>
                <w:color w:val="auto"/>
              </w:rPr>
            </w:pPr>
            <w:r>
              <w:rPr>
                <w:rFonts w:ascii="Arial" w:cs="Arial" w:eastAsia="Arial" w:hAnsi="Arial"/>
                <w:sz w:val="18"/>
                <w:szCs w:val="18"/>
                <w:b w:val="1"/>
                <w:bCs w:val="1"/>
                <w:color w:val="auto"/>
              </w:rPr>
              <w:t>EXODUS MANAGEMENT ISRAEL LTD. (THROUGH THE EXODUS MANAGED ACCOUNT)</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1880" w:type="dxa"/>
            <w:vAlign w:val="bottom"/>
            <w:gridSpan w:val="3"/>
            <w:shd w:val="clear" w:color="auto" w:fill="CCEEFF"/>
          </w:tcPr>
          <w:p>
            <w:pPr>
              <w:jc w:val="center"/>
              <w:ind w:left="890"/>
              <w:spacing w:after="0"/>
              <w:rPr>
                <w:sz w:val="20"/>
                <w:szCs w:val="20"/>
                <w:color w:val="auto"/>
              </w:rPr>
            </w:pPr>
            <w:r>
              <w:rPr>
                <w:rFonts w:ascii="Arial" w:cs="Arial" w:eastAsia="Arial" w:hAnsi="Arial"/>
                <w:sz w:val="18"/>
                <w:szCs w:val="18"/>
                <w:color w:val="auto"/>
                <w:w w:val="90"/>
              </w:rPr>
              <w:t>27/03/2017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48,963</w:t>
            </w:r>
          </w:p>
        </w:tc>
        <w:tc>
          <w:tcPr>
            <w:tcW w:w="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8"/>
              </w:rPr>
              <w:t>1.140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
    <w:nsid w:val="238E1F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
    <w:nsid w:val="46E87CCD"/>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2019-12-07T19:08:18Z</dcterms:created>
  <dcterms:modified xsi:type="dcterms:W3CDTF">2019-12-07T19:08:18Z</dcterms:modified>
</cp:coreProperties>
</file>