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November 2017 (Report No. 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3" w:lineRule="exact"/>
        <w:rPr>
          <w:sz w:val="24"/>
          <w:szCs w:val="24"/>
          <w:color w:val="auto"/>
        </w:rPr>
      </w:pPr>
    </w:p>
    <w:p>
      <w:pPr>
        <w:jc w:val="center"/>
        <w:ind w:right="-1180"/>
        <w:spacing w:after="0"/>
        <w:rPr>
          <w:sz w:val="20"/>
          <w:szCs w:val="20"/>
          <w:color w:val="auto"/>
        </w:rPr>
      </w:pPr>
      <w:r>
        <w:rPr>
          <w:rFonts w:ascii="Arial" w:cs="Arial" w:eastAsia="Arial" w:hAnsi="Arial"/>
          <w:sz w:val="25"/>
          <w:szCs w:val="25"/>
          <w:u w:val="single" w:color="auto"/>
          <w:color w:val="auto"/>
        </w:rPr>
        <w:t>ALCOBRA LTD.</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501015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1" w:name="page2"/>
    <w:bookmarkEnd w:id="1"/>
    <w:p>
      <w:pPr>
        <w:ind w:right="6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November 9, 2017, announcing its financial results for the third quarter ended September 30, 2017.</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registrant’s report on Form 6-K furnished to the SEC on October 20, 2017 (Report No. 2), the registrant reported that the annual and extraordinary general meeting of shareholders held on October 19, 2017, the shareholders of the registrant approved item 8(b) (as referred to in such report) and did not approve item 8(c) (as referred to in such report). However, item 8(c) was approved, and item 8(b) was not approved by the registrant’s shareholders.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prior paragraph and the GAAP financial statements in this Form 6-K of the registrant are incorporated by reference into the Registration Statements on Form F-3 (File No. 333-209960) and Forms S-8 (File No. 333-194875, File No. 333-202394, File No. 333-209947 and File No. 333-217556) of the registrant, filed with the Securities and Exchange Commission, to be a part thereof from the date on which this report is submitted, to the extent not superseded by documents or reports subsequently filed or furnished.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November 9, 2017, announcing its financial results for the third quarter ended September 30, 2017.</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8" w:right="4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0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708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Dr. Tomer Berkovitz</w:t>
      </w:r>
    </w:p>
    <w:p>
      <w:pPr>
        <w:spacing w:after="0" w:line="3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5"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Chief Financial Officer and Chief Operating Officer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IR@alcobra-pharma.com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THIRD QUARTER 2017 FINANCIAL RESULTS AND PROVIDES CORPORATE UPDATE</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Tel Aviv, Israel – November 9, 2017 </w:t>
      </w:r>
      <w:r>
        <w:rPr>
          <w:rFonts w:ascii="Arial" w:cs="Arial" w:eastAsia="Arial" w:hAnsi="Arial"/>
          <w:sz w:val="18"/>
          <w:szCs w:val="18"/>
          <w:color w:val="auto"/>
        </w:rPr>
        <w:t>– Alcobra Ltd. (NasdaqGM: ADHD) today announced financial results for the three and nine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2017, and provided a corporate update.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Corporate Updates:</w:t>
      </w:r>
    </w:p>
    <w:p>
      <w:pPr>
        <w:spacing w:after="0" w:line="27" w:lineRule="exact"/>
        <w:rPr>
          <w:sz w:val="20"/>
          <w:szCs w:val="20"/>
          <w:color w:val="auto"/>
        </w:rPr>
      </w:pPr>
    </w:p>
    <w:p>
      <w:pPr>
        <w:ind w:left="340" w:right="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September 27, 2017, Alcobra announced the signing of a definitive agreement to merge in an all-stock transaction with Arcturus Therapeutics, Inc. (Arcturus), a privately held biotechnology company developing novel RNA medicines. The transaction is expected to result in a publicly-traded company focused on developing novel RNA medicines in therapeutic areas including infectious disease, cystic fibrosis, nonalcoholic steatohepatitis (NASH) and rare liver diseases.</w:t>
      </w:r>
    </w:p>
    <w:p>
      <w:pPr>
        <w:spacing w:after="0" w:line="1" w:lineRule="exact"/>
        <w:rPr>
          <w:rFonts w:ascii="Arial" w:cs="Arial" w:eastAsia="Arial" w:hAnsi="Arial"/>
          <w:sz w:val="18"/>
          <w:szCs w:val="18"/>
          <w:color w:val="auto"/>
        </w:rPr>
      </w:pPr>
    </w:p>
    <w:p>
      <w:pPr>
        <w:ind w:left="340" w:right="6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 previously announced by Alcobra, an Extraordinary General Meeting of Alcobra’s shareholders to approve items related to the merger is scheduled to take place on November 12, 2017. If approved by shareholders, the transaction is expected to close during the fourth quarter.</w:t>
      </w:r>
    </w:p>
    <w:p>
      <w:pPr>
        <w:jc w:val="both"/>
        <w:ind w:left="340" w:right="42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August 22, 2017, Alcobra signed a Letter of Intent (“LOI”) with an investor group to sell its Abuse-Deterrent Amphetamine Immediate-Release (ADAIR) development program to the investor group, granting the investor group an exclusivity period to negotiate a definitive agreement. Alcobra received an upfront payment of $0.25 million in connection with the LOI, with the intent to sign a definitive sale agreement prior to the merger with Arcturus.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Ended September 30, 2017 Financial Results:</w:t>
      </w:r>
    </w:p>
    <w:p>
      <w:pPr>
        <w:spacing w:after="0" w:line="27" w:lineRule="exact"/>
        <w:rPr>
          <w:sz w:val="20"/>
          <w:szCs w:val="20"/>
          <w:color w:val="auto"/>
        </w:rPr>
      </w:pPr>
    </w:p>
    <w:p>
      <w:pPr>
        <w:ind w:left="340" w:right="6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marketable securities, and deposits totaled $39.8 million at September 30, 2017 compared with $41.2 million at June 30, 2017 and $45.3 million at March 31, 2017. The Company expects to have approximately $35 million of net cash at the closing of the merger with Arcturus, after deducting fourth quarter operating expenses, transaction-related costs, and other items defined in the merger agreement.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operating expenses in the third quarter of 2017 were $2.9 million, compared with $7.9 million in the third quarter of 2016.</w:t>
      </w:r>
    </w:p>
    <w:p>
      <w:pPr>
        <w:spacing w:after="0" w:line="9"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development (R&amp;D) expenses in the third quarter of 2017 were $1.1 million, compared with $6.4 million in the third quarter of 2016. The decline in R&amp;D expenses is mainly driven by the termination of the Phase III MEASURE study in MDX for Adult ADHD.</w:t>
      </w:r>
    </w:p>
    <w:p>
      <w:pPr>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and administrative (G&amp;A) expenses in the third quarter of 2017 were $1.6 million, compared with $1.2 million in the third quarter of 2016. G&amp;A expenses in the third quarter of 2017 include charges of $0.9 million associated with expenses related to the strategic process, as well as $0.2 million in non-cash share-based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w:t>
      </w:r>
    </w:p>
    <w:p>
      <w:pPr>
        <w:spacing w:after="0" w:line="225"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Alcobra Ltd. is an emerging pharmaceutical company primarily focused on the development and commercialization of new medications. For more information, please visit the Company's website, www.alcobra-pharma.com, the content of which is not incorporated herein by reference.</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27, 2017, Arcturus and Alcobra entered into an agreement and plan of merger and reorganization pursuant to which a wholly-owned subsidiary of Alcobra will merge with and into Arcturus, with Arcturus becoming a wholly-owned subsidiary of Alcobra and the surviving corporation of the merger, and the holders of Arcturus outstanding capital stock immediately prior to the merger are expected to receive ordinary shares representing approximately 63.2% of the outstanding shares of Alcobra. Upon consummation of the transaction, Alcobra’s name will be changed to Arcturus Therapeutics, Ltd., and Alcobra will change its ticker symbol to ARCT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No Offer or Solicitation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proxy statement and a proxy card have been filed with the SEC and mailed to Alcobra’s shareholders seeking required shareholder approvals in connection with the proposed transaction with Arcturus. Before making any voting or investment decision, investors and shareholders are urged to read the proxy statement (including any amendments or supplements thereto) and any other relevant documents that Alcobra may file with the SEC when they become available because they will contain important information about the proposed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Arcturus, the proposed merger with Arcturus, including and not limited to, whether it will be approved by Alcobra’s shareholders, timing of its closing and percentage ownership of holders of Arcturus outstanding capital stock in the combined company, as well as Alcobra’s expected net cash, the potential success of the combined company’s agreements with research collaborators and the potential to close a transaction for the sale of ADAIR. In addition, historic results of scientific research do not guarantee that the conclusions of future research would suggest similar conclusions or that historic results referred to in this press release would be interpreted similarly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2016,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5"/>
          </w:tcPr>
          <w:p>
            <w:pPr>
              <w:jc w:val="right"/>
              <w:ind w:right="98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840" w:type="dxa"/>
            <w:vAlign w:val="bottom"/>
            <w:gridSpan w:val="6"/>
          </w:tcPr>
          <w:p>
            <w:pPr>
              <w:jc w:val="right"/>
              <w:ind w:right="8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September 30,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w w:val="98"/>
              </w:rPr>
              <w:t>(unaudited)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w w:val="98"/>
              </w:rPr>
              <w:t>(unaudited)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8"/>
              </w:rPr>
              <w:t>(unaudited)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 commercialization expenses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1,646</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4,917</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2,892</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7,924</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10,348</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Financial income, net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7,787</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9,715</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18,613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Tax on income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holders of Ordinary shares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7,802</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18,676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Unrealized gain (loss) on available-for-sale marketable securities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18,679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basic and diluted loss per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9"/>
              </w:rPr>
              <w:t>Weighted average number of Ordinary shares used in computing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1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27,562,795</w:t>
            </w:r>
          </w:p>
        </w:tc>
        <w:tc>
          <w:tcPr>
            <w:tcW w:w="18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27,562,795</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27,562,795</w:t>
            </w:r>
          </w:p>
        </w:tc>
        <w:tc>
          <w:tcPr>
            <w:tcW w:w="180" w:type="dxa"/>
            <w:vAlign w:val="bottom"/>
          </w:tcPr>
          <w:p>
            <w:pPr>
              <w:spacing w:after="0"/>
              <w:rPr>
                <w:sz w:val="22"/>
                <w:szCs w:val="22"/>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27,562,610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380" w:type="dxa"/>
            <w:vAlign w:val="bottom"/>
            <w:gridSpan w:val="2"/>
          </w:tcPr>
          <w:p>
            <w:pPr>
              <w:jc w:val="right"/>
              <w:ind w:right="2440"/>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4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40,406</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long-term assets</w:t>
            </w: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Trade payables</w:t>
            </w:r>
          </w:p>
        </w:tc>
        <w:tc>
          <w:tcPr>
            <w:tcW w:w="3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27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Shareholders’ equity:</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143,604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142,780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(105,386)</w:t>
            </w:r>
          </w:p>
        </w:tc>
        <w:tc>
          <w:tcPr>
            <w:tcW w:w="4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(95,620)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38,290</w:t>
            </w:r>
          </w:p>
        </w:tc>
        <w:tc>
          <w:tcPr>
            <w:tcW w:w="4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47,228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40,586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51,568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Cash Flow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5"/>
          </w:tcPr>
          <w:p>
            <w:pPr>
              <w:jc w:val="right"/>
              <w:ind w:right="98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840" w:type="dxa"/>
            <w:vAlign w:val="bottom"/>
            <w:gridSpan w:val="5"/>
          </w:tcPr>
          <w:p>
            <w:pPr>
              <w:jc w:val="right"/>
              <w:ind w:right="8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w w:val="98"/>
              </w:rPr>
              <w:t>(unaudited)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w w:val="98"/>
              </w:rPr>
              <w:t>(unaudited)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w w:val="98"/>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 from operating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loss</w:t>
            </w:r>
          </w:p>
        </w:tc>
        <w:tc>
          <w:tcPr>
            <w:tcW w:w="2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(2,555)</w:t>
            </w: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(7,802)</w:t>
            </w: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(9,766)</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(18,676)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to net cash used in operating</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premium on marketable securities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645</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ind w:left="160"/>
              <w:spacing w:after="0"/>
              <w:rPr>
                <w:sz w:val="20"/>
                <w:szCs w:val="20"/>
                <w:color w:val="auto"/>
              </w:rPr>
            </w:pPr>
            <w:r>
              <w:rPr>
                <w:rFonts w:ascii="Arial" w:cs="Arial" w:eastAsia="Arial" w:hAnsi="Arial"/>
                <w:sz w:val="18"/>
                <w:szCs w:val="18"/>
                <w:color w:val="auto"/>
              </w:rPr>
              <w:t>Prepaid expenses and other receivables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ind w:left="160"/>
              <w:spacing w:after="0"/>
              <w:rPr>
                <w:sz w:val="20"/>
                <w:szCs w:val="20"/>
                <w:color w:val="auto"/>
              </w:rPr>
            </w:pPr>
            <w:r>
              <w:rPr>
                <w:rFonts w:ascii="Arial" w:cs="Arial" w:eastAsia="Arial" w:hAnsi="Arial"/>
                <w:sz w:val="18"/>
                <w:szCs w:val="18"/>
                <w:color w:val="auto"/>
              </w:rPr>
              <w:t>Trade payables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(1,552)</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(1,334)</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(6,675)</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(10,334)</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(investment in) marketable securities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call redemption of marketable securities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Proceeds from (investment in) short-term bank deposit</w:t>
            </w: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18,022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(4,043)</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11,037</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40" w:type="dxa"/>
            <w:vAlign w:val="bottom"/>
            <w:gridSpan w:val="3"/>
          </w:tcPr>
          <w:p>
            <w:pPr>
              <w:spacing w:after="0" w:line="176" w:lineRule="exact"/>
              <w:rPr>
                <w:sz w:val="20"/>
                <w:szCs w:val="20"/>
                <w:color w:val="auto"/>
              </w:rPr>
            </w:pPr>
            <w:r>
              <w:rPr>
                <w:rFonts w:ascii="Arial" w:cs="Arial" w:eastAsia="Arial" w:hAnsi="Arial"/>
                <w:sz w:val="18"/>
                <w:szCs w:val="18"/>
                <w:color w:val="auto"/>
              </w:rPr>
              <w:t>Cash flow from financing activities: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(10,718)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3,568</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15,093</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2019-12-07T19:10:35Z</dcterms:created>
  <dcterms:modified xsi:type="dcterms:W3CDTF">2019-12-07T19:10:35Z</dcterms:modified>
</cp:coreProperties>
</file>