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45"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5"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220980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6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Material Definitive Agreement.</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July 26, 2019, Arcturus Therapeutics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engagement letter (the “</w:t>
      </w:r>
      <w:r>
        <w:rPr>
          <w:rFonts w:ascii="Arial" w:cs="Arial" w:eastAsia="Arial" w:hAnsi="Arial"/>
          <w:sz w:val="18"/>
          <w:szCs w:val="18"/>
          <w:u w:val="single" w:color="auto"/>
          <w:color w:val="auto"/>
        </w:rPr>
        <w:t>Letter Agreement</w:t>
      </w:r>
      <w:r>
        <w:rPr>
          <w:rFonts w:ascii="Arial" w:cs="Arial" w:eastAsia="Arial" w:hAnsi="Arial"/>
          <w:sz w:val="18"/>
          <w:szCs w:val="18"/>
          <w:color w:val="auto"/>
        </w:rPr>
        <w:t>”) with H.C. Wainwright &amp; Co., LLC (the “</w:t>
      </w:r>
      <w:r>
        <w:rPr>
          <w:rFonts w:ascii="Arial" w:cs="Arial" w:eastAsia="Arial" w:hAnsi="Arial"/>
          <w:sz w:val="18"/>
          <w:szCs w:val="18"/>
          <w:u w:val="single" w:color="auto"/>
          <w:color w:val="auto"/>
        </w:rPr>
        <w:t>Placement Agent</w:t>
      </w:r>
      <w:r>
        <w:rPr>
          <w:rFonts w:ascii="Arial" w:cs="Arial" w:eastAsia="Arial" w:hAnsi="Arial"/>
          <w:sz w:val="18"/>
          <w:szCs w:val="18"/>
          <w:color w:val="auto"/>
        </w:rPr>
        <w:t>”) relating to the Company’s registered direct offering of common stock (the “</w:t>
      </w:r>
      <w:r>
        <w:rPr>
          <w:rFonts w:ascii="Arial" w:cs="Arial" w:eastAsia="Arial" w:hAnsi="Arial"/>
          <w:sz w:val="18"/>
          <w:szCs w:val="18"/>
          <w:u w:val="single" w:color="auto"/>
          <w:color w:val="auto"/>
        </w:rPr>
        <w:t>Offering</w:t>
      </w:r>
      <w:r>
        <w:rPr>
          <w:rFonts w:ascii="Arial" w:cs="Arial" w:eastAsia="Arial" w:hAnsi="Arial"/>
          <w:sz w:val="18"/>
          <w:szCs w:val="18"/>
          <w:color w:val="auto"/>
        </w:rPr>
        <w:t>”) to certain institutional investors (the “</w:t>
      </w:r>
      <w:r>
        <w:rPr>
          <w:rFonts w:ascii="Arial" w:cs="Arial" w:eastAsia="Arial" w:hAnsi="Arial"/>
          <w:sz w:val="18"/>
          <w:szCs w:val="18"/>
          <w:u w:val="single" w:color="auto"/>
          <w:color w:val="auto"/>
        </w:rPr>
        <w:t>Investors</w:t>
      </w:r>
      <w:r>
        <w:rPr>
          <w:rFonts w:ascii="Arial" w:cs="Arial" w:eastAsia="Arial" w:hAnsi="Arial"/>
          <w:sz w:val="18"/>
          <w:szCs w:val="18"/>
          <w:color w:val="auto"/>
        </w:rPr>
        <w:t>”). Pursuant to the Letter Agreement, the Company agreed to pay the Placement Agent a cash fee of 6.0% of the gross proceeds from the Offering raised from Investors and $75,000 for expenses.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on August 1, 2019, the Company and the Investors entered into a securities purchase agreement (the “</w:t>
      </w:r>
      <w:r>
        <w:rPr>
          <w:rFonts w:ascii="Arial" w:cs="Arial" w:eastAsia="Arial" w:hAnsi="Arial"/>
          <w:sz w:val="17"/>
          <w:szCs w:val="17"/>
          <w:u w:val="single" w:color="auto"/>
          <w:color w:val="auto"/>
        </w:rPr>
        <w:t>Securities Purchase Agreement</w:t>
      </w:r>
      <w:r>
        <w:rPr>
          <w:rFonts w:ascii="Arial" w:cs="Arial" w:eastAsia="Arial" w:hAnsi="Arial"/>
          <w:sz w:val="17"/>
          <w:szCs w:val="17"/>
          <w:color w:val="auto"/>
        </w:rPr>
        <w:t>”) relating to the issuance and sale of shares of common stock. The purchase price per share for each share offered to the Investors is $11.50. The aggregate gross proceeds of the Offering is $10,875,009.50, for the sale in the aggregate of 945,653 shares of common stock.</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net proceeds to the Company from the Offering, after deducting Placement Agent fees and the Company’s estimated offering expenses, are expected to be approximately $10.1 million. The Offering is expected to close on or about August 5, 2019, subject to the satisfaction of customary closing conditions.</w:t>
      </w:r>
    </w:p>
    <w:p>
      <w:pPr>
        <w:spacing w:after="0" w:line="181"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common stock is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on the Company’s Registration Statement on Form S-3 (Registration No. 333-232281), previously filed with the Securities and Exchange Commission and declared effective on July 29, 2019.</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representations, warranties and covenants contained in the Securities Purchase Agreement (i) are intended as a way of allocating the risk between the parties to the Securities Purchase Agreement and not as statements of fact, and (ii) may apply standards of materiality in a way that is different from what may be viewed as material by stockholders of, or other investors in, the Company. Accordingly, the Securities Purchase Agreement is included with this filing only to provide investors with information regarding the terms of the transactions. Moreover, information concerning the subject matter of the representations and warranties may change after the date of the Securities Purchase Agreement, which subsequent information may or may not be fully reflected in public disclosures.</w:t>
      </w:r>
    </w:p>
    <w:p>
      <w:pPr>
        <w:spacing w:after="0" w:line="19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foregoing description of the Letter Agreement and the Securities Purchase Agreement are subject to, and qualified in their entirety by, the documents attached hereto as Exhibits 1.1 and 10.1, respectively, and incorporated herein by reference. Dentons US LLP, counsel to the Company, delivered an opinion as to legality of the issuance of the shares in the Offering, a copy of which is attached hereto as Exhibit 5.1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August 1, 2019, the Company issued a press release with respect to the information set forth above. A copy of the press release is furnished as Exhibit 99.1 and is incorporated herein by reference. The disclosure in this Item 7.01 (including the exhibit) shall not be deemed “filed” for purposes of Section 18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Section 18, nor shall it be deemed incorporated by reference in any of the Company’s filings under the Securities Act or the Exchange Act, except to the extent, if any, expressly set forth by specific reference in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6"/>
            <w:szCs w:val="16"/>
            <w:u w:val="single" w:color="auto"/>
            <w:color w:val="0000EE"/>
          </w:rPr>
          <w:t>Letter Agreement, dated July 26, 2019, between the Company and the Placement Agent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2">
        <w:r>
          <w:rPr>
            <w:rFonts w:ascii="Arial" w:cs="Arial" w:eastAsia="Arial" w:hAnsi="Arial"/>
            <w:sz w:val="16"/>
            <w:szCs w:val="16"/>
            <w:u w:val="single" w:color="auto"/>
            <w:color w:val="0000EE"/>
          </w:rPr>
          <w:t>Opinion of Dentons US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14">
        <w:r>
          <w:rPr>
            <w:rFonts w:ascii="Arial" w:cs="Arial" w:eastAsia="Arial" w:hAnsi="Arial"/>
            <w:sz w:val="16"/>
            <w:szCs w:val="16"/>
            <w:u w:val="single" w:color="auto"/>
            <w:color w:val="0000EE"/>
          </w:rPr>
          <w:t>Securities Purchase Agreement, dated August 1, 2019, between the Company and the Investors party thereto</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2">
        <w:r>
          <w:rPr>
            <w:rFonts w:ascii="Arial" w:cs="Arial" w:eastAsia="Arial" w:hAnsi="Arial"/>
            <w:sz w:val="16"/>
            <w:szCs w:val="16"/>
            <w:u w:val="single" w:color="auto"/>
            <w:color w:val="0000EE"/>
          </w:rPr>
          <w:t>Consent of Dentons US LLP (included in Exhibit 5.1)</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7">
        <w:r>
          <w:rPr>
            <w:rFonts w:ascii="Arial" w:cs="Arial" w:eastAsia="Arial" w:hAnsi="Arial"/>
            <w:sz w:val="15"/>
            <w:szCs w:val="15"/>
            <w:u w:val="single" w:color="auto"/>
            <w:color w:val="0000EE"/>
          </w:rPr>
          <w:t>Press Release, dated August 1, 2019.</w:t>
        </w:r>
      </w:hyperlink>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172085</wp:posOffset>
            </wp:positionV>
            <wp:extent cx="433070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307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Joseph E. Payne,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Payne:</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constitutes the agreement between Arcturus Therapeutics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H.C. Wainwright &amp; Co., LLC (“</w:t>
      </w:r>
      <w:r>
        <w:rPr>
          <w:rFonts w:ascii="Arial" w:cs="Arial" w:eastAsia="Arial" w:hAnsi="Arial"/>
          <w:sz w:val="16"/>
          <w:szCs w:val="16"/>
          <w:u w:val="single" w:color="auto"/>
          <w:color w:val="auto"/>
        </w:rPr>
        <w:t>Wainwright</w:t>
      </w:r>
      <w:r>
        <w:rPr>
          <w:rFonts w:ascii="Arial" w:cs="Arial" w:eastAsia="Arial" w:hAnsi="Arial"/>
          <w:sz w:val="16"/>
          <w:szCs w:val="16"/>
          <w:color w:val="auto"/>
        </w:rPr>
        <w:t>”), that Wainwright shall serve as the sole placement agent or sole book-running manager in an offering of an aggregate of two million shares of the Company’s common stock (the “</w:t>
      </w:r>
      <w:r>
        <w:rPr>
          <w:rFonts w:ascii="Arial" w:cs="Arial" w:eastAsia="Arial" w:hAnsi="Arial"/>
          <w:sz w:val="16"/>
          <w:szCs w:val="16"/>
          <w:u w:val="single" w:color="auto"/>
          <w:color w:val="auto"/>
        </w:rPr>
        <w:t>Securities</w:t>
      </w:r>
      <w:r>
        <w:rPr>
          <w:rFonts w:ascii="Arial" w:cs="Arial" w:eastAsia="Arial" w:hAnsi="Arial"/>
          <w:sz w:val="16"/>
          <w:szCs w:val="16"/>
          <w:color w:val="auto"/>
        </w:rPr>
        <w:t>”) at a price not less than $10 per share (the “</w:t>
      </w:r>
      <w:r>
        <w:rPr>
          <w:rFonts w:ascii="Arial" w:cs="Arial" w:eastAsia="Arial" w:hAnsi="Arial"/>
          <w:sz w:val="16"/>
          <w:szCs w:val="16"/>
          <w:u w:val="single" w:color="auto"/>
          <w:color w:val="auto"/>
        </w:rPr>
        <w:t>Offering</w:t>
      </w:r>
      <w:r>
        <w:rPr>
          <w:rFonts w:ascii="Arial" w:cs="Arial" w:eastAsia="Arial" w:hAnsi="Arial"/>
          <w:sz w:val="16"/>
          <w:szCs w:val="16"/>
          <w:color w:val="auto"/>
        </w:rPr>
        <w:t>”) during the Term (as hereinafter defined) of this Agreement. The terms of the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the Offering will be subject to the satisfactory completion of such investigation and inquiry into the affairs of the Company as Wainwright deems appropriate under the circumstances and to the receipt of all internal approvals of Wainwright in connection with the transaction. The Company expressly acknowledges and agrees that Wainwright’s involvement in the Offering is strictly on a reasonable best efforts basis and that the consummation of the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brokers, dealers, agents or underwriters on its behalf in connection with the Offering.</w:t>
      </w:r>
    </w:p>
    <w:p>
      <w:pPr>
        <w:spacing w:after="0" w:line="169" w:lineRule="exact"/>
        <w:rPr>
          <w:sz w:val="20"/>
          <w:szCs w:val="20"/>
          <w:color w:val="auto"/>
        </w:rPr>
      </w:pPr>
    </w:p>
    <w:p>
      <w:pPr>
        <w:ind w:left="800" w:hanging="356"/>
        <w:spacing w:after="0"/>
        <w:tabs>
          <w:tab w:leader="none" w:pos="800"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Compensation; Reimbursement</w:t>
      </w:r>
      <w:r>
        <w:rPr>
          <w:rFonts w:ascii="Arial" w:cs="Arial" w:eastAsia="Arial" w:hAnsi="Arial"/>
          <w:sz w:val="17"/>
          <w:szCs w:val="17"/>
          <w:color w:val="auto"/>
        </w:rPr>
        <w:t>. At the closing of the Offering (the “</w:t>
      </w:r>
      <w:r>
        <w:rPr>
          <w:rFonts w:ascii="Arial" w:cs="Arial" w:eastAsia="Arial" w:hAnsi="Arial"/>
          <w:sz w:val="17"/>
          <w:szCs w:val="17"/>
          <w:u w:val="single" w:color="auto"/>
          <w:color w:val="auto"/>
        </w:rPr>
        <w:t>Closing</w:t>
      </w:r>
      <w:r>
        <w:rPr>
          <w:rFonts w:ascii="Arial" w:cs="Arial" w:eastAsia="Arial" w:hAnsi="Arial"/>
          <w:sz w:val="17"/>
          <w:szCs w:val="17"/>
          <w:color w:val="auto"/>
        </w:rPr>
        <w:t>”), the Company shall compensate Wainwright as follows:</w:t>
      </w:r>
    </w:p>
    <w:p>
      <w:pPr>
        <w:spacing w:after="0" w:line="142" w:lineRule="exact"/>
        <w:rPr>
          <w:rFonts w:ascii="Arial" w:cs="Arial" w:eastAsia="Arial" w:hAnsi="Arial"/>
          <w:sz w:val="17"/>
          <w:szCs w:val="17"/>
          <w:color w:val="auto"/>
        </w:rPr>
      </w:pPr>
    </w:p>
    <w:p>
      <w:pPr>
        <w:ind w:left="980" w:right="220" w:hanging="54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Cash Fee</w:t>
      </w:r>
      <w:r>
        <w:rPr>
          <w:rFonts w:ascii="Arial" w:cs="Arial" w:eastAsia="Arial" w:hAnsi="Arial"/>
          <w:sz w:val="18"/>
          <w:szCs w:val="18"/>
          <w:color w:val="auto"/>
        </w:rPr>
        <w:t>. The Company shall pay to Wainwright a cash fee, or as to an underwritten Offering an underwriter discount, equal to 6.0%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gross proceeds raised in the Offering.</w:t>
      </w:r>
    </w:p>
    <w:p>
      <w:pPr>
        <w:spacing w:after="0" w:line="75" w:lineRule="exact"/>
        <w:rPr>
          <w:rFonts w:ascii="Arial" w:cs="Arial" w:eastAsia="Arial" w:hAnsi="Arial"/>
          <w:sz w:val="18"/>
          <w:szCs w:val="18"/>
          <w:color w:val="auto"/>
        </w:rPr>
      </w:pPr>
    </w:p>
    <w:p>
      <w:pPr>
        <w:ind w:left="980" w:right="120" w:hanging="54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Expense Allowance</w:t>
      </w:r>
      <w:r>
        <w:rPr>
          <w:rFonts w:ascii="Arial" w:cs="Arial" w:eastAsia="Arial" w:hAnsi="Arial"/>
          <w:sz w:val="18"/>
          <w:szCs w:val="18"/>
          <w:color w:val="auto"/>
        </w:rPr>
        <w:t>. Out of the proceeds of the Closing, the Company also agrees to reimburse Wainwright up to $75,000 for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legal counsel and other out-of-pocket expenses; and, if applicable, the costs associated with the use of a third-party electronic road show service (such as NetRoadshow); provided, however, that such amount in no way limits or impairs the indemnification and contribution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430 Park Avenue | New York, New York 10022 | 212.356.0500 | www.hcwco.com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FINRA/SIPC</w:t>
      </w:r>
    </w:p>
    <w:p>
      <w:pPr>
        <w:sectPr>
          <w:pgSz w:w="11900" w:h="16838" w:orient="portrait"/>
          <w:cols w:equalWidth="0" w:num="1">
            <w:col w:w="11020"/>
          </w:cols>
          <w:pgMar w:left="440" w:top="121" w:right="439" w:bottom="1440" w:gutter="0" w:footer="0" w:header="0"/>
        </w:sectPr>
      </w:pPr>
    </w:p>
    <w:bookmarkStart w:id="4" w:name="page5"/>
    <w:bookmarkEnd w:id="4"/>
    <w:p>
      <w:pPr>
        <w:ind w:left="-4" w:right="40" w:firstLine="444"/>
        <w:spacing w:after="0" w:line="283" w:lineRule="auto"/>
        <w:tabs>
          <w:tab w:leader="none" w:pos="78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and Termination of Engagement; Exclusivity</w:t>
      </w:r>
      <w:r>
        <w:rPr>
          <w:rFonts w:ascii="Arial" w:cs="Arial" w:eastAsia="Arial" w:hAnsi="Arial"/>
          <w:sz w:val="16"/>
          <w:szCs w:val="16"/>
          <w:color w:val="auto"/>
        </w:rPr>
        <w:t>. The term of Wainwright’s exclusive engagement will begin on the date hereof and end 90 calendar days following the closing date of that certain Equity Purchase Agreement, dated as of June 18, 2019, by and between the Company and Ultragenyx Pharmaceutical Inc. (the “</w:t>
      </w:r>
      <w:r>
        <w:rPr>
          <w:rFonts w:ascii="Arial" w:cs="Arial" w:eastAsia="Arial" w:hAnsi="Arial"/>
          <w:sz w:val="16"/>
          <w:szCs w:val="16"/>
          <w:u w:val="single" w:color="auto"/>
          <w:color w:val="auto"/>
        </w:rPr>
        <w:t>Term</w:t>
      </w:r>
      <w:r>
        <w:rPr>
          <w:rFonts w:ascii="Arial" w:cs="Arial" w:eastAsia="Arial" w:hAnsi="Arial"/>
          <w:sz w:val="16"/>
          <w:szCs w:val="16"/>
          <w:color w:val="auto"/>
        </w:rPr>
        <w:t>”). Notwithstanding anything to the contrary contained herein, the Company agrees that the provisions relating to the payment of fees, reimbursement of expenses, indemnification and contribution, confidentiality, conflicts, independent contractor and waiver of the right to trial by jury will survive any termination or expiration of this Agreement. Notwithstanding anything to the contrary contained in this Agreement, in the event that the Offering pursuant to this Agreement shall not be carried out for any reason whatsoever during the Term, the Company shall be obligated to pay to Wainwright its actual and accountable out-of-pocket expenses related to the Offering (including the fees and disbursements of Wainwright’s legal counsel) and, if applicable, for electronic road show service used in connection with the Offering, up to an aggregate of $50,000. During Wainwright’s engagement hereunder: (i) the Company will not, and will not permit its representatives to, other than in coordination with Wainwright, contact or solicit institutions, corporations or other entities or individuals as potential purchasers of the Securities and</w:t>
      </w:r>
    </w:p>
    <w:p>
      <w:pPr>
        <w:spacing w:after="0" w:line="5" w:lineRule="exact"/>
        <w:rPr>
          <w:rFonts w:ascii="Arial" w:cs="Arial" w:eastAsia="Arial" w:hAnsi="Arial"/>
          <w:sz w:val="16"/>
          <w:szCs w:val="16"/>
          <w:color w:val="auto"/>
        </w:rPr>
      </w:pPr>
    </w:p>
    <w:p>
      <w:pPr>
        <w:ind w:left="-4" w:right="80" w:firstLine="4"/>
        <w:spacing w:after="0" w:line="273" w:lineRule="auto"/>
        <w:tabs>
          <w:tab w:leader="none" w:pos="26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will not pursue any financing transaction which would be in lieu of the Offering. Additionally, except as set forth hereunder, or as set forth in that certain letter agreement between the Company and SVB Leerink LLC dated May 6, 2019,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the Offering.</w:t>
      </w:r>
    </w:p>
    <w:p>
      <w:pPr>
        <w:spacing w:after="0" w:line="176" w:lineRule="exact"/>
        <w:rPr>
          <w:rFonts w:ascii="Arial" w:cs="Arial" w:eastAsia="Arial" w:hAnsi="Arial"/>
          <w:sz w:val="17"/>
          <w:szCs w:val="17"/>
          <w:color w:val="auto"/>
        </w:rPr>
      </w:pPr>
    </w:p>
    <w:p>
      <w:pPr>
        <w:ind w:left="-4" w:firstLine="444"/>
        <w:spacing w:after="0" w:line="286" w:lineRule="auto"/>
        <w:tabs>
          <w:tab w:leader="none" w:pos="782"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Information; Reliance</w:t>
      </w:r>
      <w:r>
        <w:rPr>
          <w:rFonts w:ascii="Arial" w:cs="Arial" w:eastAsia="Arial" w:hAnsi="Arial"/>
          <w:sz w:val="16"/>
          <w:szCs w:val="16"/>
          <w:color w:val="auto"/>
        </w:rPr>
        <w:t>. The Company shall furnish, or cause to be furnished, to Wainwright all information requested by Wainwright for the purpose of rendering services hereunder and conducting due diligence (all such information being the “</w:t>
      </w:r>
      <w:r>
        <w:rPr>
          <w:rFonts w:ascii="Arial" w:cs="Arial" w:eastAsia="Arial" w:hAnsi="Arial"/>
          <w:sz w:val="16"/>
          <w:szCs w:val="16"/>
          <w:u w:val="single" w:color="auto"/>
          <w:color w:val="auto"/>
        </w:rPr>
        <w:t>Information</w:t>
      </w:r>
      <w:r>
        <w:rPr>
          <w:rFonts w:ascii="Arial" w:cs="Arial" w:eastAsia="Arial" w:hAnsi="Arial"/>
          <w:sz w:val="16"/>
          <w:szCs w:val="16"/>
          <w:color w:val="auto"/>
        </w:rPr>
        <w:t>”). In addition, the Company agrees to make available to Wainwright upon request from time to time the officers, directors, accountants, counsel and other advisors of the Company. The Company recognizes and confirms that Wainwright (a) will use and rely on the Information, including any documents provided to investors in the Offering (the “</w:t>
      </w:r>
      <w:r>
        <w:rPr>
          <w:rFonts w:ascii="Arial" w:cs="Arial" w:eastAsia="Arial" w:hAnsi="Arial"/>
          <w:sz w:val="16"/>
          <w:szCs w:val="16"/>
          <w:u w:val="single" w:color="auto"/>
          <w:color w:val="auto"/>
        </w:rPr>
        <w:t>Offering Documents</w:t>
      </w:r>
      <w:r>
        <w:rPr>
          <w:rFonts w:ascii="Arial" w:cs="Arial" w:eastAsia="Arial" w:hAnsi="Arial"/>
          <w:sz w:val="16"/>
          <w:szCs w:val="16"/>
          <w:color w:val="auto"/>
        </w:rPr>
        <w:t>”) which shall include any Purchase Agreement (as defined hereunder),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 investigation undertaken by Wainwright thereof, including any document included or incorporated by reference therein. At each Offering, at the request of Wainwright, the Company shall deliver such legal letters (including, without limitation, negative assurance letters), opinions, comfort letters, officers’ and secretary certificates and good standing certificates, all in form and substance satisfactory to Wainwright and its counsel as is customary for such Offering. Wainwright shall be a third party beneficiary of any representations, warranties, covenants and closing conditions made by the Company in any Offering Documents, including representations, warranties, covenants and closing conditions made to any investor in the Offering.</w:t>
      </w:r>
    </w:p>
    <w:p>
      <w:pPr>
        <w:spacing w:after="0" w:line="10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6"/>
          </w:cols>
          <w:pgMar w:left="444" w:top="274" w:right="439" w:bottom="1440" w:gutter="0" w:footer="0" w:header="0"/>
        </w:sectPr>
      </w:pPr>
    </w:p>
    <w:bookmarkStart w:id="5" w:name="page6"/>
    <w:bookmarkEnd w:id="5"/>
    <w:p>
      <w:pPr>
        <w:ind w:left="760" w:hanging="35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Agreements</w:t>
      </w:r>
      <w:r>
        <w:rPr>
          <w:rFonts w:ascii="Arial" w:cs="Arial" w:eastAsia="Arial" w:hAnsi="Arial"/>
          <w:sz w:val="18"/>
          <w:szCs w:val="18"/>
          <w:color w:val="auto"/>
        </w:rPr>
        <w:t>. At the Offering, the Company shall enter into the following additional agreements:</w:t>
      </w:r>
    </w:p>
    <w:p>
      <w:pPr>
        <w:spacing w:after="0" w:line="130" w:lineRule="exact"/>
        <w:rPr>
          <w:rFonts w:ascii="Arial" w:cs="Arial" w:eastAsia="Arial" w:hAnsi="Arial"/>
          <w:sz w:val="18"/>
          <w:szCs w:val="18"/>
          <w:color w:val="auto"/>
        </w:rPr>
      </w:pPr>
    </w:p>
    <w:p>
      <w:pPr>
        <w:ind w:left="1380" w:right="500" w:hanging="430"/>
        <w:spacing w:after="0" w:line="277"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If the Offering is an underwritten Offering, the Company and Wainwright shall enter into a customary</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agreement in form and substance satisfactory to Wainwright and its counsel.</w:t>
      </w:r>
    </w:p>
    <w:p>
      <w:pPr>
        <w:spacing w:after="0" w:line="75" w:lineRule="exact"/>
        <w:rPr>
          <w:rFonts w:ascii="Arial" w:cs="Arial" w:eastAsia="Arial" w:hAnsi="Arial"/>
          <w:sz w:val="18"/>
          <w:szCs w:val="18"/>
          <w:color w:val="auto"/>
        </w:rPr>
      </w:pPr>
    </w:p>
    <w:p>
      <w:pPr>
        <w:ind w:left="1380" w:hanging="430"/>
        <w:spacing w:after="0" w:line="276" w:lineRule="auto"/>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Best Efforts Offering</w:t>
      </w:r>
      <w:r>
        <w:rPr>
          <w:rFonts w:ascii="Arial" w:cs="Arial" w:eastAsia="Arial" w:hAnsi="Arial"/>
          <w:sz w:val="17"/>
          <w:szCs w:val="17"/>
          <w:color w:val="auto"/>
        </w:rPr>
        <w:t>. If the Offering is on a best efforts basis, the sale of Securities to the investors in the Offering will be evidenced</w:t>
      </w:r>
      <w:r>
        <w:rPr>
          <w:rFonts w:ascii="Arial" w:cs="Arial" w:eastAsia="Arial" w:hAnsi="Arial"/>
          <w:sz w:val="17"/>
          <w:szCs w:val="17"/>
          <w:i w:val="1"/>
          <w:iCs w:val="1"/>
          <w:color w:val="auto"/>
        </w:rPr>
        <w:t xml:space="preserve"> </w:t>
      </w:r>
      <w:r>
        <w:rPr>
          <w:rFonts w:ascii="Arial" w:cs="Arial" w:eastAsia="Arial" w:hAnsi="Arial"/>
          <w:sz w:val="17"/>
          <w:szCs w:val="17"/>
          <w:color w:val="auto"/>
        </w:rPr>
        <w:t>by a purchase agreement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between the Company and such investors in a form reasonably satisfactory to the Company and Wainwright. Wainwright shall be a third party beneficiary with respect to the representations and warranties included in the Purchase Agreement. Prior to the signing of any Purchase Agreement, officers of the Company with responsibility for financial affairs will be available to answer inquiries from prospective investors.</w:t>
      </w:r>
    </w:p>
    <w:p>
      <w:pPr>
        <w:spacing w:after="0" w:line="77" w:lineRule="exact"/>
        <w:rPr>
          <w:rFonts w:ascii="Arial" w:cs="Arial" w:eastAsia="Arial" w:hAnsi="Arial"/>
          <w:sz w:val="17"/>
          <w:szCs w:val="17"/>
          <w:color w:val="auto"/>
        </w:rPr>
      </w:pPr>
    </w:p>
    <w:p>
      <w:pPr>
        <w:ind w:left="1380" w:right="160" w:hanging="430"/>
        <w:spacing w:after="0" w:line="279" w:lineRule="auto"/>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Escrow, Settlement and Closing</w:t>
      </w:r>
      <w:r>
        <w:rPr>
          <w:rFonts w:ascii="Arial" w:cs="Arial" w:eastAsia="Arial" w:hAnsi="Arial"/>
          <w:sz w:val="17"/>
          <w:szCs w:val="17"/>
          <w:color w:val="auto"/>
        </w:rPr>
        <w:t>. If the Offering is not settled via delivery versus payment (“</w:t>
      </w:r>
      <w:r>
        <w:rPr>
          <w:rFonts w:ascii="Arial" w:cs="Arial" w:eastAsia="Arial" w:hAnsi="Arial"/>
          <w:sz w:val="17"/>
          <w:szCs w:val="17"/>
          <w:u w:val="single" w:color="auto"/>
          <w:color w:val="auto"/>
        </w:rPr>
        <w:t>DVP</w:t>
      </w:r>
      <w:r>
        <w:rPr>
          <w:rFonts w:ascii="Arial" w:cs="Arial" w:eastAsia="Arial" w:hAnsi="Arial"/>
          <w:sz w:val="17"/>
          <w:szCs w:val="17"/>
          <w:color w:val="auto"/>
        </w:rPr>
        <w:t>”), the Company and Wainwright</w:t>
      </w:r>
      <w:r>
        <w:rPr>
          <w:rFonts w:ascii="Arial" w:cs="Arial" w:eastAsia="Arial" w:hAnsi="Arial"/>
          <w:sz w:val="17"/>
          <w:szCs w:val="17"/>
          <w:i w:val="1"/>
          <w:iCs w:val="1"/>
          <w:color w:val="auto"/>
        </w:rPr>
        <w:t xml:space="preserve"> </w:t>
      </w:r>
      <w:r>
        <w:rPr>
          <w:rFonts w:ascii="Arial" w:cs="Arial" w:eastAsia="Arial" w:hAnsi="Arial"/>
          <w:sz w:val="17"/>
          <w:szCs w:val="17"/>
          <w:color w:val="auto"/>
        </w:rPr>
        <w:t>shall enter into an escrow agreement with a third party escrow agent pursuant to which Wainwright’s compensation and expenses shall be paid from the gross proceeds of the Securities sold. If the Offering is settled in whole or in part via DVP, Wainwright shall arrange for its clearing agent to provide the funds to facilitate such settlement.</w:t>
      </w:r>
    </w:p>
    <w:p>
      <w:pPr>
        <w:spacing w:after="0" w:line="76" w:lineRule="exact"/>
        <w:rPr>
          <w:rFonts w:ascii="Arial" w:cs="Arial" w:eastAsia="Arial" w:hAnsi="Arial"/>
          <w:sz w:val="17"/>
          <w:szCs w:val="17"/>
          <w:color w:val="auto"/>
        </w:rPr>
      </w:pPr>
    </w:p>
    <w:p>
      <w:pPr>
        <w:ind w:left="1380" w:right="40" w:hanging="430"/>
        <w:spacing w:after="0" w:line="257"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FINRA Amendments</w:t>
      </w:r>
      <w:r>
        <w:rPr>
          <w:rFonts w:ascii="Arial" w:cs="Arial" w:eastAsia="Arial" w:hAnsi="Arial"/>
          <w:sz w:val="18"/>
          <w:szCs w:val="18"/>
          <w:color w:val="auto"/>
        </w:rPr>
        <w:t>. Notwithstanding anything herein to the contrary, in the event that Wainwright determines that any of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hereunder shall not comply with a FINRA rule, including but not limited to FINRA Rule 5110, then the Company shall agree to amend this Agreement (or include such revisions in the final underwriting agreement) in writing upon the request of Wainwright to comply with any such rules; provided that any such amendments shall not provide for terms that are less favorable to the Company than are reflected in this Agreement.</w:t>
      </w:r>
    </w:p>
    <w:p>
      <w:pPr>
        <w:spacing w:after="0" w:line="188" w:lineRule="exact"/>
        <w:rPr>
          <w:rFonts w:ascii="Arial" w:cs="Arial" w:eastAsia="Arial" w:hAnsi="Arial"/>
          <w:sz w:val="18"/>
          <w:szCs w:val="18"/>
          <w:color w:val="auto"/>
        </w:rPr>
      </w:pPr>
    </w:p>
    <w:p>
      <w:pPr>
        <w:ind w:left="-40" w:right="260" w:firstLine="444"/>
        <w:spacing w:after="0" w:line="264" w:lineRule="auto"/>
        <w:tabs>
          <w:tab w:leader="none" w:pos="73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 the event of the consummation or public announcement of the Offering, Wainwright shall have the right to disclose its participation in such Offering, including, without limitation, the Offering at its cost of “tombstone” advertisements in financial and other newspapers and journals.</w:t>
      </w:r>
    </w:p>
    <w:p>
      <w:pPr>
        <w:spacing w:after="0" w:line="181" w:lineRule="exact"/>
        <w:rPr>
          <w:rFonts w:ascii="Arial" w:cs="Arial" w:eastAsia="Arial" w:hAnsi="Arial"/>
          <w:sz w:val="18"/>
          <w:szCs w:val="18"/>
          <w:color w:val="auto"/>
        </w:rPr>
      </w:pPr>
    </w:p>
    <w:p>
      <w:pPr>
        <w:ind w:left="720" w:hanging="31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80" w:right="60" w:hanging="430"/>
        <w:spacing w:after="0" w:line="259"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connection with the Company’s engagement of Wainwright hereunder, the Company hereby agrees to indemnify and hold harmless Wainwright and its affiliates, and the respective controlling persons, directors, officers, members, shareholders, agents and employees of any of the foregoing (collectively the “</w:t>
      </w:r>
      <w:r>
        <w:rPr>
          <w:rFonts w:ascii="Arial" w:cs="Arial" w:eastAsia="Arial" w:hAnsi="Arial"/>
          <w:sz w:val="18"/>
          <w:szCs w:val="18"/>
          <w:u w:val="single" w:color="auto"/>
          <w:color w:val="auto"/>
        </w:rPr>
        <w:t>Indemnified Persons</w:t>
      </w:r>
      <w:r>
        <w:rPr>
          <w:rFonts w:ascii="Arial" w:cs="Arial" w:eastAsia="Arial" w:hAnsi="Arial"/>
          <w:sz w:val="18"/>
          <w:szCs w:val="18"/>
          <w:color w:val="auto"/>
        </w:rPr>
        <w:t>”), from and against any and all claims, actions, suits, proceedings (including those of shareholders), damages, liabilities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6" w:name="page7"/>
    <w:bookmarkEnd w:id="6"/>
    <w:p>
      <w:pPr>
        <w:ind w:left="45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incurred by any of them (including the reasonable fees and expenses of counsel), as incurred, whether or not the Company is a party thereto (collectively a “</w:t>
      </w:r>
      <w:r>
        <w:rPr>
          <w:rFonts w:ascii="Arial" w:cs="Arial" w:eastAsia="Arial" w:hAnsi="Arial"/>
          <w:sz w:val="17"/>
          <w:szCs w:val="17"/>
          <w:u w:val="single" w:color="auto"/>
          <w:color w:val="auto"/>
        </w:rPr>
        <w:t>Claim</w:t>
      </w:r>
      <w:r>
        <w:rPr>
          <w:rFonts w:ascii="Arial" w:cs="Arial" w:eastAsia="Arial" w:hAnsi="Arial"/>
          <w:sz w:val="17"/>
          <w:szCs w:val="17"/>
          <w:color w:val="auto"/>
        </w:rPr>
        <w:t>”), that are (A) related to or arise out of (i) any actions taken or omitted to be taken (including any untrue statements made or any statements omitted to be made) by the Company, or (ii) any actions taken or omitted to be taken by any Indemnified Person in connection with the Company’s engagement of Wainwright, or (B)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the gross negligence or willful misconduct of any person seeking indemnification for such Claim. The Company further agrees that no Indemnified Person shall have any liability to the Company for or in connection with the Company’s engagement of Wainwright except for any Claim incurred by the Company as a result of such Indemnified Person’s gross negligence or willful misconduct.</w:t>
      </w:r>
    </w:p>
    <w:p>
      <w:pPr>
        <w:spacing w:after="0" w:line="85" w:lineRule="exact"/>
        <w:rPr>
          <w:sz w:val="20"/>
          <w:szCs w:val="20"/>
          <w:color w:val="auto"/>
        </w:rPr>
      </w:pPr>
    </w:p>
    <w:p>
      <w:pPr>
        <w:ind w:left="430" w:right="40" w:hanging="430"/>
        <w:spacing w:after="0" w:line="302" w:lineRule="auto"/>
        <w:tabs>
          <w:tab w:leader="none" w:pos="43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59" w:lineRule="exact"/>
        <w:rPr>
          <w:rFonts w:ascii="Arial" w:cs="Arial" w:eastAsia="Arial" w:hAnsi="Arial"/>
          <w:sz w:val="16"/>
          <w:szCs w:val="16"/>
          <w:color w:val="auto"/>
        </w:rPr>
      </w:pPr>
    </w:p>
    <w:p>
      <w:pPr>
        <w:ind w:left="430" w:right="40" w:hanging="430"/>
        <w:spacing w:after="0" w:line="287" w:lineRule="auto"/>
        <w:tabs>
          <w:tab w:leader="none" w:pos="43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is requested by such Indemnified Person, the Company will assume the defense of such Claim, including the employment of counsel for such Indemnified Person and the payment of the fees and expenses of such counsel, provided, however, that such counsel shall be satisfactory to the Indemnified Person and provided further that if the legal counsel to such Indemnified Person reasonably determines that the use of counsel chosen by the Company to represent the Indemnified Person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w:t>
      </w:r>
    </w:p>
    <w:p>
      <w:pPr>
        <w:spacing w:after="0" w:line="105" w:lineRule="exact"/>
        <w:rPr>
          <w:sz w:val="20"/>
          <w:szCs w:val="20"/>
          <w:color w:val="auto"/>
        </w:rPr>
      </w:pPr>
    </w:p>
    <w:p>
      <w:pPr>
        <w:ind w:left="447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30"/>
          </w:cols>
          <w:pgMar w:left="1430" w:top="274" w:right="439" w:bottom="1440" w:gutter="0" w:footer="0" w:header="0"/>
        </w:sectPr>
      </w:pPr>
    </w:p>
    <w:bookmarkStart w:id="7" w:name="page8"/>
    <w:bookmarkEnd w:id="7"/>
    <w:p>
      <w:pPr>
        <w:ind w:left="1440"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available to the Company, such Indemnified Person will employ its own separate counsel (including local counsel, if necessary) to represent or defend him, her or it in any such Claim and the Company shall pay the reasonable fees and expenses of such counsel. If such Indemnified Person does not request that the Company assume the defense of such Claim, such Indemnified Person will employ its own separate counsel (including local counsel, if necessary)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Person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78" w:lineRule="exact"/>
        <w:rPr>
          <w:sz w:val="20"/>
          <w:szCs w:val="20"/>
          <w:color w:val="auto"/>
        </w:rPr>
      </w:pPr>
    </w:p>
    <w:p>
      <w:pPr>
        <w:ind w:left="1420" w:hanging="430"/>
        <w:spacing w:after="0" w:line="284" w:lineRule="auto"/>
        <w:tabs>
          <w:tab w:leader="none" w:pos="142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agrees that if any indemnity sought by an Indemnified Person hereunder is held by a court to be unavailable for any reason then (whether or not Wainwright is the Indemnified 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 same proportion as</w:t>
      </w:r>
    </w:p>
    <w:p>
      <w:pPr>
        <w:spacing w:after="0" w:line="2" w:lineRule="exact"/>
        <w:rPr>
          <w:rFonts w:ascii="Arial" w:cs="Arial" w:eastAsia="Arial" w:hAnsi="Arial"/>
          <w:sz w:val="16"/>
          <w:szCs w:val="16"/>
          <w:color w:val="auto"/>
        </w:rPr>
      </w:pPr>
    </w:p>
    <w:p>
      <w:pPr>
        <w:ind w:left="1420" w:right="20"/>
        <w:spacing w:after="0" w:line="255" w:lineRule="auto"/>
        <w:rPr>
          <w:rFonts w:ascii="Arial" w:cs="Arial" w:eastAsia="Arial" w:hAnsi="Arial"/>
          <w:sz w:val="16"/>
          <w:szCs w:val="16"/>
          <w:color w:val="auto"/>
        </w:rPr>
      </w:pPr>
      <w:r>
        <w:rPr>
          <w:rFonts w:ascii="Arial" w:cs="Arial" w:eastAsia="Arial" w:hAnsi="Arial"/>
          <w:sz w:val="18"/>
          <w:szCs w:val="18"/>
          <w:color w:val="auto"/>
        </w:rPr>
        <w:t>(a) the total value paid or proposed to be paid or received by the Company pursuant to the Offering (whether or not consummated) for which Wainwright is engaged to render services bears to (b) the fee paid or proposed to be paid to Wainwright in connection with such engagement.</w:t>
      </w:r>
    </w:p>
    <w:p>
      <w:pPr>
        <w:spacing w:after="0" w:line="95" w:lineRule="exact"/>
        <w:rPr>
          <w:rFonts w:ascii="Arial" w:cs="Arial" w:eastAsia="Arial" w:hAnsi="Arial"/>
          <w:sz w:val="16"/>
          <w:szCs w:val="16"/>
          <w:color w:val="auto"/>
        </w:rPr>
      </w:pPr>
    </w:p>
    <w:p>
      <w:pPr>
        <w:ind w:left="1420" w:right="80" w:hanging="430"/>
        <w:spacing w:after="0" w:line="264" w:lineRule="auto"/>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Person may have at law or at equity and (b) shall be effective whether or not the Company is at fault in any way.</w:t>
      </w:r>
    </w:p>
    <w:p>
      <w:pPr>
        <w:spacing w:after="0" w:line="181" w:lineRule="exact"/>
        <w:rPr>
          <w:rFonts w:ascii="Arial" w:cs="Arial" w:eastAsia="Arial" w:hAnsi="Arial"/>
          <w:sz w:val="18"/>
          <w:szCs w:val="18"/>
          <w:color w:val="auto"/>
        </w:rPr>
      </w:pPr>
    </w:p>
    <w:p>
      <w:pPr>
        <w:ind w:right="500" w:firstLine="444"/>
        <w:spacing w:after="0" w:line="264" w:lineRule="auto"/>
        <w:tabs>
          <w:tab w:leader="none" w:pos="79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Limitation of Engagement to the Company</w:t>
      </w:r>
      <w:r>
        <w:rPr>
          <w:rFonts w:ascii="Arial" w:cs="Arial" w:eastAsia="Arial" w:hAnsi="Arial"/>
          <w:sz w:val="18"/>
          <w:szCs w:val="18"/>
          <w:color w:val="auto"/>
        </w:rPr>
        <w:t>. The Company acknowledges that Wainwright has been retained only by the Company, that Wainwright is providing services hereunder as an independent contractor (and not in any fiduciary or agency capacity) and that the Company’s engagement of Wainwright is not deemed to be on behalf of, and is not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intended to confer rights upon, any shareholder, owner or partner of the Company or any other person not a party hereto as against Wainwright or any of its affiliates, or any of its or their respective officers, directors, controlling persons (within the meaning of Section 15 of the Securities Act or Section 20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employees or agents. Unless otherwise expressly agreed in writing by Wainwright, no one other than the Company is authorized to rely upon this Agreement or any other statements or conduct of Wainwright, and no one other than the Company is intended to be a beneficiary of this Agreement. The Company acknowledges that any recommendation or advice, written or oral, given by Wainwright to the Company in connection with Wainwright’s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Wainwright shall not have the authority to make any commitment binding on the Company. The Company, in its sole discretion, shall have the right to reject any investor introduced to it by Wainwright.</w:t>
      </w:r>
    </w:p>
    <w:p>
      <w:pPr>
        <w:spacing w:after="0" w:line="167" w:lineRule="exact"/>
        <w:rPr>
          <w:sz w:val="20"/>
          <w:szCs w:val="20"/>
          <w:color w:val="auto"/>
        </w:rPr>
      </w:pPr>
    </w:p>
    <w:p>
      <w:pPr>
        <w:ind w:right="40" w:firstLine="444"/>
        <w:spacing w:after="0" w:line="272" w:lineRule="auto"/>
        <w:tabs>
          <w:tab w:leader="none" w:pos="79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Limitation of Wainwright’s Liability to the Company</w:t>
      </w:r>
      <w:r>
        <w:rPr>
          <w:rFonts w:ascii="Arial" w:cs="Arial" w:eastAsia="Arial" w:hAnsi="Arial"/>
          <w:sz w:val="17"/>
          <w:szCs w:val="17"/>
          <w:color w:val="auto"/>
        </w:rPr>
        <w:t>. Wainwright and the Company further agree that neither Wainwright nor any of its affiliates or any of its or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or willful misconduct of Wainwright.</w:t>
      </w:r>
    </w:p>
    <w:p>
      <w:pPr>
        <w:spacing w:after="0" w:line="177" w:lineRule="exact"/>
        <w:rPr>
          <w:rFonts w:ascii="Arial" w:cs="Arial" w:eastAsia="Arial" w:hAnsi="Arial"/>
          <w:sz w:val="17"/>
          <w:szCs w:val="17"/>
          <w:color w:val="auto"/>
        </w:rPr>
      </w:pPr>
    </w:p>
    <w:p>
      <w:pPr>
        <w:ind w:firstLine="444"/>
        <w:spacing w:after="0" w:line="290" w:lineRule="auto"/>
        <w:tabs>
          <w:tab w:leader="none" w:pos="72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Wainwright or any Indemnified Person is successful in any action, or suit against the Company, arising out of or relating to this Agreement, the final judgment or award entered shall be entitled to have and recover from the Company the costs and expenses incurred in connection therewith, including its reasonable attorneys’ fees. Any rights to trial by jury with respect to any such action, proceeding or suit are hereby waived by Wainwright and the Company.</w:t>
      </w:r>
    </w:p>
    <w:p>
      <w:pPr>
        <w:spacing w:after="0" w:line="166" w:lineRule="exact"/>
        <w:rPr>
          <w:rFonts w:ascii="Arial" w:cs="Arial" w:eastAsia="Arial" w:hAnsi="Arial"/>
          <w:sz w:val="16"/>
          <w:szCs w:val="16"/>
          <w:color w:val="auto"/>
        </w:rPr>
      </w:pPr>
    </w:p>
    <w:p>
      <w:pPr>
        <w:ind w:right="380" w:firstLine="444"/>
        <w:spacing w:after="0" w:line="264" w:lineRule="auto"/>
        <w:tabs>
          <w:tab w:leader="none" w:pos="73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hereunder will be in writing and sent by certified mail, hand delivery, overnight delivery, fax or e-mail, if sent to Wainwright, at the address set forth on the first page hereof, e-mail: notices@hcwco.com, Attention: Head of Investment Banking, and if sent to the Company, to the address set forth on the first page hereof, e-mail: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joe@arcturusrx.com, Attention: Chief Executive Officer. Notices sent by certified mail shall be deemed received five days thereafter, notices sent by hand delivery or overnight delivery shall be deemed received on the date of the relevant written record of receipt, notices delivered by fax shall be deemed received as of the date and time printed thereon by the fax machine and notices sent by e-mail shall be deemed received as of the date and time they were sent.</w:t>
      </w:r>
    </w:p>
    <w:p>
      <w:pPr>
        <w:spacing w:after="0" w:line="187" w:lineRule="exact"/>
        <w:rPr>
          <w:sz w:val="20"/>
          <w:szCs w:val="20"/>
          <w:color w:val="auto"/>
        </w:rPr>
      </w:pPr>
    </w:p>
    <w:p>
      <w:pPr>
        <w:ind w:right="80" w:firstLine="444"/>
        <w:spacing w:after="0" w:line="312" w:lineRule="auto"/>
        <w:tabs>
          <w:tab w:leader="none" w:pos="79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46" w:lineRule="exact"/>
        <w:rPr>
          <w:rFonts w:ascii="Arial" w:cs="Arial" w:eastAsia="Arial" w:hAnsi="Arial"/>
          <w:sz w:val="16"/>
          <w:szCs w:val="16"/>
          <w:color w:val="auto"/>
        </w:rPr>
      </w:pPr>
    </w:p>
    <w:p>
      <w:pPr>
        <w:ind w:right="120" w:firstLine="444"/>
        <w:spacing w:after="0" w:line="276" w:lineRule="auto"/>
        <w:tabs>
          <w:tab w:leader="none" w:pos="77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To help the United States government fight the funding of terrorism and money laundering, the federal laws of the United States require all financial institutions to obtain, verify and record information that identifies each person with whom they do business. This means Wainwright must ask the Company for certain identifying information, including a government-issued identification number (e.g., a U.S. taxpayer identification number) and such other information or documents that Wainwright considers appropriate to verify the Company’s identity, such as certified articles of incorporation, a government-issued business license, a partnership agreement or a trust instrument.</w:t>
      </w:r>
    </w:p>
    <w:p>
      <w:pPr>
        <w:spacing w:after="0" w:line="172" w:lineRule="exact"/>
        <w:rPr>
          <w:rFonts w:ascii="Arial" w:cs="Arial" w:eastAsia="Arial" w:hAnsi="Arial"/>
          <w:sz w:val="17"/>
          <w:szCs w:val="17"/>
          <w:color w:val="auto"/>
        </w:rPr>
      </w:pPr>
    </w:p>
    <w:p>
      <w:pPr>
        <w:ind w:firstLine="444"/>
        <w:spacing w:after="0" w:line="270" w:lineRule="auto"/>
        <w:tabs>
          <w:tab w:leader="none" w:pos="82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Wainwright and the Company. This Agreement shall be binding upon and inure to the benefit of both Wainwright and the Company and their respective assigns, successors, and legal representatives. This Agreement constitutes the entire agreement of Wainwright and the Company with respect to the subject matter hereof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facsimile or electronic counterparts), each of which shall be deemed an original but all of which together shall constitute one and the same instrument.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acknowledgment that the foregoing correctly sets forth the understanding reached by Wainwright and the Company, please sign in the space provided below, whereupon this letter shall constitute a binding Agreement as of the date indicated above.</w:t>
      </w:r>
    </w:p>
    <w:p>
      <w:pPr>
        <w:sectPr>
          <w:pgSz w:w="11900" w:h="16838" w:orient="portrait"/>
          <w:cols w:equalWidth="0" w:num="1">
            <w:col w:w="10720"/>
          </w:cols>
          <w:pgMar w:left="440" w:top="274"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-130810</wp:posOffset>
            </wp:positionV>
            <wp:extent cx="2624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President &amp; CEO</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July 26, 2019</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H.C. WAINWRIGHT &amp; CO., LLC</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 /s/ Edward D. Silvera</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Name: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-130810</wp:posOffset>
            </wp:positionV>
            <wp:extent cx="25984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Title: Chief Operating Officer</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Date: July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740" w:space="720"/>
            <w:col w:w="5260"/>
          </w:cols>
          <w:pgMar w:left="440" w:top="274" w:right="7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53479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4795" cy="3257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39" w:lineRule="exact"/>
        <w:rPr>
          <w:sz w:val="20"/>
          <w:szCs w:val="20"/>
          <w:color w:val="auto"/>
        </w:rPr>
      </w:pPr>
    </w:p>
    <w:p>
      <w:pPr>
        <w:jc w:val="right"/>
        <w:spacing w:after="0"/>
        <w:rPr>
          <w:sz w:val="20"/>
          <w:szCs w:val="20"/>
          <w:color w:val="auto"/>
        </w:rPr>
      </w:pPr>
      <w:r>
        <w:rPr>
          <w:sz w:val="1"/>
          <w:szCs w:val="1"/>
          <w:color w:val="auto"/>
        </w:rPr>
        <w:drawing>
          <wp:inline distT="0" distB="0" distL="0" distR="0">
            <wp:extent cx="214630"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128905"/>
                    </a:xfrm>
                    <a:prstGeom prst="rect">
                      <a:avLst/>
                    </a:prstGeom>
                    <a:noFill/>
                    <a:ln>
                      <a:noFill/>
                    </a:ln>
                  </pic:spPr>
                </pic:pic>
              </a:graphicData>
            </a:graphic>
          </wp:inline>
        </w:drawing>
      </w:r>
      <w:r>
        <w:rPr>
          <w:rFonts w:ascii="Arial" w:cs="Arial" w:eastAsia="Arial" w:hAnsi="Arial"/>
          <w:sz w:val="18"/>
          <w:szCs w:val="18"/>
          <w:b w:val="1"/>
          <w:bCs w:val="1"/>
          <w:color w:val="6D3887"/>
        </w:rPr>
        <w:t xml:space="preserve"> Salans FMC SNR Denton McKenna Long</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Sale of Shares of Common Stock registered pursuant to Registration Statement on Form S-3 (File No. 333-232281)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acted as counsel to Arcturus Therapeutics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a registration statement on Form S-3, File No. 333-232281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heretofore filed by the Company with the Securities and Exchange Commission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and the prospectus supplement filed pursuant to Rule 424(b) under the Act, dated as of August 1, 2019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under which the Company offered 945,653 shares of the Company’s common stock, $0.001 par value per share (the “</w:t>
      </w:r>
      <w:r>
        <w:rPr>
          <w:rFonts w:ascii="Arial" w:cs="Arial" w:eastAsia="Arial" w:hAnsi="Arial"/>
          <w:sz w:val="17"/>
          <w:szCs w:val="17"/>
          <w:b w:val="1"/>
          <w:bCs w:val="1"/>
          <w:color w:val="auto"/>
        </w:rPr>
        <w:t>Shares</w:t>
      </w:r>
      <w:r>
        <w:rPr>
          <w:rFonts w:ascii="Arial" w:cs="Arial" w:eastAsia="Arial" w:hAnsi="Arial"/>
          <w:sz w:val="17"/>
          <w:szCs w:val="17"/>
          <w:color w:val="auto"/>
        </w:rPr>
        <w:t>”). The Shares are being sold pursuant to securities purchase agreements dated as of August 1, 2019, by and among the Company and certain investors (the “</w:t>
      </w:r>
      <w:r>
        <w:rPr>
          <w:rFonts w:ascii="Arial" w:cs="Arial" w:eastAsia="Arial" w:hAnsi="Arial"/>
          <w:sz w:val="17"/>
          <w:szCs w:val="17"/>
          <w:b w:val="1"/>
          <w:bCs w:val="1"/>
          <w:color w:val="auto"/>
        </w:rPr>
        <w:t>Purchase Agreement</w:t>
      </w:r>
      <w:r>
        <w:rPr>
          <w:rFonts w:ascii="Arial" w:cs="Arial" w:eastAsia="Arial" w:hAnsi="Arial"/>
          <w:sz w:val="17"/>
          <w:szCs w:val="17"/>
          <w:color w:val="auto"/>
        </w:rPr>
        <w:t>”). Capitalized terms used but not otherwise defined herein shall have the meanings assigned to such terms in the Purchase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delivered to you pursuant to Item 601(b)(5) of Regulation S-K under the Act at the request of the Company.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rendering this opinion, we have examined originals, certified copies or copies otherwise identified as being true copies of the following: (i) the Company’s Certificate of Incorporation, (ii) the Company’s By-Laws, (iii) the Registration Statement, including the prospectus (the “</w:t>
      </w:r>
      <w:r>
        <w:rPr>
          <w:rFonts w:ascii="Arial" w:cs="Arial" w:eastAsia="Arial" w:hAnsi="Arial"/>
          <w:sz w:val="18"/>
          <w:szCs w:val="18"/>
          <w:b w:val="1"/>
          <w:bCs w:val="1"/>
          <w:color w:val="auto"/>
        </w:rPr>
        <w:t>Base Prospectus</w:t>
      </w:r>
      <w:r>
        <w:rPr>
          <w:rFonts w:ascii="Arial" w:cs="Arial" w:eastAsia="Arial" w:hAnsi="Arial"/>
          <w:sz w:val="18"/>
          <w:szCs w:val="18"/>
          <w:color w:val="auto"/>
        </w:rPr>
        <w:t>”) contained therein, (iv) the Prospectus Supplement (Prospectus Supplement and the Base Prospectus are collectively referred to herein as the “</w:t>
      </w:r>
      <w:r>
        <w:rPr>
          <w:rFonts w:ascii="Arial" w:cs="Arial" w:eastAsia="Arial" w:hAnsi="Arial"/>
          <w:sz w:val="18"/>
          <w:szCs w:val="18"/>
          <w:b w:val="1"/>
          <w:bCs w:val="1"/>
          <w:color w:val="auto"/>
        </w:rPr>
        <w:t>Prospectus</w:t>
      </w:r>
      <w:r>
        <w:rPr>
          <w:rFonts w:ascii="Arial" w:cs="Arial" w:eastAsia="Arial" w:hAnsi="Arial"/>
          <w:sz w:val="18"/>
          <w:szCs w:val="18"/>
          <w:color w:val="auto"/>
        </w:rPr>
        <w:t>”), (v) corporate proceedings of the Company relating to the Shares, and (vi) such other instruments and documents as we have deemed necessary under the circumstances.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assumed the genuineness and authenticity of all documents examined by us and all signatures thereon, and the conformity to originals of all copies of documents examined by 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upon the foregoing, and in reliance thereon, and subject to the qualifications, limitations and exceptions stated herein, we are of the opinion having due regard for such legal considerations as we deemed relevant, that the Shares, have been duly authorized and, when, sold and delivered by the Company against receipt of the purchase price therefor, in the manner contemplated by the Prospectus and the Purchase Agreement, will be validly issued, fully paid and nonassessable.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w:t>
      </w:r>
    </w:p>
    <w:p>
      <w:pPr>
        <w:sectPr>
          <w:pgSz w:w="11900" w:h="16838" w:orient="portrait"/>
          <w:cols w:equalWidth="0" w:num="1">
            <w:col w:w="11020"/>
          </w:cols>
          <w:pgMar w:left="440" w:top="121" w:right="439" w:bottom="1440" w:gutter="0" w:footer="0" w:header="0"/>
        </w:sectPr>
      </w:pPr>
    </w:p>
    <w:bookmarkStart w:id="12" w:name="page13"/>
    <w:bookmarkEnd w:id="12"/>
    <w:p>
      <w:pPr>
        <w:ind w:left="3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119189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91895" cy="308610"/>
                    </a:xfrm>
                    <a:prstGeom prst="rect">
                      <a:avLst/>
                    </a:prstGeom>
                    <a:noFill/>
                  </pic:spPr>
                </pic:pic>
              </a:graphicData>
            </a:graphic>
          </wp:anchor>
        </w:drawing>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August 1, 2019</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6D3887"/>
        </w:rPr>
        <w:t>Salans FMC SNR Denton</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25" w:lineRule="exact"/>
        <w:rPr>
          <w:sz w:val="20"/>
          <w:szCs w:val="20"/>
          <w:color w:val="auto"/>
        </w:rPr>
      </w:pPr>
    </w:p>
    <w:p>
      <w:pPr>
        <w:sectPr>
          <w:pgSz w:w="11900" w:h="16838" w:orient="portrait"/>
          <w:cols w:equalWidth="0" w:num="2">
            <w:col w:w="8440" w:space="720"/>
            <w:col w:w="1860"/>
          </w:cols>
          <w:pgMar w:left="440" w:top="274" w:right="439" w:bottom="1440" w:gutter="0" w:footer="0" w:header="0"/>
        </w:sectPr>
      </w:pPr>
    </w:p>
    <w:p>
      <w:pPr>
        <w:ind w:right="460"/>
        <w:spacing w:after="0" w:line="276" w:lineRule="auto"/>
        <w:rPr>
          <w:sz w:val="20"/>
          <w:szCs w:val="20"/>
          <w:color w:val="auto"/>
        </w:rPr>
      </w:pPr>
      <w:r>
        <w:rPr>
          <w:rFonts w:ascii="Arial" w:cs="Arial" w:eastAsia="Arial" w:hAnsi="Arial"/>
          <w:sz w:val="18"/>
          <w:szCs w:val="18"/>
          <w:color w:val="auto"/>
        </w:rPr>
        <w:t>secured or unsecured creditors generally (or affecting the rights of only creditors of specific types of debtors), with respect to which we express no opinion.</w:t>
      </w:r>
    </w:p>
    <w:p>
      <w:pPr>
        <w:spacing w:after="0" w:line="17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Our opinions are subject to limitations imposed by general principles of equity or public policy upon the enforceability of any of the remedies or covenants,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express no opinion as to the laws of any jurisdiction other than Delaware general corporation law and the federal laws of the United States of America.</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inclusion of this opinion as an exhibit to a Current Report on Form 8-K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Dentons US LLP</w:t>
      </w:r>
    </w:p>
    <w:p>
      <w:pPr>
        <w:sectPr>
          <w:pgSz w:w="11900" w:h="16838" w:orient="portrait"/>
          <w:cols w:equalWidth="0" w:num="1">
            <w:col w:w="11020"/>
          </w:cols>
          <w:pgMar w:left="440" w:top="274" w:right="4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1, 2019, between Arcturus Therapeutics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166"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117"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0" w:right="4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117" w:lineRule="exact"/>
        <w:rPr>
          <w:sz w:val="20"/>
          <w:szCs w:val="20"/>
          <w:color w:val="auto"/>
        </w:rPr>
      </w:pPr>
    </w:p>
    <w:p>
      <w:pPr>
        <w:ind w:left="440" w:right="1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Arial" w:cs="Arial" w:eastAsia="Arial" w:hAnsi="Arial"/>
          <w:sz w:val="15"/>
          <w:szCs w:val="15"/>
          <w:color w:val="auto"/>
        </w:rPr>
        <w:t>nd</w:t>
      </w:r>
      <w:r>
        <w:rPr>
          <w:rFonts w:ascii="Arial" w:cs="Arial" w:eastAsia="Arial" w:hAnsi="Arial"/>
          <w:sz w:val="18"/>
          <w:szCs w:val="18"/>
          <w:color w:val="auto"/>
        </w:rPr>
        <w:t>) Trading Day following the date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1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62" w:lineRule="exact"/>
        <w:rPr>
          <w:sz w:val="20"/>
          <w:szCs w:val="20"/>
          <w:color w:val="auto"/>
        </w:rPr>
      </w:pPr>
    </w:p>
    <w:p>
      <w:pPr>
        <w:ind w:right="6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Counsel</w:t>
      </w:r>
      <w:r>
        <w:rPr>
          <w:rFonts w:ascii="Arial" w:cs="Arial" w:eastAsia="Arial" w:hAnsi="Arial"/>
          <w:sz w:val="17"/>
          <w:szCs w:val="17"/>
          <w:color w:val="auto"/>
        </w:rPr>
        <w:t>” means Dentons US LLP, with offices located at 1221 Avenue of the Americas, New York, NY 10020-1089.</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117"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20" w:firstLine="42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Exempt Issuance</w:t>
      </w:r>
      <w:r>
        <w:rPr>
          <w:rFonts w:ascii="Arial" w:cs="Arial" w:eastAsia="Arial" w:hAnsi="Arial"/>
          <w:sz w:val="17"/>
          <w:szCs w:val="17"/>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shares of Common Stock upon the exercise or exchange of or conversion of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w:t>
      </w:r>
    </w:p>
    <w:p>
      <w:pPr>
        <w:spacing w:after="0" w:line="1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0"/>
          </w:cols>
          <w:pgMar w:left="880" w:top="274" w:right="49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w:t>
      </w:r>
    </w:p>
    <w:p>
      <w:pPr>
        <w:spacing w:after="0" w:line="2" w:lineRule="exact"/>
        <w:rPr>
          <w:sz w:val="20"/>
          <w:szCs w:val="20"/>
          <w:color w:val="auto"/>
        </w:rPr>
      </w:pPr>
    </w:p>
    <w:p>
      <w:pPr>
        <w:ind w:left="420" w:right="4120" w:hanging="416"/>
        <w:spacing w:after="0" w:line="389" w:lineRule="auto"/>
        <w:tabs>
          <w:tab w:leader="none" w:pos="2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of Common Stock at a price per share of at least the Per Share Purchase Price. “</w:t>
      </w:r>
      <w:r>
        <w:rPr>
          <w:rFonts w:ascii="Arial" w:cs="Arial" w:eastAsia="Arial" w:hAnsi="Arial"/>
          <w:sz w:val="17"/>
          <w:szCs w:val="17"/>
          <w:u w:val="single" w:color="auto"/>
          <w:color w:val="auto"/>
        </w:rPr>
        <w:t>FCPA</w:t>
      </w:r>
      <w:r>
        <w:rPr>
          <w:rFonts w:ascii="Arial" w:cs="Arial" w:eastAsia="Arial" w:hAnsi="Arial"/>
          <w:sz w:val="17"/>
          <w:szCs w:val="17"/>
          <w:color w:val="auto"/>
        </w:rPr>
        <w:t>” means the Foreign Corrupt Practices Act of 1977, as amended.</w:t>
      </w:r>
    </w:p>
    <w:p>
      <w:pPr>
        <w:ind w:left="420" w:right="4320"/>
        <w:spacing w:after="0" w:line="422"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shall have the meaning ascribed to such term in Section 3.1(hh). “</w:t>
      </w:r>
      <w:r>
        <w:rPr>
          <w:rFonts w:ascii="Arial" w:cs="Arial" w:eastAsia="Arial" w:hAnsi="Arial"/>
          <w:sz w:val="16"/>
          <w:szCs w:val="16"/>
          <w:u w:val="single" w:color="auto"/>
          <w:color w:val="auto"/>
        </w:rPr>
        <w:t>FDCA</w:t>
      </w:r>
      <w:r>
        <w:rPr>
          <w:rFonts w:ascii="Arial" w:cs="Arial" w:eastAsia="Arial" w:hAnsi="Arial"/>
          <w:sz w:val="16"/>
          <w:szCs w:val="16"/>
          <w:color w:val="auto"/>
        </w:rPr>
        <w:t>” shall have the meaning ascribed to such term in Section 3.1(hh). “</w:t>
      </w:r>
      <w:r>
        <w:rPr>
          <w:rFonts w:ascii="Arial" w:cs="Arial" w:eastAsia="Arial" w:hAnsi="Arial"/>
          <w:sz w:val="16"/>
          <w:szCs w:val="16"/>
          <w:u w:val="single" w:color="auto"/>
          <w:color w:val="auto"/>
        </w:rPr>
        <w:t>GAAP</w:t>
      </w:r>
      <w:r>
        <w:rPr>
          <w:rFonts w:ascii="Arial" w:cs="Arial" w:eastAsia="Arial" w:hAnsi="Arial"/>
          <w:sz w:val="16"/>
          <w:szCs w:val="16"/>
          <w:color w:val="auto"/>
        </w:rPr>
        <w:t>” shall have the meaning ascribed to such term in Section 3.1(h). “</w:t>
      </w:r>
      <w:r>
        <w:rPr>
          <w:rFonts w:ascii="Arial" w:cs="Arial" w:eastAsia="Arial" w:hAnsi="Arial"/>
          <w:sz w:val="16"/>
          <w:szCs w:val="16"/>
          <w:u w:val="single" w:color="auto"/>
          <w:color w:val="auto"/>
        </w:rPr>
        <w:t>Indebtedness</w:t>
      </w:r>
      <w:r>
        <w:rPr>
          <w:rFonts w:ascii="Arial" w:cs="Arial" w:eastAsia="Arial" w:hAnsi="Arial"/>
          <w:sz w:val="16"/>
          <w:szCs w:val="16"/>
          <w:color w:val="auto"/>
        </w:rPr>
        <w:t>” shall have the meaning ascribed to such term in Section 3.1(aa).</w:t>
      </w:r>
    </w:p>
    <w:p>
      <w:pPr>
        <w:spacing w:after="0" w:line="2"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117"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117"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$11.50, subject to adjustment for reverse and forward stock splits, stock dividends, stock combinations and other similar transactions of the Common Stock that occur after the date of this Agreement.</w:t>
      </w:r>
    </w:p>
    <w:p>
      <w:pPr>
        <w:spacing w:after="0" w:line="62"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117" w:lineRule="exact"/>
        <w:rPr>
          <w:sz w:val="20"/>
          <w:szCs w:val="20"/>
          <w:color w:val="auto"/>
        </w:rPr>
      </w:pPr>
    </w:p>
    <w:p>
      <w:pPr>
        <w:ind w:right="2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880" w:top="274" w:right="519" w:bottom="1440" w:gutter="0" w:footer="0" w:header="0"/>
        </w:sectPr>
      </w:pPr>
    </w:p>
    <w:bookmarkStart w:id="16" w:name="page17"/>
    <w:bookmarkEnd w:id="16"/>
    <w:p>
      <w:pPr>
        <w:ind w:right="26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117" w:lineRule="exact"/>
        <w:rPr>
          <w:sz w:val="20"/>
          <w:szCs w:val="20"/>
          <w:color w:val="auto"/>
        </w:rPr>
      </w:pPr>
    </w:p>
    <w:p>
      <w:pPr>
        <w:ind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333-232281 which registers the sale of the Shares to the Purchasers.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117" w:lineRule="exact"/>
        <w:rPr>
          <w:sz w:val="20"/>
          <w:szCs w:val="20"/>
          <w:color w:val="auto"/>
        </w:rPr>
      </w:pPr>
    </w:p>
    <w:p>
      <w:pPr>
        <w:ind w:right="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3" w:lineRule="exact"/>
        <w:rPr>
          <w:sz w:val="20"/>
          <w:szCs w:val="20"/>
          <w:color w:val="auto"/>
        </w:rPr>
      </w:pPr>
    </w:p>
    <w:p>
      <w:pPr>
        <w:ind w:right="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62" w:lineRule="exact"/>
        <w:rPr>
          <w:sz w:val="20"/>
          <w:szCs w:val="20"/>
          <w:color w:val="auto"/>
        </w:rPr>
      </w:pPr>
    </w:p>
    <w:p>
      <w:pPr>
        <w:jc w:val="both"/>
        <w:ind w:right="2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73"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17" w:lineRule="exact"/>
        <w:rPr>
          <w:sz w:val="20"/>
          <w:szCs w:val="20"/>
          <w:color w:val="auto"/>
        </w:rPr>
      </w:pPr>
    </w:p>
    <w:p>
      <w:pPr>
        <w:ind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17" w:name="page18"/>
    <w:bookmarkEnd w:id="17"/>
    <w:p>
      <w:pPr>
        <w:ind w:left="44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the Nasdaq Capital Market, the Nasdaq Global Market, the Nasdaq Global Select Market or the New York Stock Exchange (or any successors to any of the foregoing).</w:t>
      </w:r>
    </w:p>
    <w:p>
      <w:pPr>
        <w:spacing w:after="0" w:line="62" w:lineRule="exact"/>
        <w:rPr>
          <w:sz w:val="20"/>
          <w:szCs w:val="20"/>
          <w:color w:val="auto"/>
        </w:rPr>
      </w:pPr>
    </w:p>
    <w:p>
      <w:pPr>
        <w:ind w:left="440" w:right="3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all exhibits and schedules thereto and hereto and any other documents or agreements executed in connection with the transactions contemplated hereunder.</w:t>
      </w:r>
    </w:p>
    <w:p>
      <w:pPr>
        <w:spacing w:after="0" w:line="62"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 the current transfer agent of the Company, with a mailing address of State Street, 30th Floor, New York, NY 10004-1561, and any successor transfer agent of the Company.</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$[__ million of Shares. Each Purchaser’s Subscription Amount as set forth on the signature page hereto executed by such Purchaser shall be made available for “Delivery Versus Payment” settlement with the Company or its designees.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6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Deliveries</w:t>
      </w:r>
      <w:r>
        <w:rPr>
          <w:rFonts w:ascii="Arial" w:cs="Arial" w:eastAsia="Arial" w:hAnsi="Arial"/>
          <w:sz w:val="17"/>
          <w:szCs w:val="17"/>
          <w:color w:val="auto"/>
        </w:rPr>
        <w:t>.</w:t>
      </w:r>
    </w:p>
    <w:p>
      <w:pPr>
        <w:spacing w:after="0" w:line="117" w:lineRule="exact"/>
        <w:rPr>
          <w:sz w:val="20"/>
          <w:szCs w:val="20"/>
          <w:color w:val="auto"/>
        </w:rPr>
      </w:pPr>
    </w:p>
    <w:p>
      <w:pPr>
        <w:ind w:left="1240" w:hanging="372"/>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117" w:lineRule="exact"/>
        <w:rPr>
          <w:rFonts w:ascii="Arial" w:cs="Arial" w:eastAsia="Arial" w:hAnsi="Arial"/>
          <w:sz w:val="18"/>
          <w:szCs w:val="18"/>
          <w:color w:val="auto"/>
        </w:rPr>
      </w:pPr>
    </w:p>
    <w:p>
      <w:pPr>
        <w:ind w:left="1740" w:hanging="343"/>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117" w:lineRule="exact"/>
        <w:rPr>
          <w:rFonts w:ascii="Arial" w:cs="Arial" w:eastAsia="Arial" w:hAnsi="Arial"/>
          <w:sz w:val="18"/>
          <w:szCs w:val="18"/>
          <w:color w:val="auto"/>
        </w:rPr>
      </w:pPr>
    </w:p>
    <w:p>
      <w:pPr>
        <w:ind w:left="1800" w:hanging="403"/>
        <w:spacing w:after="0"/>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legal opinion of Company Counsel, in a form reasonably acceptable to the Placement Agent and Purchasers;</w:t>
      </w:r>
    </w:p>
    <w:p>
      <w:pPr>
        <w:spacing w:after="0" w:line="117" w:lineRule="exact"/>
        <w:rPr>
          <w:rFonts w:ascii="Arial" w:cs="Arial" w:eastAsia="Arial" w:hAnsi="Arial"/>
          <w:sz w:val="18"/>
          <w:szCs w:val="18"/>
          <w:color w:val="auto"/>
        </w:rPr>
      </w:pPr>
    </w:p>
    <w:p>
      <w:pPr>
        <w:ind w:left="1000" w:right="60" w:firstLine="397"/>
        <w:spacing w:after="0" w:line="277" w:lineRule="auto"/>
        <w:tabs>
          <w:tab w:leader="none" w:pos="18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shall have provided each Purchaser with the Company’s wire instructions, on Company letterhead and executed by the Chief Executive Officer or Chief Financial Officer;</w:t>
      </w:r>
    </w:p>
    <w:p>
      <w:pPr>
        <w:spacing w:after="0" w:line="62" w:lineRule="exact"/>
        <w:rPr>
          <w:rFonts w:ascii="Arial" w:cs="Arial" w:eastAsia="Arial" w:hAnsi="Arial"/>
          <w:sz w:val="18"/>
          <w:szCs w:val="18"/>
          <w:color w:val="auto"/>
        </w:rPr>
      </w:pPr>
    </w:p>
    <w:p>
      <w:pPr>
        <w:ind w:left="1000" w:right="80" w:firstLine="397"/>
        <w:spacing w:after="0" w:line="277" w:lineRule="auto"/>
        <w:tabs>
          <w:tab w:leader="none" w:pos="1841"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8" w:name="page19"/>
    <w:bookmarkEnd w:id="18"/>
    <w:p>
      <w:pPr>
        <w:ind w:left="560" w:right="7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expedited basis via The Depository Trust Company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Shares equal to such Purchaser’s Subscription Amount divided by the Per Share Purchase Price, registered in the name of such Purchaser; and</w:t>
      </w:r>
    </w:p>
    <w:p>
      <w:pPr>
        <w:spacing w:after="0" w:line="16" w:lineRule="exact"/>
        <w:rPr>
          <w:sz w:val="20"/>
          <w:szCs w:val="20"/>
          <w:color w:val="auto"/>
        </w:rPr>
      </w:pPr>
    </w:p>
    <w:p>
      <w:pPr>
        <w:ind w:left="1340" w:hanging="383"/>
        <w:spacing w:after="0"/>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140" w:lineRule="exact"/>
        <w:rPr>
          <w:rFonts w:ascii="Arial" w:cs="Arial" w:eastAsia="Arial" w:hAnsi="Arial"/>
          <w:sz w:val="16"/>
          <w:szCs w:val="16"/>
          <w:color w:val="auto"/>
        </w:rPr>
      </w:pPr>
    </w:p>
    <w:p>
      <w:pPr>
        <w:ind w:left="820" w:hanging="39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117" w:lineRule="exact"/>
        <w:rPr>
          <w:rFonts w:ascii="Arial" w:cs="Arial" w:eastAsia="Arial" w:hAnsi="Arial"/>
          <w:sz w:val="18"/>
          <w:szCs w:val="18"/>
          <w:color w:val="auto"/>
        </w:rPr>
      </w:pPr>
    </w:p>
    <w:p>
      <w:pPr>
        <w:ind w:left="1300" w:hanging="343"/>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117" w:lineRule="exact"/>
        <w:rPr>
          <w:sz w:val="20"/>
          <w:szCs w:val="20"/>
          <w:color w:val="auto"/>
        </w:rPr>
      </w:pPr>
    </w:p>
    <w:p>
      <w:pPr>
        <w:ind w:left="560" w:right="440" w:firstLine="397"/>
        <w:spacing w:after="0" w:line="277" w:lineRule="auto"/>
        <w:tabs>
          <w:tab w:leader="none" w:pos="13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designees.</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117" w:lineRule="exact"/>
        <w:rPr>
          <w:sz w:val="20"/>
          <w:szCs w:val="20"/>
          <w:color w:val="auto"/>
        </w:rPr>
      </w:pPr>
    </w:p>
    <w:p>
      <w:pPr>
        <w:ind w:left="800" w:hanging="372"/>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128" w:lineRule="exact"/>
        <w:rPr>
          <w:rFonts w:ascii="Arial" w:cs="Arial" w:eastAsia="Arial" w:hAnsi="Arial"/>
          <w:sz w:val="17"/>
          <w:szCs w:val="17"/>
          <w:color w:val="auto"/>
        </w:rPr>
      </w:pPr>
    </w:p>
    <w:p>
      <w:pPr>
        <w:ind w:left="560" w:right="400" w:firstLine="397"/>
        <w:spacing w:after="0" w:line="286" w:lineRule="auto"/>
        <w:tabs>
          <w:tab w:leader="none" w:pos="1311"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57" w:lineRule="exact"/>
        <w:rPr>
          <w:rFonts w:ascii="Arial" w:cs="Arial" w:eastAsia="Arial" w:hAnsi="Arial"/>
          <w:sz w:val="17"/>
          <w:szCs w:val="17"/>
          <w:color w:val="auto"/>
        </w:rPr>
      </w:pPr>
    </w:p>
    <w:p>
      <w:pPr>
        <w:ind w:left="560" w:right="60" w:firstLine="397"/>
        <w:spacing w:after="0" w:line="277" w:lineRule="auto"/>
        <w:tabs>
          <w:tab w:leader="none" w:pos="13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62" w:lineRule="exact"/>
        <w:rPr>
          <w:rFonts w:ascii="Arial" w:cs="Arial" w:eastAsia="Arial" w:hAnsi="Arial"/>
          <w:sz w:val="18"/>
          <w:szCs w:val="18"/>
          <w:color w:val="auto"/>
        </w:rPr>
      </w:pPr>
    </w:p>
    <w:p>
      <w:pPr>
        <w:ind w:left="1400" w:hanging="443"/>
        <w:spacing w:after="0"/>
        <w:tabs>
          <w:tab w:leader="none" w:pos="1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117" w:lineRule="exact"/>
        <w:rPr>
          <w:rFonts w:ascii="Arial" w:cs="Arial" w:eastAsia="Arial" w:hAnsi="Arial"/>
          <w:sz w:val="18"/>
          <w:szCs w:val="18"/>
          <w:color w:val="auto"/>
        </w:rPr>
      </w:pPr>
    </w:p>
    <w:p>
      <w:pPr>
        <w:ind w:left="820" w:hanging="392"/>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103" w:lineRule="exact"/>
        <w:rPr>
          <w:sz w:val="20"/>
          <w:szCs w:val="20"/>
          <w:color w:val="auto"/>
        </w:rPr>
      </w:pPr>
    </w:p>
    <w:p>
      <w:pPr>
        <w:ind w:left="560" w:firstLine="397"/>
        <w:spacing w:after="0" w:line="264"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73" w:lineRule="exact"/>
        <w:rPr>
          <w:rFonts w:ascii="Arial" w:cs="Arial" w:eastAsia="Arial" w:hAnsi="Arial"/>
          <w:sz w:val="18"/>
          <w:szCs w:val="18"/>
          <w:color w:val="auto"/>
        </w:rPr>
      </w:pPr>
    </w:p>
    <w:p>
      <w:pPr>
        <w:ind w:left="560" w:right="180" w:firstLine="397"/>
        <w:spacing w:after="0" w:line="277" w:lineRule="auto"/>
        <w:tabs>
          <w:tab w:leader="none" w:pos="13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9" w:name="page20"/>
    <w:bookmarkEnd w:id="19"/>
    <w:p>
      <w:pPr>
        <w:ind w:left="1840" w:hanging="443"/>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delivery by the Company of the items set forth in Section 2.2(a) of this Agreement;</w:t>
      </w:r>
    </w:p>
    <w:p>
      <w:pPr>
        <w:spacing w:after="0" w:line="117" w:lineRule="exact"/>
        <w:rPr>
          <w:rFonts w:ascii="Arial" w:cs="Arial" w:eastAsia="Arial" w:hAnsi="Arial"/>
          <w:sz w:val="18"/>
          <w:szCs w:val="18"/>
          <w:color w:val="auto"/>
        </w:rPr>
      </w:pPr>
    </w:p>
    <w:p>
      <w:pPr>
        <w:ind w:left="1840" w:hanging="443"/>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117" w:lineRule="exact"/>
        <w:rPr>
          <w:rFonts w:ascii="Arial" w:cs="Arial" w:eastAsia="Arial" w:hAnsi="Arial"/>
          <w:sz w:val="18"/>
          <w:szCs w:val="18"/>
          <w:color w:val="auto"/>
        </w:rPr>
      </w:pPr>
    </w:p>
    <w:p>
      <w:pPr>
        <w:ind w:left="1000" w:firstLine="397"/>
        <w:spacing w:after="0" w:line="291" w:lineRule="auto"/>
        <w:tabs>
          <w:tab w:leader="none" w:pos="1791"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or in the Disclosure Schedules, which SEC Reports and Disclosure Schedules shall be deemed a part hereof and shall qualify any representation or otherwise made herein to the extent of the disclosure contained in the SEC Reports or the corresponding section of the Disclosure Schedules, the Company hereby makes the following representations and warranties to each Purchaser:</w:t>
      </w:r>
    </w:p>
    <w:p>
      <w:pPr>
        <w:spacing w:after="0" w:line="79" w:lineRule="exact"/>
        <w:rPr>
          <w:sz w:val="20"/>
          <w:szCs w:val="20"/>
          <w:color w:val="auto"/>
        </w:rPr>
      </w:pPr>
    </w:p>
    <w:p>
      <w:pPr>
        <w:ind w:left="440" w:right="80" w:firstLine="428"/>
        <w:spacing w:after="0" w:line="257" w:lineRule="auto"/>
        <w:tabs>
          <w:tab w:leader="none" w:pos="124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80" w:lineRule="exact"/>
        <w:rPr>
          <w:rFonts w:ascii="Arial" w:cs="Arial" w:eastAsia="Arial" w:hAnsi="Arial"/>
          <w:sz w:val="18"/>
          <w:szCs w:val="18"/>
          <w:color w:val="auto"/>
        </w:rPr>
      </w:pPr>
    </w:p>
    <w:p>
      <w:pPr>
        <w:ind w:left="440" w:right="220" w:firstLine="428"/>
        <w:spacing w:after="0" w:line="255" w:lineRule="auto"/>
        <w:tabs>
          <w:tab w:leader="none" w:pos="125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or otherwise organized, validly existing and in good standing under the laws of the jurisdiction of its incorporation or organization (if a good standing concept exists in such jurisdiction),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0" w:name="page21"/>
    <w:bookmarkEnd w:id="20"/>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entity in each jurisdiction in which the nature of the business conducted or property owned by it makes such qualification necessary (if a good standing concept exists in such jurisdiction),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provided that a change in the market price or trading volume of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58" w:lineRule="exact"/>
        <w:rPr>
          <w:sz w:val="20"/>
          <w:szCs w:val="20"/>
          <w:color w:val="auto"/>
        </w:rPr>
      </w:pPr>
    </w:p>
    <w:p>
      <w:pPr>
        <w:ind w:right="60" w:firstLine="428"/>
        <w:spacing w:after="0" w:line="287" w:lineRule="auto"/>
        <w:tabs>
          <w:tab w:leader="none" w:pos="80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4" w:lineRule="exact"/>
        <w:rPr>
          <w:rFonts w:ascii="Arial" w:cs="Arial" w:eastAsia="Arial" w:hAnsi="Arial"/>
          <w:sz w:val="16"/>
          <w:szCs w:val="16"/>
          <w:color w:val="auto"/>
        </w:rPr>
      </w:pPr>
    </w:p>
    <w:p>
      <w:pPr>
        <w:ind w:firstLine="428"/>
        <w:spacing w:after="0" w:line="271" w:lineRule="auto"/>
        <w:tabs>
          <w:tab w:leader="none" w:pos="81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21" w:name="page22"/>
    <w:bookmarkEnd w:id="21"/>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46" w:lineRule="exact"/>
        <w:rPr>
          <w:sz w:val="20"/>
          <w:szCs w:val="20"/>
          <w:color w:val="auto"/>
        </w:rPr>
      </w:pPr>
    </w:p>
    <w:p>
      <w:pPr>
        <w:ind w:right="20" w:firstLine="428"/>
        <w:spacing w:after="0" w:line="273" w:lineRule="auto"/>
        <w:tabs>
          <w:tab w:leader="none" w:pos="80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428"/>
        <w:spacing w:after="0" w:line="285" w:lineRule="auto"/>
        <w:tabs>
          <w:tab w:leader="none" w:pos="78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Issuance of the Shares;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July 29,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as set forth in General Instruction I.B.1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 to make the statements therein, in the light of the circumstances under which they were made, not misleading.</w:t>
      </w:r>
    </w:p>
    <w:p>
      <w:pPr>
        <w:spacing w:after="0" w:line="117" w:lineRule="exact"/>
        <w:rPr>
          <w:sz w:val="20"/>
          <w:szCs w:val="20"/>
          <w:color w:val="auto"/>
        </w:rPr>
      </w:pPr>
    </w:p>
    <w:p>
      <w:pPr>
        <w:ind w:firstLine="428"/>
        <w:spacing w:after="0" w:line="284" w:lineRule="auto"/>
        <w:tabs>
          <w:tab w:leader="none" w:pos="81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and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86" w:lineRule="exact"/>
        <w:rPr>
          <w:rFonts w:ascii="Arial" w:cs="Arial" w:eastAsia="Arial" w:hAnsi="Arial"/>
          <w:sz w:val="16"/>
          <w:szCs w:val="16"/>
          <w:color w:val="auto"/>
        </w:rPr>
      </w:pPr>
    </w:p>
    <w:p>
      <w:pPr>
        <w:ind w:right="160" w:firstLine="428"/>
        <w:spacing w:after="0" w:line="264" w:lineRule="auto"/>
        <w:tabs>
          <w:tab w:leader="none" w:pos="81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23" w:name="page24"/>
    <w:bookmarkEnd w:id="23"/>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Reports</w:t>
      </w:r>
      <w:r>
        <w:rPr>
          <w:rFonts w:ascii="Arial" w:cs="Arial" w:eastAsia="Arial" w:hAnsi="Arial"/>
          <w:sz w:val="17"/>
          <w:szCs w:val="17"/>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77" w:lineRule="exact"/>
        <w:rPr>
          <w:sz w:val="20"/>
          <w:szCs w:val="20"/>
          <w:color w:val="auto"/>
        </w:rPr>
      </w:pPr>
    </w:p>
    <w:p>
      <w:pPr>
        <w:ind w:firstLine="428"/>
        <w:spacing w:after="0" w:line="288" w:lineRule="auto"/>
        <w:tabs>
          <w:tab w:leader="none" w:pos="773"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w:t>
      </w:r>
    </w:p>
    <w:p>
      <w:pPr>
        <w:ind w:firstLine="4"/>
        <w:spacing w:after="0" w:line="268" w:lineRule="auto"/>
        <w:tabs>
          <w:tab w:leader="none" w:pos="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time that this representation is made.</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24" w:name="page25"/>
    <w:bookmarkEnd w:id="24"/>
    <w:p>
      <w:pPr>
        <w:ind w:right="400" w:firstLine="428"/>
        <w:spacing w:after="0" w:line="288" w:lineRule="auto"/>
        <w:tabs>
          <w:tab w:leader="none" w:pos="773"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w:t>
      </w:r>
    </w:p>
    <w:p>
      <w:pPr>
        <w:ind w:right="20" w:firstLine="4"/>
        <w:spacing w:after="0" w:line="252"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84" w:lineRule="exact"/>
        <w:rPr>
          <w:rFonts w:ascii="Arial" w:cs="Arial" w:eastAsia="Arial" w:hAnsi="Arial"/>
          <w:sz w:val="18"/>
          <w:szCs w:val="18"/>
          <w:color w:val="auto"/>
        </w:rPr>
      </w:pPr>
    </w:p>
    <w:p>
      <w:pPr>
        <w:ind w:right="60" w:firstLine="428"/>
        <w:spacing w:after="0" w:line="269" w:lineRule="auto"/>
        <w:tabs>
          <w:tab w:leader="none" w:pos="813"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74" w:lineRule="exact"/>
        <w:rPr>
          <w:rFonts w:ascii="Arial" w:cs="Arial" w:eastAsia="Arial" w:hAnsi="Arial"/>
          <w:sz w:val="17"/>
          <w:szCs w:val="17"/>
          <w:color w:val="auto"/>
        </w:rPr>
      </w:pPr>
    </w:p>
    <w:p>
      <w:pPr>
        <w:ind w:firstLine="428"/>
        <w:spacing w:after="0" w:line="272" w:lineRule="auto"/>
        <w:tabs>
          <w:tab w:leader="none" w:pos="773"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25" w:name="page26"/>
    <w:bookmarkEnd w:id="25"/>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quality and safety and employment and labor matters, except in each case as could not have or reasonably be expected to result in a Material Adverse Effect.</w:t>
      </w:r>
    </w:p>
    <w:p>
      <w:pPr>
        <w:spacing w:after="0" w:line="62" w:lineRule="exact"/>
        <w:rPr>
          <w:sz w:val="20"/>
          <w:szCs w:val="20"/>
          <w:color w:val="auto"/>
        </w:rPr>
      </w:pPr>
    </w:p>
    <w:p>
      <w:pPr>
        <w:ind w:firstLine="428"/>
        <w:spacing w:after="0" w:line="253" w:lineRule="auto"/>
        <w:tabs>
          <w:tab w:leader="none" w:pos="86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86" w:lineRule="exact"/>
        <w:rPr>
          <w:rFonts w:ascii="Arial" w:cs="Arial" w:eastAsia="Arial" w:hAnsi="Arial"/>
          <w:sz w:val="18"/>
          <w:szCs w:val="18"/>
          <w:color w:val="auto"/>
        </w:rPr>
      </w:pPr>
    </w:p>
    <w:p>
      <w:pPr>
        <w:ind w:right="40" w:firstLine="428"/>
        <w:spacing w:after="0" w:line="302" w:lineRule="auto"/>
        <w:tabs>
          <w:tab w:leader="none" w:pos="81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46" w:lineRule="exact"/>
        <w:rPr>
          <w:rFonts w:ascii="Arial" w:cs="Arial" w:eastAsia="Arial" w:hAnsi="Arial"/>
          <w:sz w:val="16"/>
          <w:szCs w:val="16"/>
          <w:color w:val="auto"/>
        </w:rPr>
      </w:pPr>
    </w:p>
    <w:p>
      <w:pPr>
        <w:ind w:right="40" w:firstLine="428"/>
        <w:spacing w:after="0" w:line="271" w:lineRule="auto"/>
        <w:tabs>
          <w:tab w:leader="none" w:pos="81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spacing w:after="0" w:line="70" w:lineRule="exact"/>
        <w:rPr>
          <w:rFonts w:ascii="Arial" w:cs="Arial" w:eastAsia="Arial" w:hAnsi="Arial"/>
          <w:sz w:val="17"/>
          <w:szCs w:val="17"/>
          <w:color w:val="auto"/>
        </w:rPr>
      </w:pPr>
    </w:p>
    <w:p>
      <w:pPr>
        <w:ind w:firstLine="428"/>
        <w:spacing w:after="0" w:line="312" w:lineRule="auto"/>
        <w:tabs>
          <w:tab w:leader="none" w:pos="81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26" w:name="page27"/>
    <w:bookmarkEnd w:id="2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65" w:lineRule="exact"/>
        <w:rPr>
          <w:sz w:val="20"/>
          <w:szCs w:val="20"/>
          <w:color w:val="auto"/>
        </w:rPr>
      </w:pPr>
    </w:p>
    <w:p>
      <w:pPr>
        <w:ind w:right="140" w:firstLine="428"/>
        <w:spacing w:after="0" w:line="297" w:lineRule="auto"/>
        <w:tabs>
          <w:tab w:leader="none" w:pos="81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50" w:lineRule="exact"/>
        <w:rPr>
          <w:rFonts w:ascii="Arial" w:cs="Arial" w:eastAsia="Arial" w:hAnsi="Arial"/>
          <w:sz w:val="16"/>
          <w:szCs w:val="16"/>
          <w:color w:val="auto"/>
        </w:rPr>
      </w:pPr>
    </w:p>
    <w:p>
      <w:pPr>
        <w:ind w:firstLine="428"/>
        <w:spacing w:after="0" w:line="270" w:lineRule="auto"/>
        <w:tabs>
          <w:tab w:leader="none" w:pos="78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73" w:lineRule="exact"/>
        <w:rPr>
          <w:rFonts w:ascii="Arial" w:cs="Arial" w:eastAsia="Arial" w:hAnsi="Arial"/>
          <w:sz w:val="17"/>
          <w:szCs w:val="17"/>
          <w:color w:val="auto"/>
        </w:rPr>
      </w:pPr>
    </w:p>
    <w:p>
      <w:pPr>
        <w:ind w:right="520" w:firstLine="428"/>
        <w:spacing w:after="0" w:line="308" w:lineRule="auto"/>
        <w:tabs>
          <w:tab w:leader="none" w:pos="79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Controls</w:t>
      </w:r>
      <w:r>
        <w:rPr>
          <w:rFonts w:ascii="Arial" w:cs="Arial" w:eastAsia="Arial" w:hAnsi="Arial"/>
          <w:sz w:val="17"/>
          <w:szCs w:val="17"/>
          <w:color w:val="auto"/>
        </w:rPr>
        <w:t>. The Company and the Subsidiaries are in compliance with any and all applicable requirements of the Sarbanes-Oxley Act of 2002 that are effective as of the date hereof, and any and all applicable rules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61" w:lineRule="exact"/>
        <w:rPr>
          <w:sz w:val="20"/>
          <w:szCs w:val="20"/>
          <w:color w:val="auto"/>
        </w:rPr>
      </w:pPr>
    </w:p>
    <w:p>
      <w:pPr>
        <w:ind w:right="120" w:firstLine="428"/>
        <w:spacing w:after="0" w:line="257" w:lineRule="auto"/>
        <w:tabs>
          <w:tab w:leader="none" w:pos="77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80" w:lineRule="exact"/>
        <w:rPr>
          <w:rFonts w:ascii="Arial" w:cs="Arial" w:eastAsia="Arial" w:hAnsi="Arial"/>
          <w:sz w:val="18"/>
          <w:szCs w:val="18"/>
          <w:color w:val="auto"/>
        </w:rPr>
      </w:pPr>
    </w:p>
    <w:p>
      <w:pPr>
        <w:ind w:right="40" w:firstLine="428"/>
        <w:spacing w:after="0" w:line="259" w:lineRule="auto"/>
        <w:tabs>
          <w:tab w:leader="none" w:pos="81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78" w:lineRule="exact"/>
        <w:rPr>
          <w:rFonts w:ascii="Arial" w:cs="Arial" w:eastAsia="Arial" w:hAnsi="Arial"/>
          <w:sz w:val="18"/>
          <w:szCs w:val="18"/>
          <w:color w:val="auto"/>
        </w:rPr>
      </w:pPr>
    </w:p>
    <w:p>
      <w:pPr>
        <w:ind w:right="140" w:firstLine="428"/>
        <w:spacing w:after="0" w:line="277" w:lineRule="auto"/>
        <w:tabs>
          <w:tab w:leader="none" w:pos="81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8" w:name="page29"/>
    <w:bookmarkEnd w:id="28"/>
    <w:p>
      <w:pPr>
        <w:ind w:right="20" w:firstLine="428"/>
        <w:spacing w:after="0" w:line="270" w:lineRule="auto"/>
        <w:tabs>
          <w:tab w:leader="none" w:pos="85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73" w:lineRule="exact"/>
        <w:rPr>
          <w:rFonts w:ascii="Arial" w:cs="Arial" w:eastAsia="Arial" w:hAnsi="Arial"/>
          <w:sz w:val="17"/>
          <w:szCs w:val="17"/>
          <w:color w:val="auto"/>
        </w:rPr>
      </w:pPr>
    </w:p>
    <w:p>
      <w:pPr>
        <w:ind w:right="100" w:firstLine="428"/>
        <w:spacing w:after="0" w:line="255" w:lineRule="auto"/>
        <w:tabs>
          <w:tab w:leader="none" w:pos="81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85" w:lineRule="exact"/>
        <w:rPr>
          <w:rFonts w:ascii="Arial" w:cs="Arial" w:eastAsia="Arial" w:hAnsi="Arial"/>
          <w:sz w:val="18"/>
          <w:szCs w:val="18"/>
          <w:color w:val="auto"/>
        </w:rPr>
      </w:pPr>
    </w:p>
    <w:p>
      <w:pPr>
        <w:ind w:firstLine="428"/>
        <w:spacing w:after="0" w:line="268" w:lineRule="auto"/>
        <w:tabs>
          <w:tab w:leader="none" w:pos="81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with the Company’s SEC Reports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29" w:name="page30"/>
    <w:bookmarkEnd w:id="29"/>
    <w:p>
      <w:pPr>
        <w:ind w:right="20" w:firstLine="428"/>
        <w:spacing w:after="0" w:line="257" w:lineRule="auto"/>
        <w:tabs>
          <w:tab w:leader="none" w:pos="80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80" w:lineRule="exact"/>
        <w:rPr>
          <w:sz w:val="20"/>
          <w:szCs w:val="20"/>
          <w:color w:val="auto"/>
        </w:rPr>
      </w:pPr>
    </w:p>
    <w:p>
      <w:pPr>
        <w:ind w:firstLine="428"/>
        <w:spacing w:after="0" w:line="285" w:lineRule="auto"/>
        <w:tabs>
          <w:tab w:leader="none" w:pos="88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thereof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64" w:lineRule="exact"/>
        <w:rPr>
          <w:rFonts w:ascii="Arial" w:cs="Arial" w:eastAsia="Arial" w:hAnsi="Arial"/>
          <w:sz w:val="16"/>
          <w:szCs w:val="16"/>
          <w:color w:val="auto"/>
        </w:rPr>
      </w:pPr>
    </w:p>
    <w:p>
      <w:pPr>
        <w:ind w:right="120" w:firstLine="428"/>
        <w:spacing w:after="0" w:line="286" w:lineRule="auto"/>
        <w:tabs>
          <w:tab w:leader="none" w:pos="90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ind w:left="320" w:hanging="316"/>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set aside on its</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4" w:right="439" w:bottom="1440" w:gutter="0" w:footer="0" w:header="0"/>
        </w:sectPr>
      </w:pPr>
    </w:p>
    <w:bookmarkStart w:id="30" w:name="page31"/>
    <w:bookmarkEnd w:id="3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3" w:lineRule="exact"/>
        <w:rPr>
          <w:sz w:val="20"/>
          <w:szCs w:val="20"/>
          <w:color w:val="auto"/>
        </w:rPr>
      </w:pPr>
    </w:p>
    <w:p>
      <w:pPr>
        <w:ind w:right="100" w:firstLine="428"/>
        <w:spacing w:after="0" w:line="273" w:lineRule="auto"/>
        <w:tabs>
          <w:tab w:leader="none" w:pos="88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0" w:lineRule="exact"/>
        <w:rPr>
          <w:rFonts w:ascii="Arial" w:cs="Arial" w:eastAsia="Arial" w:hAnsi="Arial"/>
          <w:sz w:val="17"/>
          <w:szCs w:val="17"/>
          <w:color w:val="auto"/>
        </w:rPr>
      </w:pPr>
    </w:p>
    <w:p>
      <w:pPr>
        <w:ind w:right="160" w:firstLine="428"/>
        <w:spacing w:after="0" w:line="312" w:lineRule="auto"/>
        <w:tabs>
          <w:tab w:leader="none" w:pos="90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The Company’s independent registered public accounting firm is Ernst &amp; Young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38" w:lineRule="exact"/>
        <w:rPr>
          <w:rFonts w:ascii="Arial" w:cs="Arial" w:eastAsia="Arial" w:hAnsi="Arial"/>
          <w:sz w:val="16"/>
          <w:szCs w:val="16"/>
          <w:color w:val="auto"/>
        </w:rPr>
      </w:pPr>
    </w:p>
    <w:p>
      <w:pPr>
        <w:ind w:right="40" w:firstLine="428"/>
        <w:spacing w:after="0" w:line="271" w:lineRule="auto"/>
        <w:tabs>
          <w:tab w:leader="none" w:pos="92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Shares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70" w:lineRule="exact"/>
        <w:rPr>
          <w:rFonts w:ascii="Arial" w:cs="Arial" w:eastAsia="Arial" w:hAnsi="Arial"/>
          <w:sz w:val="17"/>
          <w:szCs w:val="17"/>
          <w:color w:val="auto"/>
        </w:rPr>
      </w:pPr>
    </w:p>
    <w:p>
      <w:pPr>
        <w:ind w:right="100" w:firstLine="428"/>
        <w:spacing w:after="0" w:line="255"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Trading Activity</w:t>
      </w:r>
      <w:r>
        <w:rPr>
          <w:rFonts w:ascii="Arial" w:cs="Arial" w:eastAsia="Arial" w:hAnsi="Arial"/>
          <w:sz w:val="18"/>
          <w:szCs w:val="18"/>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w:t>
      </w:r>
    </w:p>
    <w:p>
      <w:pPr>
        <w:spacing w:after="0" w:line="1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31" w:name="page32"/>
    <w:bookmarkEnd w:id="3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57" w:lineRule="exact"/>
        <w:rPr>
          <w:sz w:val="20"/>
          <w:szCs w:val="20"/>
          <w:color w:val="auto"/>
        </w:rPr>
      </w:pPr>
    </w:p>
    <w:p>
      <w:pPr>
        <w:ind w:right="20" w:firstLine="428"/>
        <w:spacing w:after="0" w:line="288" w:lineRule="auto"/>
        <w:tabs>
          <w:tab w:leader="none" w:pos="903"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w:t>
      </w:r>
    </w:p>
    <w:p>
      <w:pPr>
        <w:ind w:right="220" w:firstLine="4"/>
        <w:spacing w:after="0" w:line="323" w:lineRule="auto"/>
        <w:tabs>
          <w:tab w:leader="none" w:pos="3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30" w:lineRule="exact"/>
        <w:rPr>
          <w:rFonts w:ascii="Arial" w:cs="Arial" w:eastAsia="Arial" w:hAnsi="Arial"/>
          <w:sz w:val="16"/>
          <w:szCs w:val="16"/>
          <w:color w:val="auto"/>
        </w:rPr>
      </w:pPr>
    </w:p>
    <w:p>
      <w:pPr>
        <w:ind w:firstLine="428"/>
        <w:spacing w:after="0" w:line="283" w:lineRule="auto"/>
        <w:tabs>
          <w:tab w:leader="none" w:pos="90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w:t>
      </w:r>
    </w:p>
    <w:p>
      <w:pPr>
        <w:spacing w:after="0" w:line="2" w:lineRule="exact"/>
        <w:rPr>
          <w:rFonts w:ascii="Arial" w:cs="Arial" w:eastAsia="Arial" w:hAnsi="Arial"/>
          <w:sz w:val="16"/>
          <w:szCs w:val="16"/>
          <w:color w:val="auto"/>
        </w:rPr>
      </w:pPr>
    </w:p>
    <w:p>
      <w:pPr>
        <w:ind w:firstLine="4"/>
        <w:spacing w:after="0" w:line="261"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enters or proposes to enter into a consent decree of permanent injunction with the Company or any of its Subsidiaries, or (vi) otherwise alleges any violation of any laws, rules or regulations by</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32" w:name="page33"/>
    <w:bookmarkEnd w:id="32"/>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50" w:lineRule="exact"/>
        <w:rPr>
          <w:sz w:val="20"/>
          <w:szCs w:val="20"/>
          <w:color w:val="auto"/>
        </w:rPr>
      </w:pPr>
    </w:p>
    <w:p>
      <w:pPr>
        <w:ind w:right="80" w:firstLine="428"/>
        <w:spacing w:after="0" w:line="293" w:lineRule="auto"/>
        <w:tabs>
          <w:tab w:leader="none" w:pos="82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56" w:lineRule="exact"/>
        <w:rPr>
          <w:rFonts w:ascii="Arial" w:cs="Arial" w:eastAsia="Arial" w:hAnsi="Arial"/>
          <w:sz w:val="16"/>
          <w:szCs w:val="16"/>
          <w:color w:val="auto"/>
        </w:rPr>
      </w:pPr>
    </w:p>
    <w:p>
      <w:pPr>
        <w:jc w:val="both"/>
        <w:ind w:right="280" w:firstLine="428"/>
        <w:spacing w:after="0" w:line="264" w:lineRule="auto"/>
        <w:tabs>
          <w:tab w:leader="none" w:pos="82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0" w:firstLine="428"/>
        <w:spacing w:after="0" w:line="342" w:lineRule="auto"/>
        <w:tabs>
          <w:tab w:leader="none" w:pos="90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5" w:lineRule="exact"/>
        <w:rPr>
          <w:rFonts w:ascii="Arial" w:cs="Arial" w:eastAsia="Arial" w:hAnsi="Arial"/>
          <w:sz w:val="16"/>
          <w:szCs w:val="16"/>
          <w:color w:val="auto"/>
        </w:rPr>
      </w:pPr>
    </w:p>
    <w:p>
      <w:pPr>
        <w:ind w:firstLine="428"/>
        <w:spacing w:after="0" w:line="293" w:lineRule="auto"/>
        <w:tabs>
          <w:tab w:leader="none" w:pos="82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56" w:lineRule="exact"/>
        <w:rPr>
          <w:rFonts w:ascii="Arial" w:cs="Arial" w:eastAsia="Arial" w:hAnsi="Arial"/>
          <w:sz w:val="16"/>
          <w:szCs w:val="16"/>
          <w:color w:val="auto"/>
        </w:rPr>
      </w:pPr>
    </w:p>
    <w:p>
      <w:pPr>
        <w:ind w:firstLine="428"/>
        <w:spacing w:after="0" w:line="259" w:lineRule="auto"/>
        <w:tabs>
          <w:tab w:leader="none" w:pos="100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Money Laundering</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or Proceeding by or before any court or governmental agency, authority or body or any</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880" w:top="274" w:right="479" w:bottom="1440" w:gutter="0" w:footer="0" w:header="0"/>
        </w:sectPr>
      </w:pPr>
    </w:p>
    <w:bookmarkStart w:id="33" w:name="page34"/>
    <w:bookmarkEnd w:id="33"/>
    <w:p>
      <w:pPr>
        <w:ind w:left="44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arbitrator involving the Company or any Subsidiary with respect to the Money Laundering Laws is pending or, to the knowledge of the Company or any Subsidiary, threatened.</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73" w:lineRule="exact"/>
        <w:rPr>
          <w:sz w:val="20"/>
          <w:szCs w:val="20"/>
          <w:color w:val="auto"/>
        </w:rPr>
      </w:pPr>
    </w:p>
    <w:p>
      <w:pPr>
        <w:ind w:left="440" w:firstLine="428"/>
        <w:spacing w:after="0" w:line="269" w:lineRule="auto"/>
        <w:tabs>
          <w:tab w:leader="none" w:pos="124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74" w:lineRule="exact"/>
        <w:rPr>
          <w:rFonts w:ascii="Arial" w:cs="Arial" w:eastAsia="Arial" w:hAnsi="Arial"/>
          <w:sz w:val="17"/>
          <w:szCs w:val="17"/>
          <w:color w:val="auto"/>
        </w:rPr>
      </w:pPr>
    </w:p>
    <w:p>
      <w:pPr>
        <w:jc w:val="both"/>
        <w:ind w:left="440" w:right="20" w:firstLine="428"/>
        <w:spacing w:after="0" w:line="279" w:lineRule="auto"/>
        <w:tabs>
          <w:tab w:leader="none" w:pos="125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63" w:lineRule="exact"/>
        <w:rPr>
          <w:rFonts w:ascii="Arial" w:cs="Arial" w:eastAsia="Arial" w:hAnsi="Arial"/>
          <w:sz w:val="17"/>
          <w:szCs w:val="17"/>
          <w:color w:val="auto"/>
        </w:rPr>
      </w:pPr>
    </w:p>
    <w:p>
      <w:pPr>
        <w:ind w:left="440" w:right="160" w:firstLine="428"/>
        <w:spacing w:after="0" w:line="264" w:lineRule="auto"/>
        <w:tabs>
          <w:tab w:leader="none" w:pos="124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73" w:lineRule="exact"/>
        <w:rPr>
          <w:rFonts w:ascii="Arial" w:cs="Arial" w:eastAsia="Arial" w:hAnsi="Arial"/>
          <w:sz w:val="18"/>
          <w:szCs w:val="18"/>
          <w:color w:val="auto"/>
        </w:rPr>
      </w:pPr>
    </w:p>
    <w:p>
      <w:pPr>
        <w:ind w:left="440" w:firstLine="428"/>
        <w:spacing w:after="0" w:line="259" w:lineRule="auto"/>
        <w:tabs>
          <w:tab w:leader="none" w:pos="125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4" w:name="page35"/>
    <w:bookmarkEnd w:id="34"/>
    <w:p>
      <w:pPr>
        <w:ind w:left="440" w:firstLine="428"/>
        <w:spacing w:after="0" w:line="287" w:lineRule="auto"/>
        <w:tabs>
          <w:tab w:leader="none" w:pos="124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60" w:lineRule="exact"/>
        <w:rPr>
          <w:rFonts w:ascii="Arial" w:cs="Arial" w:eastAsia="Arial" w:hAnsi="Arial"/>
          <w:sz w:val="16"/>
          <w:szCs w:val="16"/>
          <w:color w:val="auto"/>
        </w:rPr>
      </w:pPr>
    </w:p>
    <w:p>
      <w:pPr>
        <w:ind w:left="440" w:right="20" w:firstLine="428"/>
        <w:spacing w:after="0" w:line="286" w:lineRule="auto"/>
        <w:tabs>
          <w:tab w:leader="none" w:pos="122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5" w:name="page36"/>
    <w:bookmarkEnd w:id="35"/>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Furnishing of Information</w:t>
      </w:r>
      <w:r>
        <w:rPr>
          <w:rFonts w:ascii="Arial" w:cs="Arial" w:eastAsia="Arial" w:hAnsi="Arial"/>
          <w:sz w:val="17"/>
          <w:szCs w:val="17"/>
          <w:color w:val="auto"/>
        </w:rPr>
        <w:t>.</w:t>
      </w:r>
    </w:p>
    <w:p>
      <w:pPr>
        <w:spacing w:after="0" w:line="117" w:lineRule="exact"/>
        <w:rPr>
          <w:sz w:val="20"/>
          <w:szCs w:val="20"/>
          <w:color w:val="auto"/>
        </w:rPr>
      </w:pPr>
    </w:p>
    <w:p>
      <w:pPr>
        <w:jc w:val="both"/>
        <w:ind w:left="440" w:right="100" w:firstLine="428"/>
        <w:spacing w:after="0" w:line="259" w:lineRule="auto"/>
        <w:tabs>
          <w:tab w:leader="none" w:pos="12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Until the one year anniversary of the Closing Date,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provided, however that this covenant shall not prevent a sale, merger or similar transaction involving the Company.</w:t>
      </w:r>
    </w:p>
    <w:p>
      <w:pPr>
        <w:spacing w:after="0" w:line="18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6" w:name="page37"/>
    <w:bookmarkEnd w:id="3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ind w:right="320" w:firstLine="441"/>
        <w:spacing w:after="0" w:line="30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attached hereto, the Company shall use the net proceeds from the sale of the Shares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54"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Indemnification of Purchasers</w:t>
      </w:r>
      <w:r>
        <w:rPr>
          <w:rFonts w:ascii="Arial" w:cs="Arial" w:eastAsia="Arial" w:hAnsi="Arial"/>
          <w:sz w:val="17"/>
          <w:szCs w:val="17"/>
          <w:color w:val="auto"/>
        </w:rPr>
        <w:t>. Subject to the provisions of this Section 4.8, the Company will indemnify and hold each Purchaser and its directors, officers, shareholders, members, partners, employees and agents (and any other Persons with a functionally equivalent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7" w:name="page38"/>
    <w:bookmarkEnd w:id="3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w:t>
      </w:r>
    </w:p>
    <w:p>
      <w:pPr>
        <w:ind w:right="40" w:firstLine="4"/>
        <w:spacing w:after="0" w:line="268"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Listing of Common Stock</w:t>
      </w:r>
      <w:r>
        <w:rPr>
          <w:rFonts w:ascii="Arial" w:cs="Arial" w:eastAsia="Arial" w:hAnsi="Arial"/>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8" w:name="page39"/>
    <w:bookmarkEnd w:id="3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provided, however that this Section 4.10 shall not prevent a sale, merger or similar transaction involving the Company .</w:t>
      </w:r>
    </w:p>
    <w:p>
      <w:pPr>
        <w:spacing w:after="0" w:line="1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u w:val="single" w:color="auto"/>
          <w:color w:val="auto"/>
        </w:rPr>
        <w:t>Subsequent Equity Sales.</w:t>
      </w:r>
    </w:p>
    <w:p>
      <w:pPr>
        <w:spacing w:after="0" w:line="117" w:lineRule="exact"/>
        <w:rPr>
          <w:sz w:val="20"/>
          <w:szCs w:val="20"/>
          <w:color w:val="auto"/>
        </w:rPr>
      </w:pPr>
    </w:p>
    <w:p>
      <w:pPr>
        <w:ind w:left="440" w:right="760" w:firstLine="428"/>
        <w:spacing w:after="0" w:line="342" w:lineRule="auto"/>
        <w:tabs>
          <w:tab w:leader="none" w:pos="12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From the date hereof until 60 days after the Closing Date, neither the Company nor any Subsidiary shall issue, enter into any agreement to issue or announce the issuance or proposed issuance of any shares of Common Stock or Common Stock Equivalents.</w:t>
      </w:r>
    </w:p>
    <w:p>
      <w:pPr>
        <w:spacing w:after="0" w:line="15" w:lineRule="exact"/>
        <w:rPr>
          <w:rFonts w:ascii="Arial" w:cs="Arial" w:eastAsia="Arial" w:hAnsi="Arial"/>
          <w:sz w:val="16"/>
          <w:szCs w:val="16"/>
          <w:color w:val="auto"/>
        </w:rPr>
      </w:pPr>
    </w:p>
    <w:p>
      <w:pPr>
        <w:ind w:left="1260" w:hanging="392"/>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an Exempt Issuance.</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73"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Certain Transactions and Confidentiality</w:t>
      </w:r>
      <w:r>
        <w:rPr>
          <w:rFonts w:ascii="Arial" w:cs="Arial" w:eastAsia="Arial" w:hAnsi="Arial"/>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9" w:name="page40"/>
    <w:bookmarkEnd w:id="3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Arial" w:cs="Arial" w:eastAsia="Arial" w:hAnsi="Arial"/>
          <w:sz w:val="15"/>
          <w:szCs w:val="15"/>
          <w:color w:val="auto"/>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Purchasers.</w:t>
      </w:r>
    </w:p>
    <w:p>
      <w:pPr>
        <w:spacing w:after="0" w:line="18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ind w:right="280" w:firstLine="441"/>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0" w:name="page41"/>
    <w:bookmarkEnd w:id="40"/>
    <w:p>
      <w:pPr>
        <w:jc w:val="both"/>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forth on the signature pages attached hereto on a day that is not a Trading Day or later than 5:30 p.m. (New York City time) on any Trading Day, (c) the second (2</w:t>
      </w:r>
      <w:r>
        <w:rPr>
          <w:rFonts w:ascii="Arial" w:cs="Arial" w:eastAsia="Arial" w:hAnsi="Arial"/>
          <w:sz w:val="13"/>
          <w:szCs w:val="13"/>
          <w:color w:val="auto"/>
        </w:rPr>
        <w:t>nd</w:t>
      </w:r>
      <w:r>
        <w:rPr>
          <w:rFonts w:ascii="Arial" w:cs="Arial" w:eastAsia="Arial" w:hAnsi="Arial"/>
          <w:sz w:val="16"/>
          <w:szCs w:val="16"/>
          <w:color w:val="auto"/>
        </w:rPr>
        <w:t>)Trading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58"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6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the Transaction Documents shall be governed by and construed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41" w:name="page42"/>
    <w:bookmarkEnd w:id="4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6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 for a period of not longer than one year from the Closing Date.</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3"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2" w:name="page43"/>
    <w:bookmarkEnd w:id="42"/>
    <w:p>
      <w:pPr>
        <w:ind w:right="20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right="100" w:firstLine="441"/>
        <w:spacing w:after="0" w:line="302"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Payment Set Aside</w:t>
      </w:r>
      <w:r>
        <w:rPr>
          <w:rFonts w:ascii="Arial" w:cs="Arial" w:eastAsia="Arial" w:hAnsi="Arial"/>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Independent Nature of Purchasers’ Obligations and Rights</w:t>
      </w:r>
      <w:r>
        <w:rPr>
          <w:rFonts w:ascii="Arial" w:cs="Arial" w:eastAsia="Arial" w:hAnsi="Arial"/>
          <w:sz w:val="17"/>
          <w:szCs w:val="17"/>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3" w:name="page44"/>
    <w:bookmarkEnd w:id="4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8"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54"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4" w:name="page45"/>
    <w:bookmarkEnd w:id="44"/>
    <w:p>
      <w:pPr>
        <w:ind w:right="6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ARCTURUS THERAPEUTICS HOLDINGS INC.</w:t>
            </w:r>
          </w:p>
        </w:tc>
        <w:tc>
          <w:tcPr>
            <w:tcW w:w="64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Address for Notice:</w:t>
            </w:r>
          </w:p>
        </w:tc>
        <w:tc>
          <w:tcPr>
            <w:tcW w:w="1380" w:type="dxa"/>
            <w:vAlign w:val="bottom"/>
          </w:tcPr>
          <w:p>
            <w:pPr>
              <w:spacing w:after="0"/>
              <w:rPr>
                <w:sz w:val="17"/>
                <w:szCs w:val="17"/>
                <w:color w:val="auto"/>
              </w:rPr>
            </w:pPr>
          </w:p>
        </w:tc>
      </w:tr>
      <w:tr>
        <w:trPr>
          <w:trHeight w:val="453"/>
        </w:trPr>
        <w:tc>
          <w:tcPr>
            <w:tcW w:w="7200" w:type="dxa"/>
            <w:vAlign w:val="bottom"/>
            <w:gridSpan w:val="2"/>
          </w:tcPr>
          <w:p>
            <w:pPr>
              <w:spacing w:after="0"/>
              <w:rPr>
                <w:sz w:val="20"/>
                <w:szCs w:val="20"/>
                <w:color w:val="auto"/>
              </w:rPr>
            </w:pPr>
            <w:r>
              <w:rPr>
                <w:rFonts w:ascii="Arial" w:cs="Arial" w:eastAsia="Arial" w:hAnsi="Arial"/>
                <w:sz w:val="18"/>
                <w:szCs w:val="18"/>
                <w:color w:val="auto"/>
              </w:rPr>
              <w:t>By:</w:t>
            </w:r>
          </w:p>
        </w:tc>
        <w:tc>
          <w:tcPr>
            <w:tcW w:w="6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Arcturus Therapeutics, Inc.</w:t>
            </w:r>
          </w:p>
        </w:tc>
      </w:tr>
      <w:tr>
        <w:trPr>
          <w:trHeight w:val="182"/>
        </w:trPr>
        <w:tc>
          <w:tcPr>
            <w:tcW w:w="340" w:type="dxa"/>
            <w:vAlign w:val="bottom"/>
          </w:tcPr>
          <w:p>
            <w:pPr>
              <w:spacing w:after="0"/>
              <w:rPr>
                <w:sz w:val="15"/>
                <w:szCs w:val="15"/>
                <w:color w:val="auto"/>
              </w:rPr>
            </w:pPr>
          </w:p>
        </w:tc>
        <w:tc>
          <w:tcPr>
            <w:tcW w:w="686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Name:</w:t>
            </w:r>
          </w:p>
        </w:tc>
        <w:tc>
          <w:tcPr>
            <w:tcW w:w="640" w:type="dxa"/>
            <w:vAlign w:val="bottom"/>
          </w:tcPr>
          <w:p>
            <w:pPr>
              <w:spacing w:after="0"/>
              <w:rPr>
                <w:sz w:val="15"/>
                <w:szCs w:val="15"/>
                <w:color w:val="auto"/>
              </w:rPr>
            </w:pPr>
          </w:p>
        </w:tc>
        <w:tc>
          <w:tcPr>
            <w:tcW w:w="2800" w:type="dxa"/>
            <w:vAlign w:val="bottom"/>
            <w:gridSpan w:val="2"/>
          </w:tcPr>
          <w:p>
            <w:pPr>
              <w:spacing w:after="0" w:line="182" w:lineRule="exact"/>
              <w:rPr>
                <w:sz w:val="20"/>
                <w:szCs w:val="20"/>
                <w:color w:val="auto"/>
              </w:rPr>
            </w:pPr>
            <w:r>
              <w:rPr>
                <w:rFonts w:ascii="Arial" w:cs="Arial" w:eastAsia="Arial" w:hAnsi="Arial"/>
                <w:sz w:val="18"/>
                <w:szCs w:val="18"/>
                <w:color w:val="auto"/>
                <w:w w:val="89"/>
              </w:rPr>
              <w:t>10628 Science Center Drive, Suite 250</w:t>
            </w:r>
          </w:p>
        </w:tc>
      </w:tr>
      <w:tr>
        <w:trPr>
          <w:trHeight w:val="216"/>
        </w:trPr>
        <w:tc>
          <w:tcPr>
            <w:tcW w:w="34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Title:</w:t>
            </w:r>
          </w:p>
        </w:tc>
        <w:tc>
          <w:tcPr>
            <w:tcW w:w="6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San Diego, CA 92121</w:t>
            </w:r>
          </w:p>
        </w:tc>
      </w:tr>
      <w:tr>
        <w:trPr>
          <w:trHeight w:val="230"/>
        </w:trPr>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Attn: Chief Executive Officer</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6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Email: joe@arcturusrx.com</w:t>
            </w:r>
          </w:p>
        </w:tc>
      </w:tr>
      <w:tr>
        <w:trPr>
          <w:trHeight w:val="418"/>
        </w:trPr>
        <w:tc>
          <w:tcPr>
            <w:tcW w:w="7200" w:type="dxa"/>
            <w:vAlign w:val="bottom"/>
            <w:gridSpan w:val="2"/>
          </w:tcPr>
          <w:p>
            <w:pPr>
              <w:spacing w:after="0"/>
              <w:rPr>
                <w:sz w:val="20"/>
                <w:szCs w:val="20"/>
                <w:color w:val="auto"/>
              </w:rPr>
            </w:pPr>
            <w:r>
              <w:rPr>
                <w:rFonts w:ascii="Arial" w:cs="Arial" w:eastAsia="Arial" w:hAnsi="Arial"/>
                <w:sz w:val="18"/>
                <w:szCs w:val="18"/>
                <w:color w:val="auto"/>
              </w:rPr>
              <w:t>Dentons US LLP</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1221 Avenue of the Americas</w:t>
            </w:r>
          </w:p>
        </w:tc>
        <w:tc>
          <w:tcPr>
            <w:tcW w:w="2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New York, NY 10020-1089</w:t>
            </w: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Attn: Jeffrey Baumel</w:t>
            </w: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Email: jeffrey.baumel@dentons.com</w:t>
            </w: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 FOR PURCHASER FOLLOWS]</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40"/>
          </w:cols>
          <w:pgMar w:left="440" w:top="274" w:right="8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SIGNATURE PAGES TO ARCT SECURITIES PURCHASE AGREEMENT]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14605</wp:posOffset>
            </wp:positionV>
            <wp:extent cx="46824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14605</wp:posOffset>
            </wp:positionV>
            <wp:extent cx="35248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14605</wp:posOffset>
            </wp:positionV>
            <wp:extent cx="42964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14605</wp:posOffset>
            </wp:positionV>
            <wp:extent cx="43567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14605</wp:posOffset>
            </wp:positionV>
            <wp:extent cx="41078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14605</wp:posOffset>
            </wp:positionV>
            <wp:extent cx="42106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25" w:lineRule="exact"/>
        <w:rPr>
          <w:sz w:val="20"/>
          <w:szCs w:val="20"/>
          <w:color w:val="auto"/>
        </w:rPr>
      </w:pPr>
    </w:p>
    <w:p>
      <w:pPr>
        <w:ind w:firstLine="4"/>
        <w:spacing w:after="0" w:line="291" w:lineRule="auto"/>
        <w:tabs>
          <w:tab w:leader="none" w:pos="207"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CONTINUE]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Announces $10.9 Million Registered Direct Offering of Common Stock</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San Diego, Calif, August 1, 2019 – Arcturus Therapeutics (“Arcturus” or the “Company”), a leading RNA medicines company focused on the discovery, development and commercialization of therapeutics for rare diseases, today announced that it has entered into definitive agreements with certain institutional investors for the purchase and sale in a registered direct offering of 945,653 shares of the Company’s common stock, at a purchase price of $11.50 per share, for aggregate gross proceeds of approximately $10.9 million. The offering is expected to close on or about August 5, 2019, subject to the satisfaction of customary closing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exclusive placement agent for the offering.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intends to use the net proceeds from this offering to fund its continued research and development initiatives in connection with its product pipeline including, but not limited to LUNAR-CF, LUNAR-CV, LUNAR-MD and general corporate purposes.</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The shares of common stock are being offered by the Company pursuant to a “shelf” registration statement on Form S-3 (File No. 333-232281) previously declared effective by the Securities and Exchange Commission (the “SEC”) on July 29, 2019. The shares of common stock may be offered only by means of a prospectus supplement that forms a part of the effective registration statement. A prospectus supplement and the accompanying prospectus relating to the offering will be filed with the SEC. Electronic copies of the prospectus supplement and the accompanying prospectus may be obtained, when available, from H.C. Wainwright &amp; Co., LLC, 430 Park Avenue, 3rd Floor, New York, NY 10022, or by calling (646) 975-6996 or by emailing </w:t>
      </w:r>
      <w:r>
        <w:rPr>
          <w:rFonts w:ascii="Arial" w:cs="Arial" w:eastAsia="Arial" w:hAnsi="Arial"/>
          <w:sz w:val="17"/>
          <w:szCs w:val="17"/>
          <w:u w:val="single" w:color="auto"/>
          <w:color w:val="auto"/>
        </w:rPr>
        <w:t>placements@hcwco.com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an RNA medicines company with enabling technologies – LUNAR</w:t>
      </w:r>
      <w:r>
        <w:rPr>
          <w:rFonts w:ascii="Arial" w:cs="Arial" w:eastAsia="Arial" w:hAnsi="Arial"/>
          <w:sz w:val="14"/>
          <w:szCs w:val="14"/>
          <w:color w:val="auto"/>
        </w:rPr>
        <w:t>®</w:t>
      </w:r>
      <w:r>
        <w:rPr>
          <w:rFonts w:ascii="Arial" w:cs="Arial" w:eastAsia="Arial" w:hAnsi="Arial"/>
          <w:sz w:val="17"/>
          <w:szCs w:val="17"/>
          <w:color w:val="auto"/>
        </w:rPr>
        <w:t xml:space="preserve"> lipid-mediated delivery and Unlocked Nucleomonomer Analog (UNA) chemistry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(167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and the Cystic Fibrosis Foundation. For more information, visit </w:t>
      </w:r>
      <w:r>
        <w:rPr>
          <w:rFonts w:ascii="Arial" w:cs="Arial" w:eastAsia="Arial" w:hAnsi="Arial"/>
          <w:sz w:val="17"/>
          <w:szCs w:val="17"/>
          <w:u w:val="single" w:color="auto"/>
          <w:color w:val="auto"/>
        </w:rPr>
        <w:t>www.Arcturusrx.com</w:t>
      </w:r>
    </w:p>
    <w:p>
      <w:pPr>
        <w:sectPr>
          <w:pgSz w:w="11900" w:h="16838" w:orient="portrait"/>
          <w:cols w:equalWidth="0" w:num="1">
            <w:col w:w="11020"/>
          </w:cols>
          <w:pgMar w:left="440" w:top="121"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the likelihood of success of the Company’s technology or potential development of any products, the status of preclinical and clinical development programs, the sufficiency of any drug substances or drug products to meet current goals or expectations, the potential market or success of clinical development programs, and the Company’s future cash and financial position are forward-looking statements. For example, when the Company discusses the timing and expected closing of the offering and the expected use of proceeds, it is using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market conditions, the satisfaction of customary closing conditions related to the registered direct offering and use of proceeds,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 looking statements, which speak only as of the date they were made, whether as a result of new information, future events or circumstances or otherwise.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8860" w:firstLine="4"/>
        <w:spacing w:after="0" w:line="323" w:lineRule="auto"/>
        <w:tabs>
          <w:tab w:leader="none" w:pos="4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597-6983 </w:t>
      </w:r>
      <w:r>
        <w:rPr>
          <w:rFonts w:ascii="Arial" w:cs="Arial" w:eastAsia="Arial" w:hAnsi="Arial"/>
          <w:sz w:val="16"/>
          <w:szCs w:val="16"/>
          <w:u w:val="single" w:color="auto"/>
          <w:color w:val="auto"/>
        </w:rPr>
        <w:t>mwood@lifesciadvisors.com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lvl w:ilvl="1">
      <w:lvlJc w:val="left"/>
      <w:lvlText w:val="%2."/>
      <w:numFmt w:val="upperLetter"/>
      <w:start w:val="1"/>
    </w:lvl>
  </w:abstractNum>
  <w:abstractNum w:abstractNumId="2">
    <w:nsid w:val="79838CB2"/>
    <w:multiLevelType w:val="hybridMultilevel"/>
    <w:lvl w:ilvl="0">
      <w:lvlJc w:val="left"/>
      <w:lvlText w:val="%1."/>
      <w:numFmt w:val="decimal"/>
      <w:start w:val="1"/>
    </w:lvl>
    <w:lvl w:ilvl="1">
      <w:lvlJc w:val="left"/>
      <w:lvlText w:val="%2"/>
      <w:numFmt w:val="upperLetter"/>
      <w:start w:val="1"/>
    </w:lvl>
  </w:abstractNum>
  <w:abstractNum w:abstractNumId="3">
    <w:nsid w:val="4353D0CD"/>
    <w:multiLevelType w:val="hybridMultilevel"/>
    <w:lvl w:ilvl="0">
      <w:lvlJc w:val="left"/>
      <w:lvlText w:val="%1"/>
      <w:numFmt w:val="lowerRoman"/>
      <w:start w:val="1"/>
    </w:lvl>
    <w:lvl w:ilvl="1">
      <w:lvlJc w:val="left"/>
      <w:lvlText w:val="%2."/>
      <w:numFmt w:val="upperLetter"/>
      <w:start w:val="2"/>
    </w:lvl>
  </w:abstractNum>
  <w:abstractNum w:abstractNumId="4">
    <w:nsid w:val="B03E0C6"/>
    <w:multiLevelType w:val="hybridMultilevel"/>
    <w:lvl w:ilvl="0">
      <w:lvlJc w:val="left"/>
      <w:lvlText w:val="(%1)"/>
      <w:numFmt w:val="lowerRoman"/>
      <w:start w:val="2"/>
    </w:lvl>
    <w:lvl w:ilvl="1">
      <w:lvlJc w:val="left"/>
      <w:lvlText w:val="%2."/>
      <w:numFmt w:val="upperLetter"/>
      <w:start w:val="3"/>
    </w:lvl>
  </w:abstractNum>
  <w:abstractNum w:abstractNumId="5">
    <w:nsid w:val="189A769B"/>
    <w:multiLevelType w:val="hybridMultilevel"/>
    <w:lvl w:ilvl="0">
      <w:lvlJc w:val="left"/>
      <w:lvlText w:val="%1."/>
      <w:numFmt w:val="upperLetter"/>
      <w:start w:val="4"/>
    </w:lvl>
    <w:lvl w:ilvl="1">
      <w:lvlJc w:val="left"/>
      <w:lvlText w:val="%2."/>
      <w:numFmt w:val="decimal"/>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upperLetter"/>
      <w:start w:val="1"/>
    </w:lvl>
    <w:lvl w:ilvl="1">
      <w:lvlJc w:val="left"/>
      <w:lvlText w:val="%2."/>
      <w:numFmt w:val="decimal"/>
      <w:start w:val="4"/>
    </w:lvl>
  </w:abstractNum>
  <w:abstractNum w:abstractNumId="8">
    <w:nsid w:val="2CA88611"/>
    <w:multiLevelType w:val="hybridMultilevel"/>
    <w:lvl w:ilvl="0">
      <w:lvlJc w:val="left"/>
      <w:lvlText w:val="%1."/>
      <w:numFmt w:val="upperLetter"/>
      <w:start w:val="7"/>
    </w:lvl>
    <w:lvl w:ilvl="1">
      <w:lvlJc w:val="left"/>
      <w:lvlText w:val="%2"/>
      <w:numFmt w:val="decimal"/>
      <w:start w:val="1"/>
    </w:lvl>
  </w:abstractNum>
  <w:abstractNum w:abstractNumId="9">
    <w:nsid w:val="836C40E"/>
    <w:multiLevelType w:val="hybridMultilevel"/>
    <w:lvl w:ilvl="0">
      <w:lvlJc w:val="left"/>
      <w:lvlText w:val="%1."/>
      <w:numFmt w:val="upperLetter"/>
      <w:start w:val="8"/>
    </w:lvl>
  </w:abstractNum>
  <w:abstractNum w:abstractNumId="10">
    <w:nsid w:val="2901D82"/>
    <w:multiLevelType w:val="hybridMultilevel"/>
    <w:lvl w:ilvl="0">
      <w:lvlJc w:val="left"/>
      <w:lvlText w:val="%1."/>
      <w:numFmt w:val="upperLetter"/>
      <w:start w:val="11"/>
    </w:lvl>
  </w:abstractNum>
  <w:abstractNum w:abstractNumId="11">
    <w:nsid w:val="3A95F874"/>
    <w:multiLevelType w:val="hybridMultilevel"/>
    <w:lvl w:ilvl="0">
      <w:lvlJc w:val="left"/>
      <w:lvlText w:val="(%1)"/>
      <w:numFmt w:val="lowerLetter"/>
      <w:start w:val="4"/>
    </w:lvl>
  </w:abstractNum>
  <w:abstractNum w:abstractNumId="12">
    <w:nsid w:val="8138641"/>
    <w:multiLevelType w:val="hybridMultilevel"/>
    <w:lvl w:ilvl="0">
      <w:lvlJc w:val="left"/>
      <w:lvlText w:val="(%1)"/>
      <w:numFmt w:val="lowerLetter"/>
      <w:start w:val="1"/>
    </w:lvl>
    <w:lvl w:ilvl="1">
      <w:lvlJc w:val="left"/>
      <w:lvlText w:val="(%2)"/>
      <w:numFmt w:val="lowerRoman"/>
      <w:start w:val="1"/>
    </w:lvl>
  </w:abstractNum>
  <w:abstractNum w:abstractNumId="13">
    <w:nsid w:val="1E7FF521"/>
    <w:multiLevelType w:val="hybridMultilevel"/>
    <w:lvl w:ilvl="0">
      <w:lvlJc w:val="left"/>
      <w:lvlText w:val="%1"/>
      <w:numFmt w:val="lowerLetter"/>
      <w:start w:val="1"/>
    </w:lvl>
    <w:lvl w:ilvl="1">
      <w:lvlJc w:val="left"/>
      <w:lvlText w:val="(%2)"/>
      <w:numFmt w:val="lowerLetter"/>
      <w:start w:val="22"/>
    </w:lvl>
  </w:abstractNum>
  <w:abstractNum w:abstractNumId="14">
    <w:nsid w:val="7C3DBD3D"/>
    <w:multiLevelType w:val="hybridMultilevel"/>
    <w:lvl w:ilvl="0">
      <w:lvlJc w:val="left"/>
      <w:lvlText w:val="(%1)"/>
      <w:numFmt w:val="lowerLetter"/>
      <w:start w:val="2"/>
    </w:lvl>
    <w:lvl w:ilvl="1">
      <w:lvlJc w:val="left"/>
      <w:lvlText w:val="(%2)"/>
      <w:numFmt w:val="lowerLetter"/>
      <w:start w:val="9"/>
    </w:lvl>
  </w:abstractNum>
  <w:abstractNum w:abstractNumId="15">
    <w:nsid w:val="737B8DDC"/>
    <w:multiLevelType w:val="hybridMultilevel"/>
    <w:lvl w:ilvl="0">
      <w:lvlJc w:val="left"/>
      <w:lvlText w:val="(%1)"/>
      <w:numFmt w:val="lowerRoman"/>
      <w:start w:val="2"/>
    </w:lvl>
  </w:abstractNum>
  <w:abstractNum w:abstractNumId="16">
    <w:nsid w:val="6CEAF087"/>
    <w:multiLevelType w:val="hybridMultilevel"/>
    <w:lvl w:ilvl="0">
      <w:lvlJc w:val="left"/>
      <w:lvlText w:val="(%1)"/>
      <w:numFmt w:val="lowerLetter"/>
      <w:start w:val="1"/>
    </w:lvl>
    <w:lvl w:ilvl="1">
      <w:lvlJc w:val="left"/>
      <w:lvlText w:val="(%2)"/>
      <w:numFmt w:val="lowerRoman"/>
      <w:start w:val="1"/>
    </w:lvl>
  </w:abstractNum>
  <w:abstractNum w:abstractNumId="17">
    <w:nsid w:val="22221A70"/>
    <w:multiLevelType w:val="hybridMultilevel"/>
    <w:lvl w:ilvl="0">
      <w:lvlJc w:val="left"/>
      <w:lvlText w:val="(%1)"/>
      <w:numFmt w:val="lowerRoman"/>
      <w:start w:val="1"/>
    </w:lvl>
  </w:abstractNum>
  <w:abstractNum w:abstractNumId="18">
    <w:nsid w:val="4516DDE9"/>
    <w:multiLevelType w:val="hybridMultilevel"/>
    <w:lvl w:ilvl="0">
      <w:lvlJc w:val="left"/>
      <w:lvlText w:val="(%1)"/>
      <w:numFmt w:val="lowerRoman"/>
      <w:start w:val="3"/>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3"/>
    </w:lvl>
  </w:abstractNum>
  <w:abstractNum w:abstractNumId="21">
    <w:nsid w:val="419AC241"/>
    <w:multiLevelType w:val="hybridMultilevel"/>
    <w:lvl w:ilvl="0">
      <w:lvlJc w:val="left"/>
      <w:lvlText w:val="(%1)"/>
      <w:numFmt w:val="lowerLetter"/>
      <w:start w:val="5"/>
    </w:lvl>
  </w:abstractNum>
  <w:abstractNum w:abstractNumId="22">
    <w:nsid w:val="5577F8E1"/>
    <w:multiLevelType w:val="hybridMultilevel"/>
    <w:lvl w:ilvl="0">
      <w:lvlJc w:val="left"/>
      <w:lvlText w:val="(%1)"/>
      <w:numFmt w:val="lowerLetter"/>
      <w:start w:val="7"/>
    </w:lvl>
  </w:abstractNum>
  <w:abstractNum w:abstractNumId="23">
    <w:nsid w:val="440BADFC"/>
    <w:multiLevelType w:val="hybridMultilevel"/>
    <w:lvl w:ilvl="0">
      <w:lvlJc w:val="left"/>
      <w:lvlText w:val="%1"/>
      <w:numFmt w:val="upperLetter"/>
      <w:start w:val="1"/>
    </w:lvl>
    <w:lvl w:ilvl="1">
      <w:lvlJc w:val="left"/>
      <w:lvlText w:val="(%2)"/>
      <w:numFmt w:val="lowerRoman"/>
      <w:start w:val="1"/>
    </w:lvl>
  </w:abstractNum>
  <w:abstractNum w:abstractNumId="24">
    <w:nsid w:val="5072367"/>
    <w:multiLevelType w:val="hybridMultilevel"/>
    <w:lvl w:ilvl="0">
      <w:lvlJc w:val="left"/>
      <w:lvlText w:val="(%1)"/>
      <w:numFmt w:val="upperLetter"/>
      <w:start w:val="1"/>
    </w:lvl>
    <w:lvl w:ilvl="1">
      <w:lvlJc w:val="left"/>
      <w:lvlText w:val="%2"/>
      <w:numFmt w:val="lowerRoman"/>
      <w:start w:val="1"/>
    </w:lvl>
  </w:abstractNum>
  <w:abstractNum w:abstractNumId="25">
    <w:nsid w:val="3804823E"/>
    <w:multiLevelType w:val="hybridMultilevel"/>
    <w:lvl w:ilvl="0">
      <w:lvlJc w:val="left"/>
      <w:lvlText w:val="%1"/>
      <w:numFmt w:val="lowerLetter"/>
      <w:start w:val="1"/>
    </w:lvl>
    <w:lvl w:ilvl="1">
      <w:lvlJc w:val="left"/>
      <w:lvlText w:val="(%2)"/>
      <w:numFmt w:val="lowerLetter"/>
      <w:start w:val="10"/>
    </w:lvl>
  </w:abstractNum>
  <w:abstractNum w:abstractNumId="26">
    <w:nsid w:val="77465F01"/>
    <w:multiLevelType w:val="hybridMultilevel"/>
    <w:lvl w:ilvl="0">
      <w:lvlJc w:val="left"/>
      <w:lvlText w:val="(%1)"/>
      <w:numFmt w:val="lowerLetter"/>
      <w:start w:val="9"/>
    </w:lvl>
    <w:lvl w:ilvl="1">
      <w:lvlJc w:val="left"/>
      <w:lvlText w:val="(%2)"/>
      <w:numFmt w:val="lowerLetter"/>
      <w:start w:val="11"/>
    </w:lvl>
  </w:abstractNum>
  <w:abstractNum w:abstractNumId="27">
    <w:nsid w:val="7724C67E"/>
    <w:multiLevelType w:val="hybridMultilevel"/>
    <w:lvl w:ilvl="0">
      <w:lvlJc w:val="left"/>
      <w:lvlText w:val="(%1)"/>
      <w:numFmt w:val="lowerLetter"/>
      <w:start w:val="13"/>
    </w:lvl>
  </w:abstractNum>
  <w:abstractNum w:abstractNumId="28">
    <w:nsid w:val="5C482A97"/>
    <w:multiLevelType w:val="hybridMultilevel"/>
    <w:lvl w:ilvl="0">
      <w:lvlJc w:val="left"/>
      <w:lvlText w:val="(%1)"/>
      <w:numFmt w:val="lowerLetter"/>
      <w:start w:val="17"/>
    </w:lvl>
  </w:abstractNum>
  <w:abstractNum w:abstractNumId="29">
    <w:nsid w:val="2463B9EA"/>
    <w:multiLevelType w:val="hybridMultilevel"/>
    <w:lvl w:ilvl="0">
      <w:lvlJc w:val="left"/>
      <w:lvlText w:val="(%1)"/>
      <w:numFmt w:val="lowerLetter"/>
      <w:start w:val="20"/>
    </w:lvl>
  </w:abstractNum>
  <w:abstractNum w:abstractNumId="30">
    <w:nsid w:val="5E884ADC"/>
    <w:multiLevelType w:val="hybridMultilevel"/>
    <w:lvl w:ilvl="0">
      <w:lvlJc w:val="left"/>
      <w:lvlText w:val="(%1)"/>
      <w:numFmt w:val="lowerLetter"/>
      <w:start w:val="23"/>
    </w:lvl>
  </w:abstractNum>
  <w:abstractNum w:abstractNumId="31">
    <w:nsid w:val="51EAD36B"/>
    <w:multiLevelType w:val="hybridMultilevel"/>
    <w:lvl w:ilvl="0">
      <w:lvlJc w:val="left"/>
      <w:lvlText w:val="(%1)"/>
      <w:numFmt w:val="lowerLetter"/>
      <w:start w:val="26"/>
    </w:lvl>
  </w:abstractNum>
  <w:abstractNum w:abstractNumId="32">
    <w:nsid w:val="2D517796"/>
    <w:multiLevelType w:val="hybridMultilevel"/>
    <w:lvl w:ilvl="0">
      <w:lvlJc w:val="left"/>
      <w:lvlText w:val="%1"/>
      <w:numFmt w:val="lowerLetter"/>
      <w:start w:val="1"/>
    </w:lvl>
    <w:lvl w:ilvl="1">
      <w:lvlJc w:val="left"/>
      <w:lvlText w:val="(%2)"/>
      <w:numFmt w:val="lowerLetter"/>
      <w:start w:val="27"/>
    </w:lvl>
  </w:abstractNum>
  <w:abstractNum w:abstractNumId="33">
    <w:nsid w:val="580BD78F"/>
    <w:multiLevelType w:val="hybridMultilevel"/>
    <w:lvl w:ilvl="0">
      <w:lvlJc w:val="left"/>
      <w:lvlText w:val="(%1)"/>
      <w:numFmt w:val="lowerLetter"/>
      <w:start w:val="61"/>
    </w:lvl>
    <w:lvl w:ilvl="1">
      <w:lvlJc w:val="left"/>
      <w:lvlText w:val="%2"/>
      <w:numFmt w:val="lowerLetter"/>
      <w:start w:val="1"/>
    </w:lvl>
  </w:abstractNum>
  <w:abstractNum w:abstractNumId="34">
    <w:nsid w:val="153EA438"/>
    <w:multiLevelType w:val="hybridMultilevel"/>
    <w:lvl w:ilvl="0">
      <w:lvlJc w:val="left"/>
      <w:lvlText w:val="(%1)"/>
      <w:numFmt w:val="lowerLetter"/>
      <w:start w:val="29"/>
    </w:lvl>
  </w:abstractNum>
  <w:abstractNum w:abstractNumId="35">
    <w:nsid w:val="3855585C"/>
    <w:multiLevelType w:val="hybridMultilevel"/>
    <w:lvl w:ilvl="0">
      <w:lvlJc w:val="left"/>
      <w:lvlText w:val="%1"/>
      <w:numFmt w:val="lowerLetter"/>
      <w:start w:val="1"/>
    </w:lvl>
    <w:lvl w:ilvl="1">
      <w:lvlJc w:val="left"/>
      <w:lvlText w:val="(%2)"/>
      <w:numFmt w:val="lowerLetter"/>
      <w:start w:val="33"/>
    </w:lvl>
  </w:abstractNum>
  <w:abstractNum w:abstractNumId="36">
    <w:nsid w:val="70A64E2A"/>
    <w:multiLevelType w:val="hybridMultilevel"/>
    <w:lvl w:ilvl="0">
      <w:lvlJc w:val="left"/>
      <w:lvlText w:val="(%1)"/>
      <w:numFmt w:val="lowerLetter"/>
      <w:start w:val="61"/>
    </w:lvl>
    <w:lvl w:ilvl="1">
      <w:lvlJc w:val="left"/>
      <w:lvlText w:val="(%2)"/>
      <w:numFmt w:val="lowerLetter"/>
      <w:start w:val="34"/>
    </w:lvl>
  </w:abstractNum>
  <w:abstractNum w:abstractNumId="37">
    <w:nsid w:val="6A2342EC"/>
    <w:multiLevelType w:val="hybridMultilevel"/>
    <w:lvl w:ilvl="0">
      <w:lvlJc w:val="left"/>
      <w:lvlText w:val="(%1)"/>
      <w:numFmt w:val="lowerLetter"/>
      <w:start w:val="22"/>
    </w:lvl>
    <w:lvl w:ilvl="1">
      <w:lvlJc w:val="left"/>
      <w:lvlText w:val="%2"/>
      <w:numFmt w:val="lowerLetter"/>
      <w:start w:val="1"/>
    </w:lvl>
  </w:abstractNum>
  <w:abstractNum w:abstractNumId="38">
    <w:nsid w:val="2A487CB0"/>
    <w:multiLevelType w:val="hybridMultilevel"/>
    <w:lvl w:ilvl="0">
      <w:lvlJc w:val="left"/>
      <w:lvlText w:val="(%1)"/>
      <w:numFmt w:val="lowerLetter"/>
      <w:start w:val="35"/>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5"/>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25"/>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858"/>
    </w:lvl>
  </w:abstractNum>
  <w:abstractNum w:abstractNumId="46">
    <w:nsid w:val="6DE91B18"/>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2019-12-28T08:52:35Z</dcterms:created>
  <dcterms:modified xsi:type="dcterms:W3CDTF">2019-12-28T08:52:35Z</dcterms:modified>
</cp:coreProperties>
</file>